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FD6D87" w:rsidRDefault="0024360E" w:rsidP="007219D1">
      <w:pPr>
        <w:spacing w:after="240"/>
        <w:ind w:right="40"/>
        <w:jc w:val="center"/>
        <w:rPr>
          <w:b/>
          <w:bCs/>
          <w:u w:val="single"/>
        </w:rPr>
      </w:pPr>
      <w:bookmarkStart w:id="0" w:name="_GoBack"/>
      <w:bookmarkEnd w:id="0"/>
      <w:r w:rsidRPr="00FD6D87">
        <w:rPr>
          <w:b/>
          <w:bCs/>
          <w:u w:val="single"/>
        </w:rPr>
        <w:t>EXPLANATORY STATEMENT</w:t>
      </w:r>
    </w:p>
    <w:p w14:paraId="1F385F58" w14:textId="0995F808" w:rsidR="00B2211F" w:rsidRPr="00D04FFD" w:rsidRDefault="00DD20B4" w:rsidP="007219D1">
      <w:pPr>
        <w:spacing w:after="240"/>
        <w:jc w:val="center"/>
      </w:pPr>
      <w:r>
        <w:t xml:space="preserve">Issued by the </w:t>
      </w:r>
      <w:r w:rsidR="0005511D">
        <w:t xml:space="preserve">Assistant </w:t>
      </w:r>
      <w:r>
        <w:t xml:space="preserve">Minister for </w:t>
      </w:r>
      <w:r w:rsidR="0005511D">
        <w:t xml:space="preserve">Citizenship </w:t>
      </w:r>
      <w:r w:rsidR="00640357">
        <w:t>and Multicultural Affairs</w:t>
      </w:r>
    </w:p>
    <w:p w14:paraId="7089965F" w14:textId="1F309ED8" w:rsidR="00640357" w:rsidRDefault="007219D1" w:rsidP="007219D1">
      <w:pPr>
        <w:spacing w:after="240"/>
        <w:jc w:val="center"/>
        <w:rPr>
          <w:i/>
        </w:rPr>
      </w:pPr>
      <w:r w:rsidRPr="00602B8D">
        <w:rPr>
          <w:i/>
        </w:rPr>
        <w:t>Migration (Language Test Requirements for Subclass 482 Visa) Instrument 2024</w:t>
      </w:r>
    </w:p>
    <w:p w14:paraId="7D7C6D4F" w14:textId="6F733B83" w:rsidR="00B8002B" w:rsidRPr="007219D1" w:rsidRDefault="006B0B95" w:rsidP="007219D1">
      <w:pPr>
        <w:pStyle w:val="LINESoverviewtext"/>
      </w:pPr>
      <w:r>
        <w:t xml:space="preserve">The </w:t>
      </w:r>
      <w:r w:rsidRPr="007219D1">
        <w:t xml:space="preserve">instrument </w:t>
      </w:r>
      <w:r w:rsidR="007219D1" w:rsidRPr="00602B8D">
        <w:rPr>
          <w:i/>
        </w:rPr>
        <w:t>Migration (Language Test Requirements for Subclass 482 Visa) Instrument 2024</w:t>
      </w:r>
      <w:r w:rsidR="007219D1" w:rsidRPr="007219D1">
        <w:t xml:space="preserve"> </w:t>
      </w:r>
      <w:r w:rsidR="00D04FFD" w:rsidRPr="007219D1">
        <w:t>(</w:t>
      </w:r>
      <w:r w:rsidR="007219D1">
        <w:t xml:space="preserve">departmental reference </w:t>
      </w:r>
      <w:r w:rsidR="00D04FFD" w:rsidRPr="007219D1">
        <w:t>LIN 24/</w:t>
      </w:r>
      <w:r w:rsidR="00640357" w:rsidRPr="007219D1">
        <w:t>099</w:t>
      </w:r>
      <w:r w:rsidR="00D04FFD" w:rsidRPr="007219D1">
        <w:t xml:space="preserve">) </w:t>
      </w:r>
      <w:r w:rsidR="003F3724" w:rsidRPr="007219D1">
        <w:t xml:space="preserve">is made </w:t>
      </w:r>
      <w:r w:rsidRPr="007219D1">
        <w:t>under</w:t>
      </w:r>
      <w:r w:rsidR="00C03C99" w:rsidRPr="007219D1">
        <w:t xml:space="preserve"> </w:t>
      </w:r>
      <w:r w:rsidR="00640357" w:rsidRPr="007219D1">
        <w:t>subclauses 482.222(1) and 482.232(1) of Schedule 2</w:t>
      </w:r>
      <w:r w:rsidR="00C03C99" w:rsidRPr="007219D1">
        <w:t xml:space="preserve"> to</w:t>
      </w:r>
      <w:r w:rsidRPr="007219D1">
        <w:t xml:space="preserve"> the </w:t>
      </w:r>
      <w:r w:rsidRPr="007219D1">
        <w:rPr>
          <w:i/>
        </w:rPr>
        <w:t>Migration Regulations 1994</w:t>
      </w:r>
      <w:r w:rsidRPr="007219D1">
        <w:t xml:space="preserve"> (Migration Regulations)</w:t>
      </w:r>
      <w:r w:rsidR="003F3724" w:rsidRPr="007219D1">
        <w:t>.</w:t>
      </w:r>
    </w:p>
    <w:p w14:paraId="6225A847" w14:textId="017C8041" w:rsidR="00030F7F" w:rsidRPr="007219D1" w:rsidRDefault="00030F7F" w:rsidP="007219D1">
      <w:pPr>
        <w:pStyle w:val="LINESoverviewtext"/>
      </w:pPr>
      <w:r w:rsidRPr="007219D1">
        <w:t xml:space="preserve">In accordance with subsection 33(3) of the </w:t>
      </w:r>
      <w:r w:rsidRPr="007219D1">
        <w:rPr>
          <w:i/>
        </w:rPr>
        <w:t>Acts Interpretation Act 1901</w:t>
      </w:r>
      <w:r w:rsidRPr="007219D1">
        <w:t xml:space="preserve"> (Acts Interpretation Act), the instrument repeals </w:t>
      </w:r>
      <w:r w:rsidRPr="007219D1">
        <w:rPr>
          <w:i/>
        </w:rPr>
        <w:t>Migration (IMMI 18/032: Language Test Requirements—Subclass 482 Visa) Instrument 2018</w:t>
      </w:r>
      <w:r w:rsidRPr="007219D1">
        <w:t xml:space="preserve"> (IMMI 18/032). Subsection 33(3) of the Acts Interpretation Act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4F069DF7" w14:textId="0CF54472" w:rsidR="00640357" w:rsidRPr="007219D1" w:rsidRDefault="0052258D" w:rsidP="007219D1">
      <w:pPr>
        <w:pStyle w:val="LINESoverviewtext"/>
      </w:pPr>
      <w:r w:rsidRPr="007219D1">
        <w:t>IMMI 18/032</w:t>
      </w:r>
      <w:r w:rsidR="008007E4" w:rsidRPr="007219D1">
        <w:t xml:space="preserve"> provided for the language </w:t>
      </w:r>
      <w:r w:rsidR="00640357" w:rsidRPr="007219D1">
        <w:t xml:space="preserve">test requirements that </w:t>
      </w:r>
      <w:r w:rsidR="008007E4" w:rsidRPr="007219D1">
        <w:t>were</w:t>
      </w:r>
      <w:r w:rsidR="00640357" w:rsidRPr="007219D1">
        <w:t xml:space="preserve"> applicable for an applicant to the Subclass 482 (Temporary Skill Shortage) visa in the Short-term stream and Medium-term stream. </w:t>
      </w:r>
      <w:r w:rsidR="008007E4" w:rsidRPr="007219D1">
        <w:t>IMMI 18/032</w:t>
      </w:r>
      <w:r w:rsidR="00640357" w:rsidRPr="007219D1">
        <w:t xml:space="preserve"> </w:t>
      </w:r>
      <w:r w:rsidR="008007E4" w:rsidRPr="007219D1">
        <w:t>set</w:t>
      </w:r>
      <w:r w:rsidR="00640357" w:rsidRPr="007219D1">
        <w:t xml:space="preserve"> out </w:t>
      </w:r>
      <w:r w:rsidR="00CA55BB" w:rsidRPr="007219D1">
        <w:t>the</w:t>
      </w:r>
      <w:r w:rsidR="00640357" w:rsidRPr="007219D1">
        <w:t xml:space="preserve"> required test scores </w:t>
      </w:r>
      <w:r w:rsidR="00587453" w:rsidRPr="007219D1">
        <w:t xml:space="preserve">in an approved English test </w:t>
      </w:r>
      <w:r w:rsidR="00CA55BB" w:rsidRPr="007219D1">
        <w:t xml:space="preserve">that an applicant must have met to have satisfied </w:t>
      </w:r>
      <w:r w:rsidR="00587453" w:rsidRPr="007219D1">
        <w:t>the English language requirements for the Subclass 482 (</w:t>
      </w:r>
      <w:r w:rsidR="00640357" w:rsidRPr="007219D1">
        <w:t xml:space="preserve">Temporary Skill Shortage) visa. </w:t>
      </w:r>
    </w:p>
    <w:p w14:paraId="44CBA1F3" w14:textId="0E7CD297" w:rsidR="008007E4" w:rsidRPr="007219D1" w:rsidRDefault="008007E4" w:rsidP="007219D1">
      <w:pPr>
        <w:pStyle w:val="LINESoverviewtext"/>
      </w:pPr>
      <w:r w:rsidRPr="007219D1">
        <w:t xml:space="preserve">The Migration Amendment (2024 Measures No. 1) Regulations 2024 implemented the </w:t>
      </w:r>
      <w:r w:rsidR="00AA13E4" w:rsidRPr="007219D1">
        <w:t xml:space="preserve">new </w:t>
      </w:r>
      <w:r w:rsidRPr="007219D1">
        <w:t>Subclass 482 (Skills in Demand) visa to replace the Subclass 482 (Temporary Skill Shortage)</w:t>
      </w:r>
      <w:r w:rsidR="00D57D8A" w:rsidRPr="007219D1">
        <w:t xml:space="preserve"> visa</w:t>
      </w:r>
      <w:r w:rsidR="00F53525" w:rsidRPr="007219D1">
        <w:t xml:space="preserve">. </w:t>
      </w:r>
      <w:r w:rsidR="00967209" w:rsidRPr="007219D1">
        <w:t xml:space="preserve">The Subclass 482 (Skills in Demand) visa aims to address the nation’s skills needs, and provides skilled migrant workers with increased worker mobility and clear pathways to permanent residence. </w:t>
      </w:r>
    </w:p>
    <w:p w14:paraId="471EA578" w14:textId="3180F875" w:rsidR="007225E3" w:rsidRDefault="007831EB" w:rsidP="007219D1">
      <w:pPr>
        <w:pStyle w:val="LINESoverviewtext"/>
      </w:pPr>
      <w:r w:rsidRPr="007219D1">
        <w:t>The</w:t>
      </w:r>
      <w:r w:rsidR="00EC6F04" w:rsidRPr="007219D1">
        <w:t xml:space="preserve"> purpose of </w:t>
      </w:r>
      <w:r w:rsidR="0052258D" w:rsidRPr="007219D1">
        <w:t>LIN 24/099</w:t>
      </w:r>
      <w:r w:rsidR="00F53525" w:rsidRPr="007219D1">
        <w:t xml:space="preserve"> is to </w:t>
      </w:r>
      <w:r w:rsidR="00D57D8A" w:rsidRPr="007219D1">
        <w:t xml:space="preserve">repeal IMMI 18/032 and specify the </w:t>
      </w:r>
      <w:r w:rsidR="00F53525" w:rsidRPr="007219D1">
        <w:t>language</w:t>
      </w:r>
      <w:r w:rsidR="00802C13" w:rsidRPr="007219D1">
        <w:t xml:space="preserve"> test</w:t>
      </w:r>
      <w:r w:rsidR="00F53525" w:rsidRPr="007219D1">
        <w:t xml:space="preserve"> requirements for an applicant to the </w:t>
      </w:r>
      <w:r w:rsidR="0016580D" w:rsidRPr="007219D1">
        <w:t xml:space="preserve">Specialist Skills stream and Core Skills stream of the </w:t>
      </w:r>
      <w:r w:rsidR="00F53525" w:rsidRPr="007219D1">
        <w:t xml:space="preserve">Subclass 482 (Skills in Demand) </w:t>
      </w:r>
      <w:r w:rsidR="007225E3" w:rsidRPr="007219D1">
        <w:t>visa, including the</w:t>
      </w:r>
      <w:r w:rsidR="007225E3">
        <w:t xml:space="preserve"> following: </w:t>
      </w:r>
    </w:p>
    <w:p w14:paraId="2274AB4B" w14:textId="0504AAB0" w:rsidR="007225E3" w:rsidRDefault="007225E3" w:rsidP="007219D1">
      <w:pPr>
        <w:pStyle w:val="ESbullet"/>
        <w:numPr>
          <w:ilvl w:val="0"/>
          <w:numId w:val="44"/>
        </w:numPr>
        <w:ind w:left="360"/>
      </w:pPr>
      <w:r>
        <w:t xml:space="preserve">the English language tests that are </w:t>
      </w:r>
      <w:r w:rsidR="00793C36">
        <w:t>approved</w:t>
      </w:r>
      <w:r>
        <w:t xml:space="preserve"> for demonstrating English language proficiency for the purposes of </w:t>
      </w:r>
      <w:r w:rsidR="00011AA7">
        <w:t>the Specialist Skills stream and Core Skills stream</w:t>
      </w:r>
      <w:r>
        <w:t xml:space="preserve">; </w:t>
      </w:r>
    </w:p>
    <w:p w14:paraId="262C5A89" w14:textId="5C5D9643" w:rsidR="007225E3" w:rsidRDefault="007225E3" w:rsidP="007219D1">
      <w:pPr>
        <w:pStyle w:val="ESbullet"/>
        <w:numPr>
          <w:ilvl w:val="0"/>
          <w:numId w:val="44"/>
        </w:numPr>
        <w:ind w:left="360"/>
      </w:pPr>
      <w:r>
        <w:t xml:space="preserve">the </w:t>
      </w:r>
      <w:r w:rsidR="00793C36">
        <w:t xml:space="preserve">required test </w:t>
      </w:r>
      <w:r>
        <w:t xml:space="preserve">scores </w:t>
      </w:r>
      <w:r w:rsidR="00B9714E">
        <w:t>for an applicant</w:t>
      </w:r>
      <w:r>
        <w:t xml:space="preserve"> in </w:t>
      </w:r>
      <w:r w:rsidR="00793C36">
        <w:t>an approved English test</w:t>
      </w:r>
      <w:r>
        <w:t xml:space="preserve">; </w:t>
      </w:r>
    </w:p>
    <w:p w14:paraId="64ACE7D8" w14:textId="3F8B1CF7" w:rsidR="007225E3" w:rsidRDefault="007225E3" w:rsidP="007219D1">
      <w:pPr>
        <w:pStyle w:val="ESbullet"/>
        <w:numPr>
          <w:ilvl w:val="0"/>
          <w:numId w:val="44"/>
        </w:numPr>
        <w:ind w:left="360"/>
      </w:pPr>
      <w:r>
        <w:t xml:space="preserve">the period of time in which the </w:t>
      </w:r>
      <w:r w:rsidR="00793C36">
        <w:t>required test</w:t>
      </w:r>
      <w:r>
        <w:t xml:space="preserve"> scores must be obtained; and </w:t>
      </w:r>
    </w:p>
    <w:p w14:paraId="150D4696" w14:textId="5B66B7AB" w:rsidR="007225E3" w:rsidRPr="007225E3" w:rsidRDefault="007225E3" w:rsidP="007219D1">
      <w:pPr>
        <w:pStyle w:val="ESbullet"/>
        <w:numPr>
          <w:ilvl w:val="0"/>
          <w:numId w:val="44"/>
        </w:numPr>
        <w:ind w:left="360"/>
      </w:pPr>
      <w:r>
        <w:t xml:space="preserve">applicants who are exempt from the requirement to undertake English language tests. </w:t>
      </w:r>
    </w:p>
    <w:p w14:paraId="24546A34" w14:textId="1C31FCBA" w:rsidR="00F53525" w:rsidRPr="00F53525" w:rsidRDefault="0054488B" w:rsidP="007219D1">
      <w:pPr>
        <w:pStyle w:val="LINESoverviewtext"/>
      </w:pPr>
      <w:r>
        <w:t xml:space="preserve">The required test scores for an applicant to the Specialist Skills stream and Core Skills stream of the Subclass 482 (Skills in Demand) visa are identical to the requirements </w:t>
      </w:r>
      <w:r w:rsidR="00851FF6">
        <w:t>that previously applied to an</w:t>
      </w:r>
      <w:r>
        <w:t xml:space="preserve"> applicant to the Medium-term stream of the Subclass 482 (Temporary Skill Shortage) visa. </w:t>
      </w:r>
    </w:p>
    <w:p w14:paraId="6FAA81A0" w14:textId="039E9B5E" w:rsidR="001D1585" w:rsidRDefault="001D1585" w:rsidP="007219D1">
      <w:pPr>
        <w:pStyle w:val="LINESoverviewtext"/>
      </w:pPr>
      <w:r w:rsidRPr="00B4799B">
        <w:t>The instrument is exempt from disallowance under sec</w:t>
      </w:r>
      <w:r w:rsidR="00F26294" w:rsidRPr="00B4799B">
        <w:t xml:space="preserve">tion 42 of the </w:t>
      </w:r>
      <w:r w:rsidR="00F26294" w:rsidRPr="00B4799B">
        <w:rPr>
          <w:i/>
        </w:rPr>
        <w:t>Legislation Act</w:t>
      </w:r>
      <w:r w:rsidR="00635B48" w:rsidRPr="00B4799B">
        <w:rPr>
          <w:i/>
        </w:rPr>
        <w:t xml:space="preserve"> 2003</w:t>
      </w:r>
      <w:r w:rsidR="00635B48" w:rsidRPr="00B4799B">
        <w:t xml:space="preserve"> (Legislation Act)</w:t>
      </w:r>
      <w:r w:rsidR="00F26294" w:rsidRPr="00B4799B">
        <w:t xml:space="preserve">. This is because </w:t>
      </w:r>
      <w:r w:rsidR="0047359B">
        <w:t>instruments made</w:t>
      </w:r>
      <w:r w:rsidR="00F26294" w:rsidRPr="00B4799B">
        <w:t xml:space="preserve"> under </w:t>
      </w:r>
      <w:r w:rsidR="007831EB">
        <w:t>Schedule</w:t>
      </w:r>
      <w:r w:rsidR="00D04FFD">
        <w:t xml:space="preserve"> 2</w:t>
      </w:r>
      <w:r w:rsidR="0047359B">
        <w:t xml:space="preserve"> to the Migration </w:t>
      </w:r>
      <w:r w:rsidR="0047359B">
        <w:lastRenderedPageBreak/>
        <w:t>Regulations are</w:t>
      </w:r>
      <w:r w:rsidR="00C03C99">
        <w:t xml:space="preserve"> </w:t>
      </w:r>
      <w:r w:rsidR="00F26294" w:rsidRPr="00F26294">
        <w:t>prescribed as being exempt fr</w:t>
      </w:r>
      <w:r w:rsidR="00C03C99">
        <w:t>om</w:t>
      </w:r>
      <w:r w:rsidR="0052258D">
        <w:t xml:space="preserve"> disallowance under paragraph (b</w:t>
      </w:r>
      <w:r w:rsidR="00C03C99">
        <w:t>)</w:t>
      </w:r>
      <w:r w:rsidR="0052258D">
        <w:t xml:space="preserve"> of item </w:t>
      </w:r>
      <w:r w:rsidR="00F26294" w:rsidRPr="00F26294">
        <w:t xml:space="preserve">20 of the table in section 10 of the </w:t>
      </w:r>
      <w:r w:rsidR="00F26294" w:rsidRPr="000B69D4">
        <w:rPr>
          <w:i/>
        </w:rPr>
        <w:t>Legislation (Exemptions and Other Matters) Regulation 2015</w:t>
      </w:r>
      <w:r w:rsidR="00F26294" w:rsidRPr="00F26294">
        <w:t>. A statement of compatibility with human rights is therefore not required</w:t>
      </w:r>
      <w:r w:rsidRPr="00F26294">
        <w:t>.</w:t>
      </w:r>
    </w:p>
    <w:p w14:paraId="482E1612" w14:textId="598BC4D9" w:rsidR="00156904" w:rsidRPr="00FD6D87" w:rsidRDefault="00156904" w:rsidP="007219D1">
      <w:pPr>
        <w:pStyle w:val="LINESoverviewtext"/>
      </w:pPr>
      <w:r w:rsidRPr="00FD6D87">
        <w:t>The Office of Impact Analysis (OIA) has been consulted in relation to the amendments</w:t>
      </w:r>
      <w:r w:rsidR="000F1874" w:rsidRPr="00FD6D87">
        <w:t>, advising that no Impact Analysis is required</w:t>
      </w:r>
      <w:r w:rsidRPr="00FD6D87">
        <w:t>.</w:t>
      </w:r>
      <w:r w:rsidR="000F1874" w:rsidRPr="00FD6D87">
        <w:t xml:space="preserve"> </w:t>
      </w:r>
      <w:r w:rsidRPr="00FD6D87">
        <w:t>The OIA consultation reference number is</w:t>
      </w:r>
      <w:r w:rsidR="00483823">
        <w:t xml:space="preserve"> </w:t>
      </w:r>
      <w:r w:rsidR="00646AF9" w:rsidRPr="00646AF9">
        <w:t>OIA24-08389</w:t>
      </w:r>
      <w:r w:rsidRPr="00FD6D87">
        <w:t>.</w:t>
      </w:r>
    </w:p>
    <w:p w14:paraId="16A7C739" w14:textId="4ED8B396" w:rsidR="00646AF9" w:rsidRPr="00D04FFD" w:rsidRDefault="00EB0156" w:rsidP="007219D1">
      <w:pPr>
        <w:pStyle w:val="LINESoverviewtext"/>
        <w:rPr>
          <w:color w:val="000000"/>
        </w:rPr>
      </w:pPr>
      <w:r w:rsidRPr="00EB0156">
        <w:rPr>
          <w:color w:val="000000"/>
        </w:rPr>
        <w:t>The Department of Home Affairs has consulted on the Migration Strategy with business, unions and other stakeholders throughout the Migration Review. Whole of Government consultation occurred, along with consultation involving peak body, state and territory, and industry representatives via the Minister</w:t>
      </w:r>
      <w:r w:rsidR="00723B5C">
        <w:rPr>
          <w:color w:val="000000"/>
        </w:rPr>
        <w:t>ial</w:t>
      </w:r>
      <w:r w:rsidRPr="00EB0156">
        <w:rPr>
          <w:color w:val="000000"/>
        </w:rPr>
        <w:t xml:space="preserve"> Advisory Council on Skilled Migration (MACSM) and S</w:t>
      </w:r>
      <w:r w:rsidR="00723B5C">
        <w:rPr>
          <w:color w:val="000000"/>
        </w:rPr>
        <w:t>killed</w:t>
      </w:r>
      <w:r w:rsidRPr="00EB0156">
        <w:rPr>
          <w:color w:val="000000"/>
        </w:rPr>
        <w:t xml:space="preserve"> Migration Offi</w:t>
      </w:r>
      <w:r w:rsidR="00723B5C">
        <w:rPr>
          <w:color w:val="000000"/>
        </w:rPr>
        <w:t>cials</w:t>
      </w:r>
      <w:r w:rsidRPr="00EB0156">
        <w:rPr>
          <w:color w:val="000000"/>
        </w:rPr>
        <w:t xml:space="preserve"> Group (SMOG) groups</w:t>
      </w:r>
      <w:r w:rsidR="00646AF9">
        <w:rPr>
          <w:color w:val="000000"/>
        </w:rPr>
        <w:t xml:space="preserve">. </w:t>
      </w:r>
    </w:p>
    <w:p w14:paraId="245ED69C" w14:textId="6BEE53DC" w:rsidR="0052258D" w:rsidRPr="0052258D" w:rsidRDefault="000F1874" w:rsidP="007219D1">
      <w:pPr>
        <w:pStyle w:val="LINESoverviewtext"/>
      </w:pPr>
      <w:r w:rsidRPr="00FD6D87">
        <w:t xml:space="preserve">The </w:t>
      </w:r>
      <w:r w:rsidR="00E305B4">
        <w:t>instrument</w:t>
      </w:r>
      <w:r w:rsidRPr="00FD6D87">
        <w:t xml:space="preserve"> </w:t>
      </w:r>
      <w:r w:rsidR="00B11AD6" w:rsidRPr="00FD6D87">
        <w:t>commence</w:t>
      </w:r>
      <w:r w:rsidR="00D04FFD">
        <w:t>s</w:t>
      </w:r>
      <w:r w:rsidR="00B11AD6" w:rsidRPr="00FD6D87">
        <w:t xml:space="preserve"> on</w:t>
      </w:r>
      <w:r w:rsidR="0052258D">
        <w:t xml:space="preserve"> </w:t>
      </w:r>
      <w:r w:rsidR="007219D1">
        <w:t>7 December 2024</w:t>
      </w:r>
      <w:r w:rsidR="0052258D" w:rsidRPr="0052258D">
        <w:t>.</w:t>
      </w:r>
    </w:p>
    <w:p w14:paraId="6931A409" w14:textId="39A753C8" w:rsidR="006B33D9" w:rsidRDefault="006B33D9" w:rsidP="007219D1">
      <w:pPr>
        <w:pStyle w:val="LINESoverviewtext"/>
      </w:pPr>
      <w:r w:rsidRPr="006B33D9">
        <w:t xml:space="preserve">Section 4 of the Acts Interpretation Act relevantly provides in effect that if an Act is enacted and at a time after its enactment the Act will confer power to make an instrument of a legislative or administrative character, the power may be exercised after the Act is made, but before the Act commences. Paragraph 13(1)(a) of the </w:t>
      </w:r>
      <w:r w:rsidR="00131E96">
        <w:t xml:space="preserve">Legislation Act </w:t>
      </w:r>
      <w:r w:rsidRPr="006B33D9">
        <w:t>applies that law to instruments. This instrument was made in accordance with those provisions.</w:t>
      </w:r>
    </w:p>
    <w:p w14:paraId="2D9C7FFE" w14:textId="42FD00C1" w:rsidR="00231291" w:rsidRPr="00FD6D87" w:rsidRDefault="0024360E" w:rsidP="007219D1">
      <w:pPr>
        <w:pStyle w:val="LINESoverviewtext"/>
      </w:pPr>
      <w:r w:rsidRPr="00FD6D87">
        <w:t xml:space="preserve">Further details of the </w:t>
      </w:r>
      <w:r w:rsidR="00024054">
        <w:t>instrument</w:t>
      </w:r>
      <w:r w:rsidRPr="00FD6D87">
        <w:t xml:space="preserve"> are set out in </w:t>
      </w:r>
      <w:r w:rsidR="008C101A">
        <w:rPr>
          <w:u w:val="single"/>
        </w:rPr>
        <w:t>Attachment A.</w:t>
      </w:r>
    </w:p>
    <w:p w14:paraId="51E58B37" w14:textId="38A3A19D" w:rsidR="0024360E" w:rsidRPr="00FD6D87" w:rsidRDefault="0024360E" w:rsidP="007219D1">
      <w:pPr>
        <w:pStyle w:val="LINESoverviewtext"/>
      </w:pPr>
      <w:r w:rsidRPr="00FD6D87">
        <w:t>The</w:t>
      </w:r>
      <w:r w:rsidR="00E305B4">
        <w:t xml:space="preserve"> Migration Regulations specify</w:t>
      </w:r>
      <w:r w:rsidRPr="00FD6D87">
        <w:t xml:space="preserve"> no conditions that need to be satisfied before the power to make th</w:t>
      </w:r>
      <w:r w:rsidR="00BE2524" w:rsidRPr="00FD6D87">
        <w:t xml:space="preserve">e </w:t>
      </w:r>
      <w:r w:rsidR="00E305B4">
        <w:t xml:space="preserve">instrument </w:t>
      </w:r>
      <w:r w:rsidR="00BE2524" w:rsidRPr="00FD6D87">
        <w:t>may be exercised.</w:t>
      </w:r>
    </w:p>
    <w:p w14:paraId="0C01F482" w14:textId="1F905296" w:rsidR="0024360E" w:rsidRPr="00FD6D87" w:rsidRDefault="0024360E" w:rsidP="007219D1">
      <w:pPr>
        <w:pStyle w:val="LINESoverviewtext"/>
      </w:pPr>
      <w:r w:rsidRPr="00FD6D87">
        <w:t>The</w:t>
      </w:r>
      <w:r w:rsidR="00E305B4">
        <w:t xml:space="preserve"> instrument is</w:t>
      </w:r>
      <w:r w:rsidRPr="00FD6D87">
        <w:t xml:space="preserve"> a legislative instrument for the purposes of the Legislation Act.</w:t>
      </w:r>
    </w:p>
    <w:p w14:paraId="420DE270" w14:textId="77777777" w:rsidR="00165075" w:rsidRPr="00FD6D87" w:rsidRDefault="00165075">
      <w:pPr>
        <w:spacing w:before="0" w:after="160" w:line="259" w:lineRule="auto"/>
      </w:pPr>
      <w:r w:rsidRPr="00FD6D87">
        <w:br w:type="page"/>
      </w:r>
    </w:p>
    <w:p w14:paraId="3540ECD8" w14:textId="4EE3E132" w:rsidR="00B11AD6" w:rsidRPr="00FD6D87" w:rsidRDefault="005F73B6" w:rsidP="006D3A94">
      <w:pPr>
        <w:tabs>
          <w:tab w:val="left" w:pos="345"/>
        </w:tabs>
        <w:spacing w:before="120" w:after="360"/>
        <w:ind w:right="45"/>
        <w:jc w:val="right"/>
        <w:rPr>
          <w:b/>
          <w:bCs/>
          <w:u w:val="single"/>
        </w:rPr>
      </w:pPr>
      <w:r>
        <w:rPr>
          <w:b/>
          <w:bCs/>
          <w:u w:val="single"/>
        </w:rPr>
        <w:lastRenderedPageBreak/>
        <w:t>ATTACHMENT A</w:t>
      </w:r>
    </w:p>
    <w:p w14:paraId="7F1A59C3" w14:textId="7305A130" w:rsidR="006A4E21" w:rsidRPr="00D974EF" w:rsidRDefault="006A4E21" w:rsidP="006A4E21">
      <w:pPr>
        <w:rPr>
          <w:b/>
          <w:i/>
          <w:u w:val="single"/>
        </w:rPr>
      </w:pPr>
      <w:r w:rsidRPr="00D974EF">
        <w:rPr>
          <w:b/>
          <w:u w:val="single"/>
        </w:rPr>
        <w:t xml:space="preserve">Details of the </w:t>
      </w:r>
      <w:r w:rsidR="00BD39FE" w:rsidRPr="007E4B08">
        <w:rPr>
          <w:b/>
          <w:i/>
          <w:u w:val="single"/>
        </w:rPr>
        <w:t>Migration (Language Test Requirements for Subclass 482 Visa – LIN 24/099) Instrument 2024</w:t>
      </w:r>
    </w:p>
    <w:p w14:paraId="30F28248" w14:textId="040D65D7" w:rsidR="00303970" w:rsidRPr="00FD6D87" w:rsidRDefault="00AA7DC4" w:rsidP="007219D1">
      <w:pPr>
        <w:pStyle w:val="EMclausenoteheader"/>
        <w:keepNext/>
        <w:spacing w:before="240" w:after="240" w:line="276" w:lineRule="auto"/>
      </w:pPr>
      <w:bookmarkStart w:id="1" w:name="_Toc505262124"/>
      <w:bookmarkStart w:id="2" w:name="opcAmSched"/>
      <w:bookmarkStart w:id="3" w:name="opcCurrentFind"/>
      <w:r>
        <w:t>Section 1 – Name of instrument</w:t>
      </w:r>
    </w:p>
    <w:p w14:paraId="627CC21F" w14:textId="796438F8" w:rsidR="00303970" w:rsidRPr="00AA7DC4" w:rsidRDefault="00303970" w:rsidP="00303970">
      <w:pPr>
        <w:pStyle w:val="EMclausenotes"/>
        <w:rPr>
          <w:iCs/>
        </w:rPr>
      </w:pPr>
      <w:r w:rsidRPr="00FD6D87">
        <w:t xml:space="preserve">This section </w:t>
      </w:r>
      <w:r w:rsidR="00344169" w:rsidRPr="00FD6D87">
        <w:t>provide</w:t>
      </w:r>
      <w:r w:rsidR="00A376EA" w:rsidRPr="00FD6D87">
        <w:t>s</w:t>
      </w:r>
      <w:r w:rsidR="00AA7DC4">
        <w:t xml:space="preserve"> </w:t>
      </w:r>
      <w:r w:rsidR="00AA7DC4" w:rsidRPr="007219D1">
        <w:rPr>
          <w:rFonts w:eastAsia="SimSun"/>
        </w:rPr>
        <w:t>that</w:t>
      </w:r>
      <w:r w:rsidR="00AA7DC4">
        <w:t xml:space="preserve"> the title of the instrument is the </w:t>
      </w:r>
      <w:r w:rsidR="00BD39FE" w:rsidRPr="00BD39FE">
        <w:rPr>
          <w:i/>
        </w:rPr>
        <w:t xml:space="preserve">Migration (Language Test Requirements for Subclass 482 Visa – LIN 24/099) Instrument 2024 </w:t>
      </w:r>
      <w:r w:rsidR="00AA7DC4">
        <w:t>(LIN 24/</w:t>
      </w:r>
      <w:r w:rsidR="00BD39FE">
        <w:t>099</w:t>
      </w:r>
      <w:r w:rsidR="00AA7DC4">
        <w:t>).</w:t>
      </w:r>
    </w:p>
    <w:p w14:paraId="6730016A" w14:textId="77777777" w:rsidR="00303970" w:rsidRPr="00FD6D87" w:rsidRDefault="00303970" w:rsidP="007219D1">
      <w:pPr>
        <w:pStyle w:val="EMclausenoteheader"/>
        <w:keepNext/>
        <w:spacing w:before="240" w:after="240" w:line="276" w:lineRule="auto"/>
      </w:pPr>
      <w:r w:rsidRPr="00FD6D87">
        <w:t>Section 2 – Commencement</w:t>
      </w:r>
    </w:p>
    <w:p w14:paraId="163F5524" w14:textId="7406E16F" w:rsidR="0052258D" w:rsidRPr="00FD6D87" w:rsidRDefault="00303970" w:rsidP="007219D1">
      <w:pPr>
        <w:pStyle w:val="EMclausenotes"/>
        <w:rPr>
          <w:rFonts w:eastAsia="SimSun"/>
        </w:rPr>
      </w:pPr>
      <w:r w:rsidRPr="00FD6D87">
        <w:rPr>
          <w:rFonts w:eastAsia="SimSun"/>
        </w:rPr>
        <w:t xml:space="preserve">This section </w:t>
      </w:r>
      <w:r w:rsidRPr="00FD6D87">
        <w:t>provides</w:t>
      </w:r>
      <w:r w:rsidRPr="00FD6D87">
        <w:rPr>
          <w:rFonts w:eastAsia="SimSun"/>
        </w:rPr>
        <w:t xml:space="preserve"> the</w:t>
      </w:r>
      <w:r w:rsidR="00E305B4">
        <w:rPr>
          <w:rFonts w:eastAsia="SimSun"/>
        </w:rPr>
        <w:t xml:space="preserve"> instrument commences on</w:t>
      </w:r>
      <w:r w:rsidR="0052258D">
        <w:rPr>
          <w:rFonts w:eastAsia="SimSun"/>
        </w:rPr>
        <w:t xml:space="preserve"> </w:t>
      </w:r>
      <w:r w:rsidR="007219D1">
        <w:rPr>
          <w:rFonts w:eastAsia="SimSun"/>
        </w:rPr>
        <w:t>7 December 2024.</w:t>
      </w:r>
    </w:p>
    <w:p w14:paraId="72553E26" w14:textId="77777777" w:rsidR="00303970" w:rsidRPr="00FD6D87" w:rsidRDefault="00303970" w:rsidP="007219D1">
      <w:pPr>
        <w:pStyle w:val="EMclausenoteheader"/>
        <w:keepNext/>
        <w:spacing w:before="240" w:after="240" w:line="276" w:lineRule="auto"/>
      </w:pPr>
      <w:r w:rsidRPr="00FD6D87">
        <w:t>Section 3 – Authority</w:t>
      </w:r>
    </w:p>
    <w:p w14:paraId="4B3E2F9D" w14:textId="4D85D511" w:rsidR="00303970" w:rsidRDefault="00303970" w:rsidP="00303970">
      <w:pPr>
        <w:pStyle w:val="EMclausenotes"/>
        <w:rPr>
          <w:rFonts w:eastAsia="SimSun"/>
          <w:iCs/>
        </w:rPr>
      </w:pPr>
      <w:r w:rsidRPr="00FD6D87">
        <w:rPr>
          <w:rFonts w:eastAsia="SimSun"/>
        </w:rPr>
        <w:t xml:space="preserve">This section </w:t>
      </w:r>
      <w:r w:rsidRPr="00FD6D87">
        <w:t>provides</w:t>
      </w:r>
      <w:r w:rsidRPr="00FD6D87">
        <w:rPr>
          <w:rFonts w:eastAsia="SimSun"/>
        </w:rPr>
        <w:t xml:space="preserve"> that the</w:t>
      </w:r>
      <w:r w:rsidR="00E305B4">
        <w:rPr>
          <w:rFonts w:eastAsia="SimSun"/>
        </w:rPr>
        <w:t xml:space="preserve"> instrument</w:t>
      </w:r>
      <w:r w:rsidR="00AA7DC4">
        <w:rPr>
          <w:rFonts w:eastAsia="SimSun"/>
          <w:iCs/>
        </w:rPr>
        <w:t xml:space="preserve"> is made under</w:t>
      </w:r>
      <w:r w:rsidR="00BD39FE">
        <w:rPr>
          <w:rFonts w:eastAsia="SimSun"/>
          <w:iCs/>
        </w:rPr>
        <w:t xml:space="preserve"> subclauses 482.222(1) and 482.232(1) of the </w:t>
      </w:r>
      <w:r w:rsidR="00AA7DC4">
        <w:rPr>
          <w:rFonts w:eastAsia="SimSun"/>
          <w:i/>
          <w:iCs/>
        </w:rPr>
        <w:t>Migration Regulations 1994</w:t>
      </w:r>
      <w:r w:rsidR="00D04FFD">
        <w:rPr>
          <w:rFonts w:eastAsia="SimSun"/>
          <w:iCs/>
        </w:rPr>
        <w:t xml:space="preserve"> (Migration Regulations)</w:t>
      </w:r>
      <w:r w:rsidR="0092224C">
        <w:rPr>
          <w:rFonts w:eastAsia="SimSun"/>
          <w:iCs/>
        </w:rPr>
        <w:t>.</w:t>
      </w:r>
    </w:p>
    <w:p w14:paraId="2BB584F6" w14:textId="5A64CB8A" w:rsidR="00303970" w:rsidRPr="00FD6D87" w:rsidRDefault="00303970" w:rsidP="007219D1">
      <w:pPr>
        <w:pStyle w:val="EMclausenoteheader"/>
        <w:keepNext/>
        <w:spacing w:before="240" w:after="240" w:line="276" w:lineRule="auto"/>
        <w:rPr>
          <w:rFonts w:eastAsia="SimSun"/>
        </w:rPr>
      </w:pPr>
      <w:r w:rsidRPr="00657DE3">
        <w:rPr>
          <w:rFonts w:eastAsia="SimSun"/>
        </w:rPr>
        <w:t xml:space="preserve">Section 4 – </w:t>
      </w:r>
      <w:r w:rsidR="00BD39FE">
        <w:rPr>
          <w:rFonts w:eastAsia="SimSun"/>
        </w:rPr>
        <w:t>Definitions</w:t>
      </w:r>
    </w:p>
    <w:p w14:paraId="60E21BBF" w14:textId="4DD6294D" w:rsidR="0090216C" w:rsidRDefault="00303970" w:rsidP="003D216D">
      <w:pPr>
        <w:pStyle w:val="EMclausenotes"/>
      </w:pPr>
      <w:r w:rsidRPr="00FD6D87">
        <w:t xml:space="preserve">This section provides </w:t>
      </w:r>
      <w:r w:rsidR="00BD39FE">
        <w:t xml:space="preserve">for the definitions for a number of expressions in the instrument. </w:t>
      </w:r>
    </w:p>
    <w:p w14:paraId="656B4D11" w14:textId="66D162E5" w:rsidR="00876D3F" w:rsidRDefault="00876D3F" w:rsidP="003D216D">
      <w:pPr>
        <w:pStyle w:val="EMclausenotes"/>
      </w:pPr>
      <w:r>
        <w:t xml:space="preserve">An </w:t>
      </w:r>
      <w:r>
        <w:rPr>
          <w:b/>
          <w:i/>
        </w:rPr>
        <w:t>exempt applicant</w:t>
      </w:r>
      <w:r w:rsidR="00330B70">
        <w:t xml:space="preserve"> is defined as the following: </w:t>
      </w:r>
    </w:p>
    <w:p w14:paraId="09CBD7FE" w14:textId="23974911" w:rsidR="00330B70" w:rsidRDefault="007219D1" w:rsidP="007219D1">
      <w:pPr>
        <w:pStyle w:val="ESbullet"/>
        <w:numPr>
          <w:ilvl w:val="0"/>
          <w:numId w:val="44"/>
        </w:numPr>
        <w:ind w:left="360"/>
      </w:pPr>
      <w:r>
        <w:t>a</w:t>
      </w:r>
      <w:r w:rsidR="00330B70">
        <w:t xml:space="preserve">n applicant who is a citizen of, and who holds a valid passport issued by Canada, New Zealand, the Republic of Ireland, the United Kingdom, or the United States; or </w:t>
      </w:r>
    </w:p>
    <w:p w14:paraId="46BE74A3" w14:textId="221067B8" w:rsidR="00330B70" w:rsidRDefault="007219D1" w:rsidP="007219D1">
      <w:pPr>
        <w:pStyle w:val="ESbullet"/>
        <w:numPr>
          <w:ilvl w:val="0"/>
          <w:numId w:val="44"/>
        </w:numPr>
        <w:ind w:left="360"/>
      </w:pPr>
      <w:r>
        <w:t xml:space="preserve">an </w:t>
      </w:r>
      <w:r w:rsidR="00330B70">
        <w:t xml:space="preserve">applicant who has completed at least 5 years of full-time study in a secondary education institution or higher education institution where the instruction was delivered in English; or </w:t>
      </w:r>
    </w:p>
    <w:p w14:paraId="02BD425E" w14:textId="2ADBBC7E" w:rsidR="00330B70" w:rsidRDefault="007219D1" w:rsidP="007219D1">
      <w:pPr>
        <w:pStyle w:val="ESbullet"/>
        <w:numPr>
          <w:ilvl w:val="0"/>
          <w:numId w:val="44"/>
        </w:numPr>
        <w:ind w:left="360"/>
      </w:pPr>
      <w:r>
        <w:t xml:space="preserve">an </w:t>
      </w:r>
      <w:r w:rsidR="00330B70">
        <w:t>applicant who has been nominated by a standard business sponsor in relation to an occupation that will be performed at a diplomatic or consular mission of another country, or an Office of the Authorities of Taiwan located in Australia</w:t>
      </w:r>
      <w:r>
        <w:t>;</w:t>
      </w:r>
      <w:r w:rsidR="00330B70">
        <w:t xml:space="preserve"> or </w:t>
      </w:r>
    </w:p>
    <w:p w14:paraId="42075EA8" w14:textId="4ADAF315" w:rsidR="00330B70" w:rsidRDefault="007219D1" w:rsidP="006D3A94">
      <w:pPr>
        <w:pStyle w:val="ESbullet"/>
        <w:numPr>
          <w:ilvl w:val="0"/>
          <w:numId w:val="44"/>
        </w:numPr>
        <w:ind w:left="360"/>
      </w:pPr>
      <w:r>
        <w:t xml:space="preserve">an </w:t>
      </w:r>
      <w:r w:rsidR="00330B70">
        <w:t xml:space="preserve">applicant: </w:t>
      </w:r>
    </w:p>
    <w:p w14:paraId="1234DF3E" w14:textId="4CAC4724" w:rsidR="00330B70" w:rsidRDefault="007219D1" w:rsidP="006D3A94">
      <w:pPr>
        <w:pStyle w:val="ESsub-bullet"/>
        <w:numPr>
          <w:ilvl w:val="1"/>
          <w:numId w:val="46"/>
        </w:numPr>
        <w:ind w:left="1080"/>
      </w:pPr>
      <w:r>
        <w:t xml:space="preserve">who </w:t>
      </w:r>
      <w:r w:rsidR="00330B70">
        <w:t xml:space="preserve">has been nominated in relation to an occupation that requires the applicant to hold a license, registration or membership to perform the occupation; and </w:t>
      </w:r>
    </w:p>
    <w:p w14:paraId="4DAA560F" w14:textId="08321A1B" w:rsidR="00330B70" w:rsidRDefault="007219D1" w:rsidP="006D3A94">
      <w:pPr>
        <w:pStyle w:val="ESsub-bullet"/>
        <w:numPr>
          <w:ilvl w:val="1"/>
          <w:numId w:val="46"/>
        </w:numPr>
        <w:ind w:left="1080"/>
      </w:pPr>
      <w:r>
        <w:t xml:space="preserve">who </w:t>
      </w:r>
      <w:r w:rsidR="00330B70">
        <w:t xml:space="preserve">has been granted that license, registration or membership; and </w:t>
      </w:r>
    </w:p>
    <w:p w14:paraId="2766CF9D" w14:textId="0FFBB0FE" w:rsidR="00330B70" w:rsidRDefault="007219D1" w:rsidP="006D3A94">
      <w:pPr>
        <w:pStyle w:val="ESsub-bullet"/>
        <w:numPr>
          <w:ilvl w:val="1"/>
          <w:numId w:val="46"/>
        </w:numPr>
        <w:ind w:left="1080"/>
      </w:pPr>
      <w:r>
        <w:t>w</w:t>
      </w:r>
      <w:r w:rsidRPr="00330B70">
        <w:t>ho</w:t>
      </w:r>
      <w:r w:rsidR="00330B70" w:rsidRPr="00330B70">
        <w:t xml:space="preserve">, for the purposes of the grant of that license, registration or membership, was required to demonstrate a level of English language proficiency that is equivalent to, or better than, the level of English language proficiency that is required to achieve the required test scores for an approved English language test </w:t>
      </w:r>
      <w:r w:rsidR="00AA2A3F">
        <w:t>etc</w:t>
      </w:r>
      <w:r w:rsidR="00330B70" w:rsidRPr="00330B70">
        <w:t>; or</w:t>
      </w:r>
    </w:p>
    <w:p w14:paraId="40F3A3FC" w14:textId="45C1AC42" w:rsidR="00330B70" w:rsidRPr="00330B70" w:rsidRDefault="007219D1" w:rsidP="006D3A94">
      <w:pPr>
        <w:pStyle w:val="ESbullet"/>
        <w:numPr>
          <w:ilvl w:val="0"/>
          <w:numId w:val="44"/>
        </w:numPr>
        <w:ind w:left="360"/>
      </w:pPr>
      <w:r>
        <w:t>a</w:t>
      </w:r>
      <w:r w:rsidR="00330B70">
        <w:t xml:space="preserve">n applicant who is employed by a company operating an established business overseas, and is nominated by a standard business sponsor who is that company or an associated entity of that company, and will receive annual earnings of at least AUD 96,400. </w:t>
      </w:r>
    </w:p>
    <w:p w14:paraId="0E241CC6" w14:textId="43C825F4" w:rsidR="00876D3F" w:rsidRDefault="00876D3F" w:rsidP="003D216D">
      <w:pPr>
        <w:pStyle w:val="EMclausenotes"/>
      </w:pPr>
      <w:r>
        <w:rPr>
          <w:b/>
          <w:i/>
        </w:rPr>
        <w:lastRenderedPageBreak/>
        <w:t>Full-time study</w:t>
      </w:r>
      <w:r>
        <w:t xml:space="preserve"> is defined </w:t>
      </w:r>
      <w:r w:rsidR="000336E5">
        <w:t xml:space="preserve">as the following: </w:t>
      </w:r>
    </w:p>
    <w:p w14:paraId="3AC088A5" w14:textId="31FA2B5B" w:rsidR="000336E5" w:rsidRDefault="007219D1" w:rsidP="006D3A94">
      <w:pPr>
        <w:pStyle w:val="ESbullet"/>
        <w:numPr>
          <w:ilvl w:val="0"/>
          <w:numId w:val="44"/>
        </w:numPr>
        <w:ind w:left="360"/>
      </w:pPr>
      <w:r>
        <w:t xml:space="preserve">in </w:t>
      </w:r>
      <w:r w:rsidR="000336E5">
        <w:t xml:space="preserve">relation to a secondary education institution in a particular country – the standard number of contract hours that a student would undertake in that country; or </w:t>
      </w:r>
    </w:p>
    <w:p w14:paraId="435A9FDE" w14:textId="655E118E" w:rsidR="000336E5" w:rsidRDefault="007219D1" w:rsidP="006D3A94">
      <w:pPr>
        <w:pStyle w:val="ESbullet"/>
        <w:numPr>
          <w:ilvl w:val="0"/>
          <w:numId w:val="44"/>
        </w:numPr>
        <w:ind w:left="360"/>
      </w:pPr>
      <w:r>
        <w:t xml:space="preserve">in </w:t>
      </w:r>
      <w:r w:rsidR="000336E5">
        <w:t xml:space="preserve">relation to a higher education institution – the completion of at least 3 subjects in each semester or trimester of study. </w:t>
      </w:r>
    </w:p>
    <w:p w14:paraId="067A799C" w14:textId="2B977CE7" w:rsidR="007F3733" w:rsidRDefault="00876D3F" w:rsidP="003D216D">
      <w:pPr>
        <w:pStyle w:val="EMclausenotes"/>
      </w:pPr>
      <w:r>
        <w:t xml:space="preserve">The </w:t>
      </w:r>
      <w:r w:rsidR="00153455">
        <w:t xml:space="preserve">meaning of </w:t>
      </w:r>
      <w:r>
        <w:rPr>
          <w:b/>
          <w:i/>
        </w:rPr>
        <w:t>required test scores</w:t>
      </w:r>
      <w:r>
        <w:t xml:space="preserve"> for an approved English language test </w:t>
      </w:r>
      <w:r w:rsidR="00153455">
        <w:t>is provided for</w:t>
      </w:r>
      <w:r w:rsidR="006F06E0">
        <w:t xml:space="preserve"> in subsection</w:t>
      </w:r>
      <w:r w:rsidR="00DF2BBF">
        <w:t xml:space="preserve"> 6(4)</w:t>
      </w:r>
      <w:r>
        <w:t xml:space="preserve"> of this instrument. </w:t>
      </w:r>
      <w:r w:rsidR="007F3733">
        <w:t xml:space="preserve"> </w:t>
      </w:r>
    </w:p>
    <w:p w14:paraId="79C6B8B3" w14:textId="4697DD25" w:rsidR="00876D3F" w:rsidRDefault="00876D3F" w:rsidP="003D216D">
      <w:pPr>
        <w:pStyle w:val="EMclausenotes"/>
      </w:pPr>
      <w:r>
        <w:rPr>
          <w:b/>
          <w:i/>
        </w:rPr>
        <w:t>Test component</w:t>
      </w:r>
      <w:r>
        <w:t xml:space="preserve"> is defined to include listening, reading, speaking, and writing as test components of an approved English language test. </w:t>
      </w:r>
    </w:p>
    <w:p w14:paraId="4B0BAC7B" w14:textId="0643D10F" w:rsidR="0009106E" w:rsidRDefault="0009106E" w:rsidP="007219D1">
      <w:pPr>
        <w:pStyle w:val="EMclausenoteheader"/>
        <w:keepNext/>
        <w:spacing w:before="240" w:after="240" w:line="276" w:lineRule="auto"/>
      </w:pPr>
      <w:r>
        <w:t xml:space="preserve">Section 5 – </w:t>
      </w:r>
      <w:r w:rsidRPr="007219D1">
        <w:rPr>
          <w:rFonts w:eastAsia="SimSun"/>
        </w:rPr>
        <w:t>Schedules</w:t>
      </w:r>
    </w:p>
    <w:p w14:paraId="17019DE0" w14:textId="2BCBCCC6" w:rsidR="0009106E" w:rsidRPr="0009106E" w:rsidRDefault="0009106E" w:rsidP="003D216D">
      <w:pPr>
        <w:pStyle w:val="EMclausenotes"/>
      </w:pPr>
      <w:r>
        <w:t xml:space="preserve">This section provides that </w:t>
      </w:r>
      <w:r w:rsidRPr="0009106E">
        <w:t>each instrument that is specified in a Schedule to this instrument is amended or repealed as set out in the applicable items in the Schedule concerned, and any other item in a Schedule to this instrument has effect according to its terms.</w:t>
      </w:r>
    </w:p>
    <w:bookmarkEnd w:id="1"/>
    <w:bookmarkEnd w:id="2"/>
    <w:bookmarkEnd w:id="3"/>
    <w:p w14:paraId="48C00A22" w14:textId="6E045159" w:rsidR="0092224C" w:rsidRDefault="00BD39FE" w:rsidP="007219D1">
      <w:pPr>
        <w:pStyle w:val="EMclausenoteheader"/>
        <w:keepNext/>
        <w:spacing w:before="240" w:after="240" w:line="276" w:lineRule="auto"/>
      </w:pPr>
      <w:r>
        <w:t>Section 6</w:t>
      </w:r>
      <w:r w:rsidRPr="00657DE3">
        <w:t xml:space="preserve"> – </w:t>
      </w:r>
      <w:r>
        <w:t>L</w:t>
      </w:r>
      <w:r w:rsidR="00562AC5">
        <w:t>anguage test requirements</w:t>
      </w:r>
    </w:p>
    <w:p w14:paraId="3F5CFDF9" w14:textId="2A2E967D" w:rsidR="00C07B12" w:rsidRDefault="00C07B12" w:rsidP="005219CE">
      <w:pPr>
        <w:pStyle w:val="EMclausenoteheader"/>
        <w:ind w:left="0" w:firstLine="0"/>
        <w:rPr>
          <w:u w:val="none"/>
        </w:rPr>
      </w:pPr>
      <w:r>
        <w:rPr>
          <w:u w:val="none"/>
        </w:rPr>
        <w:t>Subsection 6(1) provides that section 6 specifies language test requirements for the purposes of</w:t>
      </w:r>
      <w:r w:rsidRPr="00C07B12">
        <w:rPr>
          <w:u w:val="none"/>
        </w:rPr>
        <w:t xml:space="preserve"> subclauses 482.222(1) and 482.232(1) of Schedule 2 to the</w:t>
      </w:r>
      <w:r>
        <w:rPr>
          <w:u w:val="none"/>
        </w:rPr>
        <w:t xml:space="preserve"> Migration</w:t>
      </w:r>
      <w:r w:rsidRPr="00C07B12">
        <w:rPr>
          <w:u w:val="none"/>
        </w:rPr>
        <w:t xml:space="preserve"> Regulations</w:t>
      </w:r>
      <w:r>
        <w:rPr>
          <w:u w:val="none"/>
        </w:rPr>
        <w:t>.</w:t>
      </w:r>
    </w:p>
    <w:p w14:paraId="754E345B" w14:textId="35274A5F" w:rsidR="00C07B12" w:rsidRDefault="00C07B12" w:rsidP="005219CE">
      <w:pPr>
        <w:pStyle w:val="EMclausenoteheader"/>
        <w:ind w:left="0" w:firstLine="0"/>
        <w:rPr>
          <w:rFonts w:eastAsia="Times New Roman"/>
          <w:u w:val="none"/>
        </w:rPr>
      </w:pPr>
      <w:r>
        <w:rPr>
          <w:u w:val="none"/>
        </w:rPr>
        <w:t>Amongst other things, the</w:t>
      </w:r>
      <w:r w:rsidR="005219CE" w:rsidRPr="005219CE">
        <w:rPr>
          <w:u w:val="none"/>
        </w:rPr>
        <w:t xml:space="preserve"> </w:t>
      </w:r>
      <w:r w:rsidR="005219CE" w:rsidRPr="005219CE">
        <w:rPr>
          <w:i/>
          <w:u w:val="none"/>
        </w:rPr>
        <w:t xml:space="preserve">Migration </w:t>
      </w:r>
      <w:r w:rsidR="005219CE" w:rsidRPr="005219CE">
        <w:rPr>
          <w:rFonts w:eastAsia="Times New Roman"/>
          <w:i/>
          <w:u w:val="none"/>
        </w:rPr>
        <w:t>Amendment (2024 Measures No. 1) Regulations 2024</w:t>
      </w:r>
      <w:r w:rsidR="005219CE">
        <w:rPr>
          <w:rFonts w:eastAsia="Times New Roman"/>
          <w:u w:val="none"/>
        </w:rPr>
        <w:t xml:space="preserve"> </w:t>
      </w:r>
      <w:r>
        <w:rPr>
          <w:rFonts w:eastAsia="Times New Roman"/>
          <w:u w:val="none"/>
        </w:rPr>
        <w:t>(the Amendment Regulations) amended the Migration Regulations to repeal the existing s</w:t>
      </w:r>
      <w:r w:rsidRPr="00C07B12">
        <w:rPr>
          <w:rFonts w:eastAsia="Times New Roman"/>
          <w:u w:val="none"/>
        </w:rPr>
        <w:t>ubdivisions 482.22 and 482.23 of Schedule 2</w:t>
      </w:r>
      <w:r>
        <w:rPr>
          <w:rFonts w:eastAsia="Times New Roman"/>
          <w:u w:val="none"/>
        </w:rPr>
        <w:t xml:space="preserve"> under which IMMI 18/032 had been made.</w:t>
      </w:r>
    </w:p>
    <w:p w14:paraId="71CEADAD" w14:textId="6ACCCC67" w:rsidR="001627F7" w:rsidRDefault="00C07B12" w:rsidP="005219CE">
      <w:pPr>
        <w:pStyle w:val="EMclausenoteheader"/>
        <w:ind w:left="0" w:firstLine="0"/>
        <w:rPr>
          <w:rFonts w:eastAsia="Times New Roman"/>
          <w:u w:val="none"/>
        </w:rPr>
      </w:pPr>
      <w:r>
        <w:rPr>
          <w:rFonts w:eastAsia="Times New Roman"/>
          <w:u w:val="none"/>
        </w:rPr>
        <w:t xml:space="preserve">The Amendment Regulations substituted </w:t>
      </w:r>
      <w:r w:rsidR="005219CE">
        <w:rPr>
          <w:rFonts w:eastAsia="Times New Roman"/>
          <w:u w:val="none"/>
        </w:rPr>
        <w:t>new</w:t>
      </w:r>
      <w:r>
        <w:rPr>
          <w:rFonts w:eastAsia="Times New Roman"/>
          <w:u w:val="none"/>
        </w:rPr>
        <w:t xml:space="preserve"> s</w:t>
      </w:r>
      <w:r w:rsidRPr="00C07B12">
        <w:rPr>
          <w:rFonts w:eastAsia="Times New Roman"/>
          <w:u w:val="none"/>
        </w:rPr>
        <w:t>ubdivisions 482.22 and 482.23 of Schedule 2</w:t>
      </w:r>
      <w:r>
        <w:rPr>
          <w:rFonts w:eastAsia="Times New Roman"/>
          <w:u w:val="none"/>
        </w:rPr>
        <w:t xml:space="preserve"> to the Migration Regulations</w:t>
      </w:r>
      <w:r w:rsidR="009C65C1">
        <w:rPr>
          <w:rFonts w:eastAsia="Times New Roman"/>
          <w:u w:val="none"/>
        </w:rPr>
        <w:t xml:space="preserve">. This </w:t>
      </w:r>
      <w:r>
        <w:rPr>
          <w:rFonts w:eastAsia="Times New Roman"/>
          <w:u w:val="none"/>
        </w:rPr>
        <w:t>include</w:t>
      </w:r>
      <w:r w:rsidR="009C65C1">
        <w:rPr>
          <w:rFonts w:eastAsia="Times New Roman"/>
          <w:u w:val="none"/>
        </w:rPr>
        <w:t>d</w:t>
      </w:r>
      <w:r>
        <w:rPr>
          <w:rFonts w:eastAsia="Times New Roman"/>
          <w:u w:val="none"/>
        </w:rPr>
        <w:t xml:space="preserve"> new</w:t>
      </w:r>
      <w:r w:rsidR="005219CE">
        <w:rPr>
          <w:rFonts w:eastAsia="Times New Roman"/>
          <w:u w:val="none"/>
        </w:rPr>
        <w:t xml:space="preserve"> clauses 482.222 and 482.232</w:t>
      </w:r>
      <w:r w:rsidR="00AA2A3F">
        <w:rPr>
          <w:rFonts w:eastAsia="Times New Roman"/>
          <w:u w:val="none"/>
        </w:rPr>
        <w:t xml:space="preserve">, which respectively set out the language </w:t>
      </w:r>
      <w:r w:rsidR="00047E44">
        <w:rPr>
          <w:rFonts w:eastAsia="Times New Roman"/>
          <w:u w:val="none"/>
        </w:rPr>
        <w:t>test</w:t>
      </w:r>
      <w:r w:rsidR="005219CE">
        <w:rPr>
          <w:rFonts w:eastAsia="Times New Roman"/>
          <w:u w:val="none"/>
        </w:rPr>
        <w:t xml:space="preserve"> requirements for an applicant to the Specialist Skills stream and Core Skills stream of the Subclass 482 (Skills in Demand) visa. </w:t>
      </w:r>
    </w:p>
    <w:p w14:paraId="43EF88F8" w14:textId="35950728" w:rsidR="00AA2A3F" w:rsidRDefault="001627F7" w:rsidP="005219CE">
      <w:pPr>
        <w:pStyle w:val="EMclausenoteheader"/>
        <w:ind w:left="0" w:firstLine="0"/>
        <w:rPr>
          <w:rFonts w:eastAsia="Times New Roman"/>
          <w:u w:val="none"/>
        </w:rPr>
      </w:pPr>
      <w:r>
        <w:rPr>
          <w:rFonts w:eastAsia="Times New Roman"/>
          <w:u w:val="none"/>
        </w:rPr>
        <w:t>The effect is that an applicant to the Specialist Skills stream and Core Skills stream to the Subclass 482 (Skills in Demand) visa must satisfy the language test requirements</w:t>
      </w:r>
      <w:r w:rsidR="009C65C1">
        <w:rPr>
          <w:rFonts w:eastAsia="Times New Roman"/>
          <w:u w:val="none"/>
        </w:rPr>
        <w:t xml:space="preserve"> specified by the Minister in a legislative</w:t>
      </w:r>
      <w:r>
        <w:rPr>
          <w:rFonts w:eastAsia="Times New Roman"/>
          <w:u w:val="none"/>
        </w:rPr>
        <w:t xml:space="preserve"> instrument </w:t>
      </w:r>
      <w:r w:rsidR="009C65C1">
        <w:rPr>
          <w:rFonts w:eastAsia="Times New Roman"/>
          <w:u w:val="none"/>
        </w:rPr>
        <w:t>made</w:t>
      </w:r>
      <w:r>
        <w:rPr>
          <w:rFonts w:eastAsia="Times New Roman"/>
          <w:u w:val="none"/>
        </w:rPr>
        <w:t xml:space="preserve"> under the following provisions: </w:t>
      </w:r>
    </w:p>
    <w:p w14:paraId="5CB3E156" w14:textId="563E3B1C" w:rsidR="001627F7" w:rsidRDefault="007219D1" w:rsidP="006D3A94">
      <w:pPr>
        <w:pStyle w:val="ESbullet"/>
        <w:numPr>
          <w:ilvl w:val="0"/>
          <w:numId w:val="44"/>
        </w:numPr>
        <w:ind w:left="360"/>
      </w:pPr>
      <w:r>
        <w:t xml:space="preserve">for </w:t>
      </w:r>
      <w:r w:rsidR="001627F7">
        <w:t>an applicant to the Specialist Skills stream – subclause 482.222(1);</w:t>
      </w:r>
    </w:p>
    <w:p w14:paraId="38D8BCC2" w14:textId="2C6E868D" w:rsidR="001627F7" w:rsidRPr="001627F7" w:rsidRDefault="007219D1" w:rsidP="006D3A94">
      <w:pPr>
        <w:pStyle w:val="ESbullet"/>
        <w:numPr>
          <w:ilvl w:val="0"/>
          <w:numId w:val="44"/>
        </w:numPr>
        <w:ind w:left="360"/>
      </w:pPr>
      <w:r>
        <w:t xml:space="preserve">for </w:t>
      </w:r>
      <w:r w:rsidR="001627F7">
        <w:t xml:space="preserve">an applicant to the Core Skills stream – subclause 482.231(1). </w:t>
      </w:r>
    </w:p>
    <w:p w14:paraId="0BC002EB" w14:textId="7ED2E790" w:rsidR="004A6CBB" w:rsidRPr="004A6CBB" w:rsidRDefault="009C65C1" w:rsidP="00BD39FE">
      <w:pPr>
        <w:pStyle w:val="EMclausenoteheader"/>
        <w:ind w:left="0" w:firstLine="0"/>
        <w:rPr>
          <w:u w:val="none"/>
        </w:rPr>
      </w:pPr>
      <w:r>
        <w:rPr>
          <w:u w:val="none"/>
        </w:rPr>
        <w:t>Subsection 6(2</w:t>
      </w:r>
      <w:r w:rsidR="00BD39FE">
        <w:rPr>
          <w:u w:val="none"/>
        </w:rPr>
        <w:t xml:space="preserve">) </w:t>
      </w:r>
      <w:r w:rsidR="00784788">
        <w:rPr>
          <w:u w:val="none"/>
        </w:rPr>
        <w:t>requires</w:t>
      </w:r>
      <w:r w:rsidR="00BD39FE">
        <w:rPr>
          <w:u w:val="none"/>
        </w:rPr>
        <w:t xml:space="preserve"> </w:t>
      </w:r>
      <w:r w:rsidR="00D621AC">
        <w:rPr>
          <w:u w:val="none"/>
        </w:rPr>
        <w:t xml:space="preserve">an </w:t>
      </w:r>
      <w:r w:rsidR="00BD39FE">
        <w:rPr>
          <w:u w:val="none"/>
        </w:rPr>
        <w:t xml:space="preserve">applicant </w:t>
      </w:r>
      <w:r w:rsidR="00AC07B6">
        <w:rPr>
          <w:u w:val="none"/>
        </w:rPr>
        <w:t xml:space="preserve">in the Specialist Skills stream or Core Skills stream </w:t>
      </w:r>
      <w:r w:rsidR="00BD39FE">
        <w:rPr>
          <w:u w:val="none"/>
        </w:rPr>
        <w:t xml:space="preserve">(other than an exempt applicant) </w:t>
      </w:r>
      <w:r w:rsidR="00784788">
        <w:rPr>
          <w:u w:val="none"/>
        </w:rPr>
        <w:t>to</w:t>
      </w:r>
      <w:r w:rsidR="00BD39FE">
        <w:rPr>
          <w:u w:val="none"/>
        </w:rPr>
        <w:t xml:space="preserve"> have taken an approved English test on a </w:t>
      </w:r>
      <w:r w:rsidR="004A6CBB">
        <w:rPr>
          <w:u w:val="none"/>
        </w:rPr>
        <w:t xml:space="preserve">particular day (the </w:t>
      </w:r>
      <w:r w:rsidR="004A6CBB">
        <w:rPr>
          <w:b/>
          <w:i/>
          <w:u w:val="none"/>
        </w:rPr>
        <w:t>test day</w:t>
      </w:r>
      <w:r w:rsidR="004A6CBB">
        <w:rPr>
          <w:u w:val="none"/>
        </w:rPr>
        <w:t xml:space="preserve">), and achieved the required scores needed for that test in a single attempt at </w:t>
      </w:r>
      <w:r w:rsidR="005B1D6B">
        <w:rPr>
          <w:u w:val="none"/>
        </w:rPr>
        <w:t>the</w:t>
      </w:r>
      <w:r w:rsidR="004A6CBB">
        <w:rPr>
          <w:u w:val="none"/>
        </w:rPr>
        <w:t xml:space="preserve"> test. </w:t>
      </w:r>
      <w:r w:rsidR="009E07E9">
        <w:rPr>
          <w:u w:val="none"/>
        </w:rPr>
        <w:t xml:space="preserve">The test day must not have </w:t>
      </w:r>
      <w:r w:rsidR="005B1D6B">
        <w:rPr>
          <w:u w:val="none"/>
        </w:rPr>
        <w:t>occurred</w:t>
      </w:r>
      <w:r w:rsidR="009E07E9">
        <w:rPr>
          <w:u w:val="none"/>
        </w:rPr>
        <w:t xml:space="preserve"> more than 3 years before the day on which the applicant </w:t>
      </w:r>
      <w:r w:rsidR="00C80B93">
        <w:rPr>
          <w:u w:val="none"/>
        </w:rPr>
        <w:t>provides</w:t>
      </w:r>
      <w:r w:rsidR="009E07E9">
        <w:rPr>
          <w:u w:val="none"/>
        </w:rPr>
        <w:t xml:space="preserve"> evidence of their required test scores. </w:t>
      </w:r>
    </w:p>
    <w:p w14:paraId="3E44BA9A" w14:textId="4891C6ED" w:rsidR="00BD39FE" w:rsidRDefault="009C65C1" w:rsidP="00BD39FE">
      <w:pPr>
        <w:pStyle w:val="EMclausenoteheader"/>
        <w:ind w:left="0" w:firstLine="0"/>
        <w:rPr>
          <w:u w:val="none"/>
        </w:rPr>
      </w:pPr>
      <w:r>
        <w:rPr>
          <w:u w:val="none"/>
        </w:rPr>
        <w:t>Subsection 6(3</w:t>
      </w:r>
      <w:r w:rsidR="00BD39FE">
        <w:rPr>
          <w:u w:val="none"/>
        </w:rPr>
        <w:t xml:space="preserve">) </w:t>
      </w:r>
      <w:r w:rsidR="004A6CBB">
        <w:rPr>
          <w:u w:val="none"/>
        </w:rPr>
        <w:t>provides that each of the following is an</w:t>
      </w:r>
      <w:r w:rsidR="00D35FEA">
        <w:rPr>
          <w:u w:val="none"/>
        </w:rPr>
        <w:t xml:space="preserve"> </w:t>
      </w:r>
      <w:r w:rsidR="00D35FEA">
        <w:rPr>
          <w:b/>
          <w:i/>
          <w:u w:val="none"/>
        </w:rPr>
        <w:t>approved English</w:t>
      </w:r>
      <w:r w:rsidR="004A6CBB">
        <w:rPr>
          <w:b/>
          <w:i/>
          <w:u w:val="none"/>
        </w:rPr>
        <w:t xml:space="preserve"> language test</w:t>
      </w:r>
      <w:r w:rsidR="004A6CBB">
        <w:rPr>
          <w:u w:val="none"/>
        </w:rPr>
        <w:t xml:space="preserve">: </w:t>
      </w:r>
    </w:p>
    <w:p w14:paraId="3AE3566A" w14:textId="3E93ACAD" w:rsidR="004A6CBB" w:rsidRDefault="004A6CBB" w:rsidP="006D3A94">
      <w:pPr>
        <w:pStyle w:val="ESbullet"/>
        <w:numPr>
          <w:ilvl w:val="0"/>
          <w:numId w:val="44"/>
        </w:numPr>
        <w:ind w:left="360"/>
      </w:pPr>
      <w:r>
        <w:t xml:space="preserve">the International English Language Testing System (the </w:t>
      </w:r>
      <w:r w:rsidRPr="006D3A94">
        <w:t>IELTS</w:t>
      </w:r>
      <w:r>
        <w:t xml:space="preserve">); </w:t>
      </w:r>
    </w:p>
    <w:p w14:paraId="42543C05" w14:textId="3FD6CEAE" w:rsidR="004A6CBB" w:rsidRDefault="004A6CBB" w:rsidP="006D3A94">
      <w:pPr>
        <w:pStyle w:val="ESbullet"/>
        <w:numPr>
          <w:ilvl w:val="0"/>
          <w:numId w:val="44"/>
        </w:numPr>
        <w:ind w:left="360"/>
      </w:pPr>
      <w:r>
        <w:t xml:space="preserve">the Occupational English Test (the </w:t>
      </w:r>
      <w:r w:rsidRPr="006D3A94">
        <w:t>OET</w:t>
      </w:r>
      <w:r>
        <w:t xml:space="preserve">); </w:t>
      </w:r>
    </w:p>
    <w:p w14:paraId="2EC3BFC1" w14:textId="36606EC0" w:rsidR="004A6CBB" w:rsidRDefault="004A6CBB" w:rsidP="006D3A94">
      <w:pPr>
        <w:pStyle w:val="ESbullet"/>
        <w:numPr>
          <w:ilvl w:val="0"/>
          <w:numId w:val="44"/>
        </w:numPr>
        <w:ind w:left="360"/>
      </w:pPr>
      <w:r>
        <w:t xml:space="preserve">the Test of English as a Foreign Language internet-based test (the </w:t>
      </w:r>
      <w:r w:rsidRPr="006D3A94">
        <w:t>TOEFL</w:t>
      </w:r>
      <w:r>
        <w:t xml:space="preserve">); </w:t>
      </w:r>
    </w:p>
    <w:p w14:paraId="2C8585C8" w14:textId="21DC507E" w:rsidR="004A6CBB" w:rsidRDefault="004A6CBB" w:rsidP="006D3A94">
      <w:pPr>
        <w:pStyle w:val="ESbullet"/>
        <w:numPr>
          <w:ilvl w:val="0"/>
          <w:numId w:val="44"/>
        </w:numPr>
        <w:ind w:left="360"/>
      </w:pPr>
      <w:r>
        <w:lastRenderedPageBreak/>
        <w:t xml:space="preserve">the Pearson Test of English Academic (the </w:t>
      </w:r>
      <w:r>
        <w:rPr>
          <w:b/>
          <w:i/>
        </w:rPr>
        <w:t>PTE</w:t>
      </w:r>
      <w:r>
        <w:t xml:space="preserve">); </w:t>
      </w:r>
    </w:p>
    <w:p w14:paraId="664D101F" w14:textId="5DE932D9" w:rsidR="00EB3D67" w:rsidRPr="00A51A18" w:rsidRDefault="004A6CBB" w:rsidP="006D3A94">
      <w:pPr>
        <w:pStyle w:val="ESbullet"/>
        <w:numPr>
          <w:ilvl w:val="0"/>
          <w:numId w:val="44"/>
        </w:numPr>
        <w:ind w:left="360"/>
      </w:pPr>
      <w:r>
        <w:t>the Cambridge English: Advanced Test (</w:t>
      </w:r>
      <w:r>
        <w:rPr>
          <w:b/>
          <w:i/>
        </w:rPr>
        <w:t>CAE</w:t>
      </w:r>
      <w:r>
        <w:t>)</w:t>
      </w:r>
      <w:r w:rsidR="00EB3D67">
        <w:t>.</w:t>
      </w:r>
    </w:p>
    <w:p w14:paraId="5804ECEE" w14:textId="1A5C595F" w:rsidR="00A51A18" w:rsidRDefault="009C65C1" w:rsidP="00A51A18">
      <w:pPr>
        <w:rPr>
          <w:rFonts w:eastAsia="Times New Roman"/>
        </w:rPr>
      </w:pPr>
      <w:r>
        <w:t>Subsection 6(4</w:t>
      </w:r>
      <w:r w:rsidR="00EB3D67">
        <w:t xml:space="preserve">) </w:t>
      </w:r>
      <w:r w:rsidR="00D26C0D">
        <w:t>sets out</w:t>
      </w:r>
      <w:r w:rsidR="00A51A18">
        <w:t xml:space="preserve"> a</w:t>
      </w:r>
      <w:r w:rsidR="00EB3D67">
        <w:t xml:space="preserve"> table that </w:t>
      </w:r>
      <w:r w:rsidR="00C74C04">
        <w:t>provides for</w:t>
      </w:r>
      <w:r w:rsidR="00A51A18">
        <w:t xml:space="preserve"> the </w:t>
      </w:r>
      <w:r w:rsidR="00A51A18">
        <w:rPr>
          <w:b/>
          <w:i/>
        </w:rPr>
        <w:t>required test scores</w:t>
      </w:r>
      <w:r w:rsidR="00720CE6">
        <w:t>.</w:t>
      </w:r>
      <w:r w:rsidR="00BF4228">
        <w:t xml:space="preserve"> </w:t>
      </w:r>
      <w:r w:rsidR="00A51A18">
        <w:t xml:space="preserve">The required </w:t>
      </w:r>
      <w:r w:rsidR="00DD179A">
        <w:t xml:space="preserve">test </w:t>
      </w:r>
      <w:r w:rsidR="00A51A18">
        <w:t xml:space="preserve">scores </w:t>
      </w:r>
      <w:r w:rsidR="0006107F">
        <w:t xml:space="preserve">for </w:t>
      </w:r>
      <w:r w:rsidR="007225E3">
        <w:t xml:space="preserve">applicants </w:t>
      </w:r>
      <w:r w:rsidR="00BF4228">
        <w:t xml:space="preserve">for both </w:t>
      </w:r>
      <w:r w:rsidR="00831AD0">
        <w:t xml:space="preserve">the Specialist Skills stream and Core Skills stream </w:t>
      </w:r>
      <w:r w:rsidR="000D3809">
        <w:t xml:space="preserve">of the Subclass 482 (Skills in Demand) visa </w:t>
      </w:r>
      <w:r w:rsidR="00A51A18">
        <w:t xml:space="preserve">are </w:t>
      </w:r>
      <w:r w:rsidR="00A51A18">
        <w:rPr>
          <w:rFonts w:eastAsia="Times New Roman"/>
        </w:rPr>
        <w:t xml:space="preserve">identical to the requirements that previously applied </w:t>
      </w:r>
      <w:r w:rsidR="00DD179A">
        <w:rPr>
          <w:rFonts w:eastAsia="Times New Roman"/>
        </w:rPr>
        <w:t>for</w:t>
      </w:r>
      <w:r w:rsidR="00A51A18">
        <w:rPr>
          <w:rFonts w:eastAsia="Times New Roman"/>
        </w:rPr>
        <w:t xml:space="preserve"> an applicant to the Medium-term stream of the Subclass 482 (Temporary Skill Shortage) </w:t>
      </w:r>
      <w:r w:rsidR="008F5B36">
        <w:rPr>
          <w:rFonts w:eastAsia="Times New Roman"/>
        </w:rPr>
        <w:t>visa</w:t>
      </w:r>
      <w:r w:rsidR="00C62AF5">
        <w:rPr>
          <w:rFonts w:eastAsia="Times New Roman"/>
        </w:rPr>
        <w:t xml:space="preserve">. </w:t>
      </w:r>
    </w:p>
    <w:p w14:paraId="118B329B" w14:textId="07FC7F1E" w:rsidR="002759B1" w:rsidRDefault="002759B1" w:rsidP="007219D1">
      <w:pPr>
        <w:pStyle w:val="EMclausenoteheader"/>
        <w:keepNext/>
        <w:spacing w:before="240" w:after="240" w:line="276" w:lineRule="auto"/>
      </w:pPr>
      <w:r>
        <w:t>Section 7</w:t>
      </w:r>
      <w:r w:rsidRPr="00657DE3">
        <w:t xml:space="preserve"> – </w:t>
      </w:r>
      <w:r w:rsidRPr="002759B1">
        <w:t>Application of this instrument</w:t>
      </w:r>
    </w:p>
    <w:p w14:paraId="24212DE4" w14:textId="595A83C0" w:rsidR="002759B1" w:rsidRPr="002759B1" w:rsidRDefault="002759B1" w:rsidP="002759B1">
      <w:pPr>
        <w:pStyle w:val="EMclausenoteheader"/>
        <w:ind w:left="0" w:firstLine="0"/>
        <w:rPr>
          <w:u w:val="none"/>
        </w:rPr>
      </w:pPr>
      <w:r w:rsidRPr="002759B1">
        <w:rPr>
          <w:u w:val="none"/>
        </w:rPr>
        <w:t xml:space="preserve">This section provides that </w:t>
      </w:r>
      <w:r w:rsidRPr="002759B1">
        <w:rPr>
          <w:i/>
          <w:u w:val="none"/>
        </w:rPr>
        <w:t>Migration (Language Test Requirements for Subclass 482 Visa – LIN 24/099) Instrument 2024</w:t>
      </w:r>
      <w:r w:rsidRPr="002759B1">
        <w:rPr>
          <w:u w:val="none"/>
        </w:rPr>
        <w:t xml:space="preserve"> applies in relation to an application for a visa that is made on or after the commencement of this instrument.</w:t>
      </w:r>
    </w:p>
    <w:p w14:paraId="61F20240" w14:textId="214829F2" w:rsidR="002759B1" w:rsidRDefault="002759B1" w:rsidP="007219D1">
      <w:pPr>
        <w:pStyle w:val="EMclausenoteheader"/>
        <w:keepNext/>
        <w:spacing w:before="240" w:after="240" w:line="276" w:lineRule="auto"/>
      </w:pPr>
      <w:r>
        <w:t>Section 8</w:t>
      </w:r>
      <w:r w:rsidRPr="00657DE3">
        <w:t xml:space="preserve"> – </w:t>
      </w:r>
      <w:r w:rsidRPr="002759B1">
        <w:t>Continued application of IMMI 18/032</w:t>
      </w:r>
    </w:p>
    <w:p w14:paraId="5A8A78B6" w14:textId="568304E5" w:rsidR="002759B1" w:rsidRPr="002759B1" w:rsidRDefault="002759B1" w:rsidP="002759B1">
      <w:pPr>
        <w:pStyle w:val="EMclausenoteheader"/>
        <w:ind w:left="0" w:firstLine="0"/>
        <w:rPr>
          <w:u w:val="none"/>
        </w:rPr>
      </w:pPr>
      <w:r>
        <w:rPr>
          <w:u w:val="none"/>
        </w:rPr>
        <w:t xml:space="preserve">This section provides that, despite </w:t>
      </w:r>
      <w:r w:rsidRPr="002759B1">
        <w:rPr>
          <w:u w:val="none"/>
        </w:rPr>
        <w:t xml:space="preserve">the repeal of </w:t>
      </w:r>
      <w:r w:rsidRPr="002759B1">
        <w:rPr>
          <w:i/>
          <w:u w:val="none"/>
        </w:rPr>
        <w:t>Migration (IMMI 18/032: Language Test Requirements—Subclass 482 Visa) Instrument 2018</w:t>
      </w:r>
      <w:r w:rsidRPr="002759B1">
        <w:rPr>
          <w:u w:val="none"/>
        </w:rPr>
        <w:t xml:space="preserve"> (IMMI 18/032) by </w:t>
      </w:r>
      <w:r w:rsidRPr="002759B1">
        <w:rPr>
          <w:i/>
          <w:u w:val="none"/>
        </w:rPr>
        <w:t>Migration (Language Test Requirements for Subclass 482 Visa – LIN 24/099) Instrument 2024</w:t>
      </w:r>
      <w:r>
        <w:rPr>
          <w:u w:val="none"/>
        </w:rPr>
        <w:t xml:space="preserve"> (LIN 24/099)</w:t>
      </w:r>
      <w:r w:rsidRPr="002759B1">
        <w:rPr>
          <w:u w:val="none"/>
        </w:rPr>
        <w:t xml:space="preserve">, IMMI 18/032, as in force immediately before the day </w:t>
      </w:r>
      <w:r>
        <w:rPr>
          <w:u w:val="none"/>
        </w:rPr>
        <w:t>LIN 24/099</w:t>
      </w:r>
      <w:r w:rsidRPr="002759B1">
        <w:rPr>
          <w:u w:val="none"/>
        </w:rPr>
        <w:t xml:space="preserve"> commences, continues to apply in relation to an application for a visa made before the</w:t>
      </w:r>
      <w:r>
        <w:rPr>
          <w:u w:val="none"/>
        </w:rPr>
        <w:t xml:space="preserve"> commencement of LIN 24/099.</w:t>
      </w:r>
    </w:p>
    <w:p w14:paraId="1CCF6982" w14:textId="28E102F3" w:rsidR="001E3355" w:rsidRDefault="001E3355" w:rsidP="007219D1">
      <w:pPr>
        <w:pStyle w:val="EMclnotePartheader"/>
      </w:pPr>
      <w:r>
        <w:t>Schedule 1</w:t>
      </w:r>
      <w:r w:rsidRPr="00657DE3">
        <w:t xml:space="preserve"> – </w:t>
      </w:r>
      <w:r>
        <w:t>Repeals</w:t>
      </w:r>
    </w:p>
    <w:p w14:paraId="39372D0B" w14:textId="39F98E9D" w:rsidR="001E3355" w:rsidRDefault="001E3355" w:rsidP="001E3355">
      <w:pPr>
        <w:pStyle w:val="EMclausenoteheader"/>
      </w:pPr>
      <w:r>
        <w:t xml:space="preserve">Item </w:t>
      </w:r>
      <w:r w:rsidR="007219D1">
        <w:t>[</w:t>
      </w:r>
      <w:r>
        <w:t>1</w:t>
      </w:r>
      <w:r w:rsidR="007219D1">
        <w:t>]</w:t>
      </w:r>
      <w:r w:rsidRPr="00657DE3">
        <w:t xml:space="preserve"> – </w:t>
      </w:r>
      <w:r w:rsidRPr="001E3355">
        <w:t>The whole of the instrument</w:t>
      </w:r>
    </w:p>
    <w:p w14:paraId="14C7DB29" w14:textId="49FAB113" w:rsidR="001E3355" w:rsidRDefault="001E3355" w:rsidP="001E3355">
      <w:pPr>
        <w:pStyle w:val="EMclausenoteheader"/>
        <w:ind w:left="0" w:firstLine="0"/>
        <w:rPr>
          <w:u w:val="none"/>
        </w:rPr>
      </w:pPr>
      <w:r>
        <w:rPr>
          <w:u w:val="none"/>
        </w:rPr>
        <w:t xml:space="preserve">Item </w:t>
      </w:r>
      <w:r w:rsidR="007219D1">
        <w:rPr>
          <w:u w:val="none"/>
        </w:rPr>
        <w:t>[</w:t>
      </w:r>
      <w:r>
        <w:rPr>
          <w:u w:val="none"/>
        </w:rPr>
        <w:t>1</w:t>
      </w:r>
      <w:r w:rsidR="007219D1">
        <w:rPr>
          <w:u w:val="none"/>
        </w:rPr>
        <w:t>]</w:t>
      </w:r>
      <w:r>
        <w:rPr>
          <w:u w:val="none"/>
        </w:rPr>
        <w:t xml:space="preserve"> of Schedule 1 repeals the whole of </w:t>
      </w:r>
      <w:r w:rsidRPr="001E3355">
        <w:rPr>
          <w:i/>
          <w:u w:val="none"/>
        </w:rPr>
        <w:t>Migration (IMMI 18/032: Language Test Requirements—Subclass 482 Visa) Instrument 2018</w:t>
      </w:r>
      <w:r>
        <w:rPr>
          <w:u w:val="none"/>
        </w:rPr>
        <w:t xml:space="preserve"> (IMMI 18/032).</w:t>
      </w:r>
      <w:r w:rsidR="00085DB9">
        <w:rPr>
          <w:u w:val="none"/>
        </w:rPr>
        <w:t xml:space="preserve"> </w:t>
      </w:r>
    </w:p>
    <w:p w14:paraId="4B826E6B" w14:textId="10D1B477" w:rsidR="00761737" w:rsidRPr="006331DC" w:rsidRDefault="00761737" w:rsidP="00A51A18">
      <w:pPr>
        <w:pStyle w:val="EMclausenoteheader"/>
        <w:ind w:left="0" w:firstLine="0"/>
      </w:pPr>
    </w:p>
    <w:sectPr w:rsidR="00761737" w:rsidRPr="006331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85FE" w14:textId="77777777" w:rsidR="00912D66" w:rsidRDefault="00912D66">
      <w:pPr>
        <w:spacing w:before="0"/>
      </w:pPr>
      <w:r>
        <w:separator/>
      </w:r>
    </w:p>
  </w:endnote>
  <w:endnote w:type="continuationSeparator" w:id="0">
    <w:p w14:paraId="08AFC18F" w14:textId="77777777" w:rsidR="00912D66" w:rsidRDefault="00912D66">
      <w:pPr>
        <w:spacing w:before="0"/>
      </w:pPr>
      <w:r>
        <w:continuationSeparator/>
      </w:r>
    </w:p>
  </w:endnote>
  <w:endnote w:type="continuationNotice" w:id="1">
    <w:p w14:paraId="1CD00BA6" w14:textId="77777777" w:rsidR="00912D66" w:rsidRDefault="00912D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85B8" w14:textId="77777777" w:rsidR="008C007B" w:rsidRDefault="008C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6BEC" w14:textId="18913F94" w:rsidR="008C007B" w:rsidRDefault="008C007B" w:rsidP="006D3A94">
    <w:pPr>
      <w:pStyle w:val="Footer"/>
      <w:jc w:val="center"/>
    </w:pPr>
    <w:r>
      <w:fldChar w:fldCharType="begin"/>
    </w:r>
    <w:r>
      <w:instrText xml:space="preserve"> PAGE   \* MERGEFORMAT </w:instrText>
    </w:r>
    <w:r>
      <w:fldChar w:fldCharType="separate"/>
    </w:r>
    <w:r w:rsidR="007578C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8FCA" w14:textId="77777777" w:rsidR="008C007B" w:rsidRDefault="008C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C39D" w14:textId="77777777" w:rsidR="00912D66" w:rsidRDefault="00912D66">
      <w:pPr>
        <w:spacing w:before="0"/>
      </w:pPr>
      <w:r>
        <w:separator/>
      </w:r>
    </w:p>
  </w:footnote>
  <w:footnote w:type="continuationSeparator" w:id="0">
    <w:p w14:paraId="5598FDB7" w14:textId="77777777" w:rsidR="00912D66" w:rsidRDefault="00912D66">
      <w:pPr>
        <w:spacing w:before="0"/>
      </w:pPr>
      <w:r>
        <w:continuationSeparator/>
      </w:r>
    </w:p>
  </w:footnote>
  <w:footnote w:type="continuationNotice" w:id="1">
    <w:p w14:paraId="5EC9A5AA" w14:textId="77777777" w:rsidR="00912D66" w:rsidRDefault="00912D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5CDE" w14:textId="77777777" w:rsidR="008C007B" w:rsidRDefault="008C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E4EF" w14:textId="77777777" w:rsidR="008C007B" w:rsidRDefault="008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444" w14:textId="77777777" w:rsidR="008C007B" w:rsidRDefault="008C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2B6"/>
    <w:multiLevelType w:val="hybridMultilevel"/>
    <w:tmpl w:val="4396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C1D64DD"/>
    <w:multiLevelType w:val="hybridMultilevel"/>
    <w:tmpl w:val="5BC29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07077"/>
    <w:multiLevelType w:val="hybridMultilevel"/>
    <w:tmpl w:val="B934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AB659E"/>
    <w:multiLevelType w:val="hybridMultilevel"/>
    <w:tmpl w:val="5524C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13"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465994"/>
    <w:multiLevelType w:val="hybridMultilevel"/>
    <w:tmpl w:val="BD42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C07C2"/>
    <w:multiLevelType w:val="hybridMultilevel"/>
    <w:tmpl w:val="7D6E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E7160"/>
    <w:multiLevelType w:val="hybridMultilevel"/>
    <w:tmpl w:val="6280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660396"/>
    <w:multiLevelType w:val="hybridMultilevel"/>
    <w:tmpl w:val="6FD4A0AC"/>
    <w:lvl w:ilvl="0" w:tplc="75F002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3965D8"/>
    <w:multiLevelType w:val="hybridMultilevel"/>
    <w:tmpl w:val="D08AC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A828BE"/>
    <w:multiLevelType w:val="hybridMultilevel"/>
    <w:tmpl w:val="99F4961E"/>
    <w:lvl w:ilvl="0" w:tplc="0C090001">
      <w:start w:val="1"/>
      <w:numFmt w:val="bullet"/>
      <w:pStyle w:val="ESbullet"/>
      <w:lvlText w:val=""/>
      <w:lvlJc w:val="left"/>
      <w:pPr>
        <w:ind w:left="780" w:hanging="360"/>
      </w:pPr>
      <w:rPr>
        <w:rFonts w:ascii="Symbol" w:hAnsi="Symbol" w:hint="default"/>
      </w:rPr>
    </w:lvl>
    <w:lvl w:ilvl="1" w:tplc="0C090003" w:tentative="1">
      <w:start w:val="1"/>
      <w:numFmt w:val="bullet"/>
      <w:pStyle w:val="ESsub-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34"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38"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0" w15:restartNumberingAfterBreak="0">
    <w:nsid w:val="6A0224BB"/>
    <w:multiLevelType w:val="hybridMultilevel"/>
    <w:tmpl w:val="51302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42"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291B4A"/>
    <w:multiLevelType w:val="hybridMultilevel"/>
    <w:tmpl w:val="14F0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2"/>
    </w:lvlOverride>
  </w:num>
  <w:num w:numId="2">
    <w:abstractNumId w:val="34"/>
  </w:num>
  <w:num w:numId="3">
    <w:abstractNumId w:val="38"/>
  </w:num>
  <w:num w:numId="4">
    <w:abstractNumId w:val="9"/>
  </w:num>
  <w:num w:numId="5">
    <w:abstractNumId w:val="43"/>
  </w:num>
  <w:num w:numId="6">
    <w:abstractNumId w:val="13"/>
  </w:num>
  <w:num w:numId="7">
    <w:abstractNumId w:val="19"/>
  </w:num>
  <w:num w:numId="8">
    <w:abstractNumId w:val="6"/>
  </w:num>
  <w:num w:numId="9">
    <w:abstractNumId w:val="12"/>
    <w:lvlOverride w:ilvl="0">
      <w:startOverride w:val="1"/>
    </w:lvlOverride>
  </w:num>
  <w:num w:numId="10">
    <w:abstractNumId w:val="16"/>
  </w:num>
  <w:num w:numId="11">
    <w:abstractNumId w:val="24"/>
  </w:num>
  <w:num w:numId="12">
    <w:abstractNumId w:val="31"/>
  </w:num>
  <w:num w:numId="13">
    <w:abstractNumId w:val="0"/>
  </w:num>
  <w:num w:numId="14">
    <w:abstractNumId w:val="41"/>
  </w:num>
  <w:num w:numId="15">
    <w:abstractNumId w:val="3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21"/>
  </w:num>
  <w:num w:numId="21">
    <w:abstractNumId w:val="20"/>
  </w:num>
  <w:num w:numId="22">
    <w:abstractNumId w:val="18"/>
  </w:num>
  <w:num w:numId="23">
    <w:abstractNumId w:val="35"/>
  </w:num>
  <w:num w:numId="24">
    <w:abstractNumId w:val="7"/>
  </w:num>
  <w:num w:numId="25">
    <w:abstractNumId w:val="42"/>
  </w:num>
  <w:num w:numId="26">
    <w:abstractNumId w:val="22"/>
  </w:num>
  <w:num w:numId="27">
    <w:abstractNumId w:val="33"/>
  </w:num>
  <w:num w:numId="28">
    <w:abstractNumId w:val="39"/>
  </w:num>
  <w:num w:numId="29">
    <w:abstractNumId w:val="3"/>
  </w:num>
  <w:num w:numId="30">
    <w:abstractNumId w:val="8"/>
  </w:num>
  <w:num w:numId="31">
    <w:abstractNumId w:val="4"/>
  </w:num>
  <w:num w:numId="32">
    <w:abstractNumId w:val="44"/>
  </w:num>
  <w:num w:numId="33">
    <w:abstractNumId w:val="23"/>
  </w:num>
  <w:num w:numId="34">
    <w:abstractNumId w:val="17"/>
  </w:num>
  <w:num w:numId="35">
    <w:abstractNumId w:val="32"/>
  </w:num>
  <w:num w:numId="36">
    <w:abstractNumId w:val="26"/>
  </w:num>
  <w:num w:numId="37">
    <w:abstractNumId w:val="29"/>
  </w:num>
  <w:num w:numId="38">
    <w:abstractNumId w:val="15"/>
  </w:num>
  <w:num w:numId="39">
    <w:abstractNumId w:val="5"/>
  </w:num>
  <w:num w:numId="40">
    <w:abstractNumId w:val="30"/>
  </w:num>
  <w:num w:numId="41">
    <w:abstractNumId w:val="27"/>
  </w:num>
  <w:num w:numId="42">
    <w:abstractNumId w:val="40"/>
  </w:num>
  <w:num w:numId="43">
    <w:abstractNumId w:val="10"/>
  </w:num>
  <w:num w:numId="44">
    <w:abstractNumId w:val="14"/>
  </w:num>
  <w:num w:numId="45">
    <w:abstractNumId w:val="46"/>
  </w:num>
  <w:num w:numId="46">
    <w:abstractNumId w:val="11"/>
  </w:num>
  <w:num w:numId="47">
    <w:abstractNumId w:val="1"/>
  </w:num>
  <w:num w:numId="48">
    <w:abstractNumId w:val="28"/>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05FC6"/>
    <w:rsid w:val="00011715"/>
    <w:rsid w:val="00011AA7"/>
    <w:rsid w:val="00011BAC"/>
    <w:rsid w:val="00011D61"/>
    <w:rsid w:val="00012ADF"/>
    <w:rsid w:val="00017ECC"/>
    <w:rsid w:val="000218A6"/>
    <w:rsid w:val="00024054"/>
    <w:rsid w:val="00030F7F"/>
    <w:rsid w:val="000310FF"/>
    <w:rsid w:val="00031CB9"/>
    <w:rsid w:val="000336E5"/>
    <w:rsid w:val="00037ED0"/>
    <w:rsid w:val="00043A51"/>
    <w:rsid w:val="00047C38"/>
    <w:rsid w:val="00047E44"/>
    <w:rsid w:val="000527F9"/>
    <w:rsid w:val="000533F1"/>
    <w:rsid w:val="0005347A"/>
    <w:rsid w:val="0005511D"/>
    <w:rsid w:val="00056C35"/>
    <w:rsid w:val="0006107F"/>
    <w:rsid w:val="00061D7A"/>
    <w:rsid w:val="00073825"/>
    <w:rsid w:val="00083A4E"/>
    <w:rsid w:val="00085DB9"/>
    <w:rsid w:val="00087852"/>
    <w:rsid w:val="0009106E"/>
    <w:rsid w:val="00093F82"/>
    <w:rsid w:val="000A2965"/>
    <w:rsid w:val="000B69D4"/>
    <w:rsid w:val="000C3F49"/>
    <w:rsid w:val="000D0D9B"/>
    <w:rsid w:val="000D3809"/>
    <w:rsid w:val="000D392D"/>
    <w:rsid w:val="000D5D15"/>
    <w:rsid w:val="000D7C55"/>
    <w:rsid w:val="000E31DD"/>
    <w:rsid w:val="000F1874"/>
    <w:rsid w:val="0010188F"/>
    <w:rsid w:val="00102206"/>
    <w:rsid w:val="00104FED"/>
    <w:rsid w:val="001128CF"/>
    <w:rsid w:val="0012219D"/>
    <w:rsid w:val="00125FA0"/>
    <w:rsid w:val="00127CD4"/>
    <w:rsid w:val="00127ED0"/>
    <w:rsid w:val="00131728"/>
    <w:rsid w:val="00131E96"/>
    <w:rsid w:val="00150B04"/>
    <w:rsid w:val="00153455"/>
    <w:rsid w:val="0015606D"/>
    <w:rsid w:val="00156904"/>
    <w:rsid w:val="001627F7"/>
    <w:rsid w:val="00165075"/>
    <w:rsid w:val="0016580D"/>
    <w:rsid w:val="001819B6"/>
    <w:rsid w:val="00190BCD"/>
    <w:rsid w:val="00191A3C"/>
    <w:rsid w:val="0019437F"/>
    <w:rsid w:val="001950E2"/>
    <w:rsid w:val="001952C2"/>
    <w:rsid w:val="001A2D22"/>
    <w:rsid w:val="001B1861"/>
    <w:rsid w:val="001B4587"/>
    <w:rsid w:val="001B64FC"/>
    <w:rsid w:val="001C339B"/>
    <w:rsid w:val="001C6B4B"/>
    <w:rsid w:val="001D1585"/>
    <w:rsid w:val="001D18F3"/>
    <w:rsid w:val="001D4807"/>
    <w:rsid w:val="001E3355"/>
    <w:rsid w:val="001E6574"/>
    <w:rsid w:val="001F102F"/>
    <w:rsid w:val="001F1303"/>
    <w:rsid w:val="001F4EBF"/>
    <w:rsid w:val="001F69C5"/>
    <w:rsid w:val="001F6ACC"/>
    <w:rsid w:val="001F7CD9"/>
    <w:rsid w:val="00201BE5"/>
    <w:rsid w:val="002230F6"/>
    <w:rsid w:val="00225340"/>
    <w:rsid w:val="00226837"/>
    <w:rsid w:val="00231291"/>
    <w:rsid w:val="00240431"/>
    <w:rsid w:val="0024360E"/>
    <w:rsid w:val="00243B1B"/>
    <w:rsid w:val="00252C37"/>
    <w:rsid w:val="00260AE4"/>
    <w:rsid w:val="00265167"/>
    <w:rsid w:val="00265286"/>
    <w:rsid w:val="002759B1"/>
    <w:rsid w:val="00280ECD"/>
    <w:rsid w:val="00284489"/>
    <w:rsid w:val="00292DB7"/>
    <w:rsid w:val="002A0687"/>
    <w:rsid w:val="002A519A"/>
    <w:rsid w:val="002A7145"/>
    <w:rsid w:val="002B6369"/>
    <w:rsid w:val="002B6EE3"/>
    <w:rsid w:val="002B730D"/>
    <w:rsid w:val="002C25E2"/>
    <w:rsid w:val="002C660C"/>
    <w:rsid w:val="002C727F"/>
    <w:rsid w:val="002D15EA"/>
    <w:rsid w:val="002E050A"/>
    <w:rsid w:val="002E5269"/>
    <w:rsid w:val="002E682E"/>
    <w:rsid w:val="002E68ED"/>
    <w:rsid w:val="002F65BF"/>
    <w:rsid w:val="002F7BB2"/>
    <w:rsid w:val="00301A33"/>
    <w:rsid w:val="00303970"/>
    <w:rsid w:val="003077E3"/>
    <w:rsid w:val="00316543"/>
    <w:rsid w:val="00316B06"/>
    <w:rsid w:val="00317C92"/>
    <w:rsid w:val="00323747"/>
    <w:rsid w:val="00324C80"/>
    <w:rsid w:val="003254AA"/>
    <w:rsid w:val="00330400"/>
    <w:rsid w:val="00330B70"/>
    <w:rsid w:val="00335BFE"/>
    <w:rsid w:val="00337AFA"/>
    <w:rsid w:val="003436BB"/>
    <w:rsid w:val="00344169"/>
    <w:rsid w:val="0035095B"/>
    <w:rsid w:val="0035101B"/>
    <w:rsid w:val="00352144"/>
    <w:rsid w:val="0035314F"/>
    <w:rsid w:val="0035419D"/>
    <w:rsid w:val="00354805"/>
    <w:rsid w:val="00363829"/>
    <w:rsid w:val="00364557"/>
    <w:rsid w:val="003847C8"/>
    <w:rsid w:val="00385E22"/>
    <w:rsid w:val="003A0F98"/>
    <w:rsid w:val="003A39D5"/>
    <w:rsid w:val="003C736A"/>
    <w:rsid w:val="003C7F1D"/>
    <w:rsid w:val="003D216D"/>
    <w:rsid w:val="003E03D6"/>
    <w:rsid w:val="003E130B"/>
    <w:rsid w:val="003E30CC"/>
    <w:rsid w:val="003E48D9"/>
    <w:rsid w:val="003F0EC5"/>
    <w:rsid w:val="003F2014"/>
    <w:rsid w:val="003F3724"/>
    <w:rsid w:val="003F650B"/>
    <w:rsid w:val="00402321"/>
    <w:rsid w:val="00406FF5"/>
    <w:rsid w:val="00415EB6"/>
    <w:rsid w:val="00425E70"/>
    <w:rsid w:val="00427C0C"/>
    <w:rsid w:val="00440B5D"/>
    <w:rsid w:val="0045255C"/>
    <w:rsid w:val="004535EE"/>
    <w:rsid w:val="004542EE"/>
    <w:rsid w:val="00457F89"/>
    <w:rsid w:val="004633F7"/>
    <w:rsid w:val="0047155E"/>
    <w:rsid w:val="0047359B"/>
    <w:rsid w:val="00475C2B"/>
    <w:rsid w:val="00483823"/>
    <w:rsid w:val="00490DFA"/>
    <w:rsid w:val="00491C92"/>
    <w:rsid w:val="004A03C9"/>
    <w:rsid w:val="004A49B8"/>
    <w:rsid w:val="004A6B8A"/>
    <w:rsid w:val="004A6CBB"/>
    <w:rsid w:val="004B1E85"/>
    <w:rsid w:val="004B22FE"/>
    <w:rsid w:val="004B24D4"/>
    <w:rsid w:val="004B5120"/>
    <w:rsid w:val="004D4279"/>
    <w:rsid w:val="004D726E"/>
    <w:rsid w:val="004E0617"/>
    <w:rsid w:val="004E1515"/>
    <w:rsid w:val="004F027A"/>
    <w:rsid w:val="004F11E2"/>
    <w:rsid w:val="004F1AF1"/>
    <w:rsid w:val="004F416B"/>
    <w:rsid w:val="004F6739"/>
    <w:rsid w:val="005012A5"/>
    <w:rsid w:val="0050131A"/>
    <w:rsid w:val="00503BA3"/>
    <w:rsid w:val="0051373C"/>
    <w:rsid w:val="00515556"/>
    <w:rsid w:val="00515D74"/>
    <w:rsid w:val="00516033"/>
    <w:rsid w:val="00516E4B"/>
    <w:rsid w:val="005219CE"/>
    <w:rsid w:val="0052258D"/>
    <w:rsid w:val="00531FA5"/>
    <w:rsid w:val="00537678"/>
    <w:rsid w:val="00541EB7"/>
    <w:rsid w:val="0054488B"/>
    <w:rsid w:val="00544D94"/>
    <w:rsid w:val="00554DFA"/>
    <w:rsid w:val="00555013"/>
    <w:rsid w:val="00556D2F"/>
    <w:rsid w:val="00557150"/>
    <w:rsid w:val="00562482"/>
    <w:rsid w:val="00562AC5"/>
    <w:rsid w:val="00575847"/>
    <w:rsid w:val="0058191B"/>
    <w:rsid w:val="00587453"/>
    <w:rsid w:val="00590E54"/>
    <w:rsid w:val="0059245A"/>
    <w:rsid w:val="005949BF"/>
    <w:rsid w:val="0059680B"/>
    <w:rsid w:val="005A47DE"/>
    <w:rsid w:val="005A7615"/>
    <w:rsid w:val="005B1D6B"/>
    <w:rsid w:val="005B46A5"/>
    <w:rsid w:val="005C6994"/>
    <w:rsid w:val="005D219A"/>
    <w:rsid w:val="005F690B"/>
    <w:rsid w:val="005F73B6"/>
    <w:rsid w:val="00600599"/>
    <w:rsid w:val="00601561"/>
    <w:rsid w:val="00602E74"/>
    <w:rsid w:val="00607F3E"/>
    <w:rsid w:val="0061263D"/>
    <w:rsid w:val="006331DC"/>
    <w:rsid w:val="00635B48"/>
    <w:rsid w:val="00640357"/>
    <w:rsid w:val="00643C17"/>
    <w:rsid w:val="00646AF9"/>
    <w:rsid w:val="00657DE3"/>
    <w:rsid w:val="0066302B"/>
    <w:rsid w:val="00663129"/>
    <w:rsid w:val="00665484"/>
    <w:rsid w:val="00667073"/>
    <w:rsid w:val="006711B6"/>
    <w:rsid w:val="00681BAC"/>
    <w:rsid w:val="00682A83"/>
    <w:rsid w:val="00683EBD"/>
    <w:rsid w:val="0069107C"/>
    <w:rsid w:val="00693494"/>
    <w:rsid w:val="00695A32"/>
    <w:rsid w:val="00696CCC"/>
    <w:rsid w:val="00697C1A"/>
    <w:rsid w:val="006A083C"/>
    <w:rsid w:val="006A4E21"/>
    <w:rsid w:val="006B0B95"/>
    <w:rsid w:val="006B0FA6"/>
    <w:rsid w:val="006B2C60"/>
    <w:rsid w:val="006B33D9"/>
    <w:rsid w:val="006C1AF5"/>
    <w:rsid w:val="006C6E0E"/>
    <w:rsid w:val="006D3A94"/>
    <w:rsid w:val="006D5161"/>
    <w:rsid w:val="006E1B12"/>
    <w:rsid w:val="006F06E0"/>
    <w:rsid w:val="00702225"/>
    <w:rsid w:val="007041CB"/>
    <w:rsid w:val="00706BBB"/>
    <w:rsid w:val="00720CE6"/>
    <w:rsid w:val="00721003"/>
    <w:rsid w:val="007219D1"/>
    <w:rsid w:val="007225E3"/>
    <w:rsid w:val="00723B5C"/>
    <w:rsid w:val="00725085"/>
    <w:rsid w:val="007309D4"/>
    <w:rsid w:val="007323E6"/>
    <w:rsid w:val="00735DB6"/>
    <w:rsid w:val="0074200D"/>
    <w:rsid w:val="007477E9"/>
    <w:rsid w:val="0075153F"/>
    <w:rsid w:val="007578C9"/>
    <w:rsid w:val="00757A7C"/>
    <w:rsid w:val="00760FD2"/>
    <w:rsid w:val="00761737"/>
    <w:rsid w:val="007749AA"/>
    <w:rsid w:val="00775BE6"/>
    <w:rsid w:val="007831EB"/>
    <w:rsid w:val="007840A2"/>
    <w:rsid w:val="00784788"/>
    <w:rsid w:val="00786F2B"/>
    <w:rsid w:val="007876CE"/>
    <w:rsid w:val="00791B58"/>
    <w:rsid w:val="00793C36"/>
    <w:rsid w:val="00793C4B"/>
    <w:rsid w:val="007969CC"/>
    <w:rsid w:val="007B5C74"/>
    <w:rsid w:val="007C2AFB"/>
    <w:rsid w:val="007C3546"/>
    <w:rsid w:val="007C42E0"/>
    <w:rsid w:val="007C6819"/>
    <w:rsid w:val="007D37A5"/>
    <w:rsid w:val="007D4236"/>
    <w:rsid w:val="007D7F16"/>
    <w:rsid w:val="007E2DEE"/>
    <w:rsid w:val="007E4B08"/>
    <w:rsid w:val="007E6C5A"/>
    <w:rsid w:val="007F1457"/>
    <w:rsid w:val="007F3109"/>
    <w:rsid w:val="007F3733"/>
    <w:rsid w:val="008007E4"/>
    <w:rsid w:val="00801361"/>
    <w:rsid w:val="00802C13"/>
    <w:rsid w:val="00803888"/>
    <w:rsid w:val="008043CF"/>
    <w:rsid w:val="00804FE6"/>
    <w:rsid w:val="008220EA"/>
    <w:rsid w:val="00824162"/>
    <w:rsid w:val="00831AD0"/>
    <w:rsid w:val="00836949"/>
    <w:rsid w:val="00841FD6"/>
    <w:rsid w:val="00842677"/>
    <w:rsid w:val="00846BE6"/>
    <w:rsid w:val="00851FF6"/>
    <w:rsid w:val="008526F0"/>
    <w:rsid w:val="00855976"/>
    <w:rsid w:val="008567E3"/>
    <w:rsid w:val="00856A3F"/>
    <w:rsid w:val="00856AAA"/>
    <w:rsid w:val="00856AEB"/>
    <w:rsid w:val="00861F88"/>
    <w:rsid w:val="0086358F"/>
    <w:rsid w:val="00863FB7"/>
    <w:rsid w:val="008713F0"/>
    <w:rsid w:val="00876D3F"/>
    <w:rsid w:val="00877F95"/>
    <w:rsid w:val="00881226"/>
    <w:rsid w:val="00884D25"/>
    <w:rsid w:val="00886C53"/>
    <w:rsid w:val="008876E2"/>
    <w:rsid w:val="008A31C5"/>
    <w:rsid w:val="008B36A3"/>
    <w:rsid w:val="008C007B"/>
    <w:rsid w:val="008C0D64"/>
    <w:rsid w:val="008C101A"/>
    <w:rsid w:val="008C53A9"/>
    <w:rsid w:val="008C6BAF"/>
    <w:rsid w:val="008C6C25"/>
    <w:rsid w:val="008E1CB9"/>
    <w:rsid w:val="008E2766"/>
    <w:rsid w:val="008E6DB3"/>
    <w:rsid w:val="008F2118"/>
    <w:rsid w:val="008F5B36"/>
    <w:rsid w:val="00900340"/>
    <w:rsid w:val="00900E23"/>
    <w:rsid w:val="0090216C"/>
    <w:rsid w:val="0091233C"/>
    <w:rsid w:val="00912D66"/>
    <w:rsid w:val="00915DB1"/>
    <w:rsid w:val="0092224C"/>
    <w:rsid w:val="00935DDE"/>
    <w:rsid w:val="00937FB9"/>
    <w:rsid w:val="00944A92"/>
    <w:rsid w:val="00954221"/>
    <w:rsid w:val="00954247"/>
    <w:rsid w:val="009564CF"/>
    <w:rsid w:val="00957150"/>
    <w:rsid w:val="00963B2A"/>
    <w:rsid w:val="00967209"/>
    <w:rsid w:val="0098389D"/>
    <w:rsid w:val="00984118"/>
    <w:rsid w:val="0098464C"/>
    <w:rsid w:val="00986493"/>
    <w:rsid w:val="00994DC5"/>
    <w:rsid w:val="009969EA"/>
    <w:rsid w:val="009A1562"/>
    <w:rsid w:val="009A168D"/>
    <w:rsid w:val="009A4145"/>
    <w:rsid w:val="009B2A23"/>
    <w:rsid w:val="009B5940"/>
    <w:rsid w:val="009B7A31"/>
    <w:rsid w:val="009C32A3"/>
    <w:rsid w:val="009C5D93"/>
    <w:rsid w:val="009C65C1"/>
    <w:rsid w:val="009D548B"/>
    <w:rsid w:val="009D5738"/>
    <w:rsid w:val="009E07E9"/>
    <w:rsid w:val="009F16BD"/>
    <w:rsid w:val="009F1D4C"/>
    <w:rsid w:val="009F3E5E"/>
    <w:rsid w:val="00A01BB3"/>
    <w:rsid w:val="00A04A51"/>
    <w:rsid w:val="00A217E8"/>
    <w:rsid w:val="00A21949"/>
    <w:rsid w:val="00A2435C"/>
    <w:rsid w:val="00A24AF0"/>
    <w:rsid w:val="00A27AE4"/>
    <w:rsid w:val="00A33F0F"/>
    <w:rsid w:val="00A376EA"/>
    <w:rsid w:val="00A461F7"/>
    <w:rsid w:val="00A51A18"/>
    <w:rsid w:val="00A55044"/>
    <w:rsid w:val="00A6297F"/>
    <w:rsid w:val="00A64508"/>
    <w:rsid w:val="00A71D55"/>
    <w:rsid w:val="00A73E32"/>
    <w:rsid w:val="00A76F4F"/>
    <w:rsid w:val="00A875FB"/>
    <w:rsid w:val="00A87B9F"/>
    <w:rsid w:val="00A9681E"/>
    <w:rsid w:val="00A97DA8"/>
    <w:rsid w:val="00AA13E4"/>
    <w:rsid w:val="00AA1D24"/>
    <w:rsid w:val="00AA2A3F"/>
    <w:rsid w:val="00AA7DC4"/>
    <w:rsid w:val="00AB7B3E"/>
    <w:rsid w:val="00AC07B6"/>
    <w:rsid w:val="00AD262E"/>
    <w:rsid w:val="00AD3B75"/>
    <w:rsid w:val="00AD3C1E"/>
    <w:rsid w:val="00AE0494"/>
    <w:rsid w:val="00AE0BFD"/>
    <w:rsid w:val="00AF497E"/>
    <w:rsid w:val="00B01154"/>
    <w:rsid w:val="00B04037"/>
    <w:rsid w:val="00B11AD6"/>
    <w:rsid w:val="00B11E1F"/>
    <w:rsid w:val="00B209A4"/>
    <w:rsid w:val="00B2211F"/>
    <w:rsid w:val="00B24B69"/>
    <w:rsid w:val="00B262BE"/>
    <w:rsid w:val="00B33167"/>
    <w:rsid w:val="00B43D98"/>
    <w:rsid w:val="00B44825"/>
    <w:rsid w:val="00B4799B"/>
    <w:rsid w:val="00B566AB"/>
    <w:rsid w:val="00B605FF"/>
    <w:rsid w:val="00B61A41"/>
    <w:rsid w:val="00B74410"/>
    <w:rsid w:val="00B74BD3"/>
    <w:rsid w:val="00B7716E"/>
    <w:rsid w:val="00B77F70"/>
    <w:rsid w:val="00B8002B"/>
    <w:rsid w:val="00B83B68"/>
    <w:rsid w:val="00B93567"/>
    <w:rsid w:val="00B944A6"/>
    <w:rsid w:val="00B9714E"/>
    <w:rsid w:val="00BA41B7"/>
    <w:rsid w:val="00BB1E68"/>
    <w:rsid w:val="00BB3B5E"/>
    <w:rsid w:val="00BB45ED"/>
    <w:rsid w:val="00BB49BD"/>
    <w:rsid w:val="00BB4C08"/>
    <w:rsid w:val="00BB648A"/>
    <w:rsid w:val="00BC6365"/>
    <w:rsid w:val="00BD39FE"/>
    <w:rsid w:val="00BD4D59"/>
    <w:rsid w:val="00BD6761"/>
    <w:rsid w:val="00BD6900"/>
    <w:rsid w:val="00BE1C6F"/>
    <w:rsid w:val="00BE2524"/>
    <w:rsid w:val="00BF25CF"/>
    <w:rsid w:val="00BF278F"/>
    <w:rsid w:val="00BF4228"/>
    <w:rsid w:val="00C03C13"/>
    <w:rsid w:val="00C03C99"/>
    <w:rsid w:val="00C07B12"/>
    <w:rsid w:val="00C10E30"/>
    <w:rsid w:val="00C134F8"/>
    <w:rsid w:val="00C16BF9"/>
    <w:rsid w:val="00C26032"/>
    <w:rsid w:val="00C45213"/>
    <w:rsid w:val="00C52C4C"/>
    <w:rsid w:val="00C62AF5"/>
    <w:rsid w:val="00C74C04"/>
    <w:rsid w:val="00C77722"/>
    <w:rsid w:val="00C7798E"/>
    <w:rsid w:val="00C80B93"/>
    <w:rsid w:val="00C83820"/>
    <w:rsid w:val="00C858CD"/>
    <w:rsid w:val="00C90B2D"/>
    <w:rsid w:val="00C91360"/>
    <w:rsid w:val="00C9359F"/>
    <w:rsid w:val="00CA2332"/>
    <w:rsid w:val="00CA3DA2"/>
    <w:rsid w:val="00CA55BB"/>
    <w:rsid w:val="00CA5A77"/>
    <w:rsid w:val="00CB41FF"/>
    <w:rsid w:val="00CB4EF8"/>
    <w:rsid w:val="00CB5335"/>
    <w:rsid w:val="00CC0048"/>
    <w:rsid w:val="00CC4693"/>
    <w:rsid w:val="00CC52A4"/>
    <w:rsid w:val="00CC6BB7"/>
    <w:rsid w:val="00CC7A36"/>
    <w:rsid w:val="00CD3F34"/>
    <w:rsid w:val="00CD754F"/>
    <w:rsid w:val="00CE46E3"/>
    <w:rsid w:val="00CF445C"/>
    <w:rsid w:val="00D02FA2"/>
    <w:rsid w:val="00D04FFD"/>
    <w:rsid w:val="00D07D21"/>
    <w:rsid w:val="00D13273"/>
    <w:rsid w:val="00D25704"/>
    <w:rsid w:val="00D26C0D"/>
    <w:rsid w:val="00D32D5D"/>
    <w:rsid w:val="00D35FEA"/>
    <w:rsid w:val="00D461B7"/>
    <w:rsid w:val="00D5199C"/>
    <w:rsid w:val="00D54B0C"/>
    <w:rsid w:val="00D56B35"/>
    <w:rsid w:val="00D57D8A"/>
    <w:rsid w:val="00D621AC"/>
    <w:rsid w:val="00D65924"/>
    <w:rsid w:val="00D81C09"/>
    <w:rsid w:val="00D91498"/>
    <w:rsid w:val="00D95AB6"/>
    <w:rsid w:val="00D95FB7"/>
    <w:rsid w:val="00D974EF"/>
    <w:rsid w:val="00DA39F0"/>
    <w:rsid w:val="00DB670D"/>
    <w:rsid w:val="00DC003D"/>
    <w:rsid w:val="00DC4E21"/>
    <w:rsid w:val="00DD179A"/>
    <w:rsid w:val="00DD20B4"/>
    <w:rsid w:val="00DD3124"/>
    <w:rsid w:val="00DD67A0"/>
    <w:rsid w:val="00DE2D90"/>
    <w:rsid w:val="00DF2BBF"/>
    <w:rsid w:val="00DF3242"/>
    <w:rsid w:val="00E00F1E"/>
    <w:rsid w:val="00E21DEB"/>
    <w:rsid w:val="00E220A5"/>
    <w:rsid w:val="00E24090"/>
    <w:rsid w:val="00E305B4"/>
    <w:rsid w:val="00E42AFA"/>
    <w:rsid w:val="00E45EAB"/>
    <w:rsid w:val="00E46966"/>
    <w:rsid w:val="00E501B9"/>
    <w:rsid w:val="00E60E15"/>
    <w:rsid w:val="00E7506A"/>
    <w:rsid w:val="00E86056"/>
    <w:rsid w:val="00E8792C"/>
    <w:rsid w:val="00E93E4E"/>
    <w:rsid w:val="00E93ED1"/>
    <w:rsid w:val="00E94ECD"/>
    <w:rsid w:val="00E974A9"/>
    <w:rsid w:val="00EA2746"/>
    <w:rsid w:val="00EA36A9"/>
    <w:rsid w:val="00EB0156"/>
    <w:rsid w:val="00EB3D67"/>
    <w:rsid w:val="00EB67EA"/>
    <w:rsid w:val="00EC023C"/>
    <w:rsid w:val="00EC2DB4"/>
    <w:rsid w:val="00EC508B"/>
    <w:rsid w:val="00EC66E5"/>
    <w:rsid w:val="00EC6AB9"/>
    <w:rsid w:val="00EC6F04"/>
    <w:rsid w:val="00ED21FA"/>
    <w:rsid w:val="00EE01BE"/>
    <w:rsid w:val="00EE2D97"/>
    <w:rsid w:val="00EE4B68"/>
    <w:rsid w:val="00EE62D5"/>
    <w:rsid w:val="00F01013"/>
    <w:rsid w:val="00F06932"/>
    <w:rsid w:val="00F11469"/>
    <w:rsid w:val="00F13C5E"/>
    <w:rsid w:val="00F165A9"/>
    <w:rsid w:val="00F249FE"/>
    <w:rsid w:val="00F24B09"/>
    <w:rsid w:val="00F25A98"/>
    <w:rsid w:val="00F26294"/>
    <w:rsid w:val="00F26B0F"/>
    <w:rsid w:val="00F334B7"/>
    <w:rsid w:val="00F40310"/>
    <w:rsid w:val="00F44713"/>
    <w:rsid w:val="00F475B4"/>
    <w:rsid w:val="00F502B0"/>
    <w:rsid w:val="00F53525"/>
    <w:rsid w:val="00F61DFF"/>
    <w:rsid w:val="00F6208B"/>
    <w:rsid w:val="00F63422"/>
    <w:rsid w:val="00F67109"/>
    <w:rsid w:val="00F73FA9"/>
    <w:rsid w:val="00F75853"/>
    <w:rsid w:val="00F77AC1"/>
    <w:rsid w:val="00F811CA"/>
    <w:rsid w:val="00F828E1"/>
    <w:rsid w:val="00F83CE6"/>
    <w:rsid w:val="00F84AB2"/>
    <w:rsid w:val="00F97943"/>
    <w:rsid w:val="00F97987"/>
    <w:rsid w:val="00FA3755"/>
    <w:rsid w:val="00FA4281"/>
    <w:rsid w:val="00FA5D15"/>
    <w:rsid w:val="00FB12BC"/>
    <w:rsid w:val="00FC558C"/>
    <w:rsid w:val="00FC6B2A"/>
    <w:rsid w:val="00FC7035"/>
    <w:rsid w:val="00FD086E"/>
    <w:rsid w:val="00FD6D87"/>
    <w:rsid w:val="00FE346A"/>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 w:type="paragraph" w:customStyle="1" w:styleId="paragraphsub-sub">
    <w:name w:val="paragraph(sub-sub)"/>
    <w:aliases w:val="aaa"/>
    <w:basedOn w:val="Normal"/>
    <w:rsid w:val="00AA7DC4"/>
    <w:pPr>
      <w:tabs>
        <w:tab w:val="right" w:pos="2722"/>
      </w:tabs>
      <w:spacing w:before="40"/>
      <w:ind w:left="2835" w:hanging="2835"/>
    </w:pPr>
    <w:rPr>
      <w:rFonts w:eastAsia="Times New Roman"/>
      <w:sz w:val="22"/>
      <w:szCs w:val="20"/>
    </w:rPr>
  </w:style>
  <w:style w:type="paragraph" w:customStyle="1" w:styleId="LDP1a">
    <w:name w:val="LDP1(a)"/>
    <w:link w:val="LDP1aChar"/>
    <w:rsid w:val="00AA7DC4"/>
    <w:pPr>
      <w:tabs>
        <w:tab w:val="left" w:pos="1191"/>
      </w:tabs>
      <w:spacing w:before="60" w:after="60" w:line="240" w:lineRule="auto"/>
      <w:ind w:left="1191" w:hanging="454"/>
    </w:pPr>
    <w:rPr>
      <w:rFonts w:ascii="Times New Roman" w:eastAsia="Times New Roman" w:hAnsi="Times New Roman"/>
      <w:sz w:val="24"/>
      <w:szCs w:val="24"/>
      <w:lang w:eastAsia="en-US"/>
    </w:rPr>
  </w:style>
  <w:style w:type="character" w:customStyle="1" w:styleId="LDP1aChar">
    <w:name w:val="LDP1(a) Char"/>
    <w:link w:val="LDP1a"/>
    <w:locked/>
    <w:rsid w:val="00AA7DC4"/>
    <w:rPr>
      <w:rFonts w:ascii="Times New Roman" w:eastAsia="Times New Roman" w:hAnsi="Times New Roman"/>
      <w:sz w:val="24"/>
      <w:szCs w:val="24"/>
      <w:lang w:eastAsia="en-US"/>
    </w:rPr>
  </w:style>
  <w:style w:type="paragraph" w:customStyle="1" w:styleId="LINESoverviewtext">
    <w:name w:val="LIN ES overview text"/>
    <w:basedOn w:val="Normal"/>
    <w:qFormat/>
    <w:rsid w:val="007219D1"/>
    <w:pPr>
      <w:spacing w:before="120" w:after="120" w:line="276" w:lineRule="auto"/>
    </w:pPr>
    <w:rPr>
      <w:rFonts w:eastAsia="Times New Roman"/>
    </w:rPr>
  </w:style>
  <w:style w:type="paragraph" w:customStyle="1" w:styleId="ESbullet">
    <w:name w:val="ES bullet"/>
    <w:basedOn w:val="ListParagraph"/>
    <w:qFormat/>
    <w:rsid w:val="007219D1"/>
    <w:pPr>
      <w:numPr>
        <w:numId w:val="40"/>
      </w:numPr>
      <w:spacing w:before="120" w:after="120" w:line="276" w:lineRule="auto"/>
    </w:pPr>
    <w:rPr>
      <w:rFonts w:eastAsia="Times New Roman"/>
      <w:color w:val="000000"/>
    </w:rPr>
  </w:style>
  <w:style w:type="paragraph" w:customStyle="1" w:styleId="EMclnotePartheader">
    <w:name w:val="EM cl note Part header"/>
    <w:basedOn w:val="EMclausenoteheader"/>
    <w:qFormat/>
    <w:rsid w:val="007219D1"/>
    <w:pPr>
      <w:keepNext/>
      <w:spacing w:before="240" w:after="240" w:line="276" w:lineRule="auto"/>
    </w:pPr>
    <w:rPr>
      <w:b/>
    </w:rPr>
  </w:style>
  <w:style w:type="paragraph" w:customStyle="1" w:styleId="ESsub-bullet">
    <w:name w:val="ES sub-bullet"/>
    <w:basedOn w:val="ListParagraph"/>
    <w:qFormat/>
    <w:rsid w:val="007219D1"/>
    <w:pPr>
      <w:numPr>
        <w:ilvl w:val="1"/>
        <w:numId w:val="40"/>
      </w:numPr>
      <w:spacing w:before="120" w:after="120" w:line="276" w:lineRule="auto"/>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433984639">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553664600">
      <w:bodyDiv w:val="1"/>
      <w:marLeft w:val="0"/>
      <w:marRight w:val="0"/>
      <w:marTop w:val="0"/>
      <w:marBottom w:val="0"/>
      <w:divBdr>
        <w:top w:val="none" w:sz="0" w:space="0" w:color="auto"/>
        <w:left w:val="none" w:sz="0" w:space="0" w:color="auto"/>
        <w:bottom w:val="none" w:sz="0" w:space="0" w:color="auto"/>
        <w:right w:val="none" w:sz="0" w:space="0" w:color="auto"/>
      </w:divBdr>
    </w:div>
    <w:div w:id="662659535">
      <w:bodyDiv w:val="1"/>
      <w:marLeft w:val="0"/>
      <w:marRight w:val="0"/>
      <w:marTop w:val="0"/>
      <w:marBottom w:val="0"/>
      <w:divBdr>
        <w:top w:val="none" w:sz="0" w:space="0" w:color="auto"/>
        <w:left w:val="none" w:sz="0" w:space="0" w:color="auto"/>
        <w:bottom w:val="none" w:sz="0" w:space="0" w:color="auto"/>
        <w:right w:val="none" w:sz="0" w:space="0" w:color="auto"/>
      </w:divBdr>
    </w:div>
    <w:div w:id="72765033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01591434">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2024-12-05T23:29:00Z</dcterms:created>
  <dcterms:modified xsi:type="dcterms:W3CDTF">2024-12-05T23:29:00Z</dcterms:modified>
</cp:coreProperties>
</file>