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D7D8F" w14:textId="77777777" w:rsidR="005E317F" w:rsidRDefault="005E317F" w:rsidP="005E317F">
      <w:pPr>
        <w:rPr>
          <w:sz w:val="28"/>
        </w:rPr>
      </w:pPr>
      <w:r>
        <w:rPr>
          <w:noProof/>
          <w:lang w:eastAsia="en-AU"/>
        </w:rPr>
        <w:drawing>
          <wp:inline distT="0" distB="0" distL="0" distR="0" wp14:anchorId="16F5F451" wp14:editId="74AA8F0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7D6A088" w14:textId="77777777" w:rsidR="005E317F" w:rsidRDefault="005E317F" w:rsidP="005E317F">
      <w:pPr>
        <w:rPr>
          <w:sz w:val="19"/>
        </w:rPr>
      </w:pPr>
    </w:p>
    <w:p w14:paraId="4FD9431E" w14:textId="77777777" w:rsidR="00B34AA4" w:rsidRDefault="00B34AA4" w:rsidP="005E317F">
      <w:pPr>
        <w:rPr>
          <w:sz w:val="19"/>
        </w:rPr>
      </w:pPr>
      <w:r>
        <w:rPr>
          <w:sz w:val="19"/>
        </w:rPr>
        <w:t>LIN 24/094</w:t>
      </w:r>
    </w:p>
    <w:p w14:paraId="5CF0BB33" w14:textId="77777777" w:rsidR="00B34AA4" w:rsidRDefault="00B34AA4" w:rsidP="005E317F">
      <w:pPr>
        <w:rPr>
          <w:sz w:val="19"/>
        </w:rPr>
      </w:pPr>
    </w:p>
    <w:p w14:paraId="1A4A838C" w14:textId="77777777" w:rsidR="005E317F" w:rsidRPr="00B34AA4" w:rsidRDefault="00B34AA4" w:rsidP="005E317F">
      <w:pPr>
        <w:pStyle w:val="ShortT"/>
      </w:pPr>
      <w:r>
        <w:t>Migration</w:t>
      </w:r>
      <w:r w:rsidR="005E317F" w:rsidRPr="00DA182D">
        <w:t xml:space="preserve"> </w:t>
      </w:r>
      <w:r w:rsidR="005E317F">
        <w:t>Amendment (</w:t>
      </w:r>
      <w:r>
        <w:t>Skills in Demand Visa and Related Matters</w:t>
      </w:r>
      <w:r w:rsidR="005E317F">
        <w:t xml:space="preserve">) </w:t>
      </w:r>
      <w:r w:rsidR="005E317F" w:rsidRPr="00B34AA4">
        <w:t xml:space="preserve">Instrument </w:t>
      </w:r>
      <w:r w:rsidRPr="00B34AA4">
        <w:t>2024</w:t>
      </w:r>
    </w:p>
    <w:p w14:paraId="37A55A8A" w14:textId="77777777" w:rsidR="005E317F" w:rsidRPr="00B34AA4" w:rsidRDefault="005E317F" w:rsidP="005E317F">
      <w:pPr>
        <w:pStyle w:val="SignCoverPageStart"/>
        <w:spacing w:before="240"/>
        <w:ind w:right="91"/>
        <w:rPr>
          <w:szCs w:val="22"/>
        </w:rPr>
      </w:pPr>
      <w:r w:rsidRPr="00B34AA4">
        <w:rPr>
          <w:szCs w:val="22"/>
        </w:rPr>
        <w:t xml:space="preserve">I, </w:t>
      </w:r>
      <w:r w:rsidR="00C6340F">
        <w:rPr>
          <w:szCs w:val="22"/>
        </w:rPr>
        <w:t>Julian Hill</w:t>
      </w:r>
      <w:r w:rsidRPr="00B34AA4">
        <w:rPr>
          <w:szCs w:val="22"/>
        </w:rPr>
        <w:t xml:space="preserve">, </w:t>
      </w:r>
      <w:r w:rsidR="00C6340F">
        <w:rPr>
          <w:szCs w:val="22"/>
        </w:rPr>
        <w:t xml:space="preserve">Assistant </w:t>
      </w:r>
      <w:r w:rsidR="00B34AA4" w:rsidRPr="00B34AA4">
        <w:rPr>
          <w:szCs w:val="22"/>
        </w:rPr>
        <w:t xml:space="preserve">Minister for </w:t>
      </w:r>
      <w:r w:rsidR="00B651FF">
        <w:rPr>
          <w:szCs w:val="22"/>
        </w:rPr>
        <w:t>Citizenship</w:t>
      </w:r>
      <w:r w:rsidR="00B34AA4" w:rsidRPr="00B34AA4">
        <w:rPr>
          <w:szCs w:val="22"/>
        </w:rPr>
        <w:t xml:space="preserve"> and Multicultural Affairs, </w:t>
      </w:r>
      <w:r w:rsidRPr="00B34AA4">
        <w:rPr>
          <w:szCs w:val="22"/>
        </w:rPr>
        <w:t>make the following instrument.</w:t>
      </w:r>
    </w:p>
    <w:p w14:paraId="5D8F4150" w14:textId="445C1D38" w:rsidR="005E317F" w:rsidRPr="00B34AA4" w:rsidRDefault="007822A2" w:rsidP="005E317F">
      <w:pPr>
        <w:keepNext/>
        <w:spacing w:before="300" w:line="240" w:lineRule="atLeast"/>
        <w:ind w:right="397"/>
        <w:jc w:val="both"/>
        <w:rPr>
          <w:szCs w:val="22"/>
        </w:rPr>
      </w:pPr>
      <w:r>
        <w:rPr>
          <w:szCs w:val="22"/>
        </w:rPr>
        <w:t>Dated</w:t>
      </w:r>
      <w:r>
        <w:rPr>
          <w:szCs w:val="22"/>
        </w:rPr>
        <w:tab/>
      </w:r>
      <w:r>
        <w:rPr>
          <w:szCs w:val="22"/>
        </w:rPr>
        <w:tab/>
        <w:t xml:space="preserve">6 December </w:t>
      </w:r>
      <w:bookmarkStart w:id="0" w:name="_GoBack"/>
      <w:bookmarkEnd w:id="0"/>
      <w:r w:rsidR="00B34AA4" w:rsidRPr="00B34AA4">
        <w:rPr>
          <w:szCs w:val="22"/>
        </w:rPr>
        <w:t>2024</w:t>
      </w:r>
    </w:p>
    <w:p w14:paraId="5BC98A74" w14:textId="3E993CC7" w:rsidR="005E317F" w:rsidRDefault="00C6340F" w:rsidP="005E317F">
      <w:pPr>
        <w:keepNext/>
        <w:tabs>
          <w:tab w:val="left" w:pos="3402"/>
        </w:tabs>
        <w:spacing w:before="1440" w:line="300" w:lineRule="atLeast"/>
        <w:ind w:right="397"/>
        <w:rPr>
          <w:b/>
          <w:szCs w:val="22"/>
        </w:rPr>
      </w:pPr>
      <w:r>
        <w:rPr>
          <w:szCs w:val="22"/>
        </w:rPr>
        <w:t>Julian Hill</w:t>
      </w:r>
    </w:p>
    <w:p w14:paraId="5DD16FA9" w14:textId="77777777" w:rsidR="005E317F" w:rsidRPr="000D3FB9" w:rsidRDefault="00C6340F" w:rsidP="005E317F">
      <w:pPr>
        <w:pStyle w:val="SignCoverPageEnd"/>
        <w:ind w:right="91"/>
        <w:rPr>
          <w:sz w:val="22"/>
        </w:rPr>
      </w:pPr>
      <w:r>
        <w:rPr>
          <w:sz w:val="22"/>
        </w:rPr>
        <w:t xml:space="preserve">Assistant </w:t>
      </w:r>
      <w:r w:rsidR="00B34AA4" w:rsidRPr="00B34AA4">
        <w:rPr>
          <w:sz w:val="22"/>
        </w:rPr>
        <w:t xml:space="preserve">Minister for </w:t>
      </w:r>
      <w:r w:rsidR="00B651FF">
        <w:rPr>
          <w:sz w:val="22"/>
        </w:rPr>
        <w:t>Citizenship</w:t>
      </w:r>
      <w:r w:rsidR="00B34AA4" w:rsidRPr="00B34AA4">
        <w:rPr>
          <w:sz w:val="22"/>
        </w:rPr>
        <w:t xml:space="preserve"> and Multicultural Affairs</w:t>
      </w:r>
    </w:p>
    <w:p w14:paraId="46B59956" w14:textId="77777777" w:rsidR="00B20990" w:rsidRDefault="00B20990" w:rsidP="00B20990"/>
    <w:p w14:paraId="3FC84425" w14:textId="77777777" w:rsidR="00B20990" w:rsidRDefault="00B20990" w:rsidP="00B20990">
      <w:pPr>
        <w:sectPr w:rsidR="00B20990" w:rsidSect="00B20990">
          <w:headerReference w:type="even" r:id="rId8"/>
          <w:headerReference w:type="default" r:id="rId9"/>
          <w:footerReference w:type="even" r:id="rId10"/>
          <w:footerReference w:type="default" r:id="rId11"/>
          <w:headerReference w:type="first" r:id="rId12"/>
          <w:footerReference w:type="first" r:id="rId13"/>
          <w:type w:val="continuous"/>
          <w:pgSz w:w="11907" w:h="16839"/>
          <w:pgMar w:top="1440" w:right="1797" w:bottom="1440" w:left="1797" w:header="720" w:footer="709" w:gutter="0"/>
          <w:cols w:space="708"/>
          <w:titlePg/>
          <w:docGrid w:linePitch="360"/>
        </w:sectPr>
      </w:pPr>
    </w:p>
    <w:p w14:paraId="00EB195C" w14:textId="77777777" w:rsidR="00B20990" w:rsidRDefault="00B20990" w:rsidP="00B20990">
      <w:pPr>
        <w:outlineLvl w:val="0"/>
        <w:rPr>
          <w:sz w:val="36"/>
        </w:rPr>
      </w:pPr>
      <w:r w:rsidRPr="007A1328">
        <w:rPr>
          <w:sz w:val="36"/>
        </w:rPr>
        <w:lastRenderedPageBreak/>
        <w:t>Contents</w:t>
      </w:r>
    </w:p>
    <w:bookmarkStart w:id="1" w:name="BKCheck15B_2"/>
    <w:bookmarkEnd w:id="1"/>
    <w:p w14:paraId="1788B604" w14:textId="1955B146" w:rsidR="00684820" w:rsidRDefault="00B20990">
      <w:pPr>
        <w:pStyle w:val="TOC5"/>
        <w:rPr>
          <w:rFonts w:asciiTheme="minorHAnsi" w:eastAsiaTheme="minorEastAsia" w:hAnsiTheme="minorHAnsi" w:cstheme="minorBidi"/>
          <w:noProof/>
          <w:kern w:val="0"/>
          <w:sz w:val="22"/>
          <w:szCs w:val="22"/>
        </w:rPr>
      </w:pPr>
      <w:r w:rsidRPr="005E317F">
        <w:fldChar w:fldCharType="begin"/>
      </w:r>
      <w:r>
        <w:instrText xml:space="preserve"> TOC \o "1-9" </w:instrText>
      </w:r>
      <w:r w:rsidRPr="005E317F">
        <w:fldChar w:fldCharType="separate"/>
      </w:r>
      <w:r w:rsidR="00684820">
        <w:rPr>
          <w:noProof/>
        </w:rPr>
        <w:t>1  Name</w:t>
      </w:r>
      <w:r w:rsidR="00684820">
        <w:rPr>
          <w:noProof/>
        </w:rPr>
        <w:tab/>
      </w:r>
      <w:r w:rsidR="00684820">
        <w:rPr>
          <w:noProof/>
        </w:rPr>
        <w:fldChar w:fldCharType="begin"/>
      </w:r>
      <w:r w:rsidR="00684820">
        <w:rPr>
          <w:noProof/>
        </w:rPr>
        <w:instrText xml:space="preserve"> PAGEREF _Toc184111127 \h </w:instrText>
      </w:r>
      <w:r w:rsidR="00684820">
        <w:rPr>
          <w:noProof/>
        </w:rPr>
      </w:r>
      <w:r w:rsidR="00684820">
        <w:rPr>
          <w:noProof/>
        </w:rPr>
        <w:fldChar w:fldCharType="separate"/>
      </w:r>
      <w:r w:rsidR="00BD193A">
        <w:rPr>
          <w:noProof/>
        </w:rPr>
        <w:t>1</w:t>
      </w:r>
      <w:r w:rsidR="00684820">
        <w:rPr>
          <w:noProof/>
        </w:rPr>
        <w:fldChar w:fldCharType="end"/>
      </w:r>
    </w:p>
    <w:p w14:paraId="72BB77E4" w14:textId="1B5D7732" w:rsidR="00684820" w:rsidRDefault="00684820">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_Toc184111128 \h </w:instrText>
      </w:r>
      <w:r>
        <w:rPr>
          <w:noProof/>
        </w:rPr>
      </w:r>
      <w:r>
        <w:rPr>
          <w:noProof/>
        </w:rPr>
        <w:fldChar w:fldCharType="separate"/>
      </w:r>
      <w:r w:rsidR="00BD193A">
        <w:rPr>
          <w:noProof/>
        </w:rPr>
        <w:t>1</w:t>
      </w:r>
      <w:r>
        <w:rPr>
          <w:noProof/>
        </w:rPr>
        <w:fldChar w:fldCharType="end"/>
      </w:r>
    </w:p>
    <w:p w14:paraId="1CF347C3" w14:textId="3A1DBD4C" w:rsidR="00684820" w:rsidRDefault="00684820">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_Toc184111129 \h </w:instrText>
      </w:r>
      <w:r>
        <w:rPr>
          <w:noProof/>
        </w:rPr>
      </w:r>
      <w:r>
        <w:rPr>
          <w:noProof/>
        </w:rPr>
        <w:fldChar w:fldCharType="separate"/>
      </w:r>
      <w:r w:rsidR="00BD193A">
        <w:rPr>
          <w:noProof/>
        </w:rPr>
        <w:t>1</w:t>
      </w:r>
      <w:r>
        <w:rPr>
          <w:noProof/>
        </w:rPr>
        <w:fldChar w:fldCharType="end"/>
      </w:r>
    </w:p>
    <w:p w14:paraId="3C14C6E7" w14:textId="2594932D" w:rsidR="00684820" w:rsidRDefault="00684820">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_Toc184111130 \h </w:instrText>
      </w:r>
      <w:r>
        <w:rPr>
          <w:noProof/>
        </w:rPr>
      </w:r>
      <w:r>
        <w:rPr>
          <w:noProof/>
        </w:rPr>
        <w:fldChar w:fldCharType="separate"/>
      </w:r>
      <w:r w:rsidR="00BD193A">
        <w:rPr>
          <w:noProof/>
        </w:rPr>
        <w:t>1</w:t>
      </w:r>
      <w:r>
        <w:rPr>
          <w:noProof/>
        </w:rPr>
        <w:fldChar w:fldCharType="end"/>
      </w:r>
    </w:p>
    <w:p w14:paraId="041F5534" w14:textId="33D7A0D3" w:rsidR="00684820" w:rsidRDefault="00684820">
      <w:pPr>
        <w:pStyle w:val="TOC6"/>
        <w:rPr>
          <w:rFonts w:asciiTheme="minorHAnsi" w:eastAsiaTheme="minorEastAsia" w:hAnsiTheme="minorHAnsi" w:cstheme="minorBidi"/>
          <w:b w:val="0"/>
          <w:noProof/>
          <w:kern w:val="0"/>
          <w:sz w:val="22"/>
          <w:szCs w:val="22"/>
        </w:rPr>
      </w:pPr>
      <w:r>
        <w:rPr>
          <w:noProof/>
        </w:rPr>
        <w:t>Schedule 1—Amendments of IMMI 18/039</w:t>
      </w:r>
      <w:r>
        <w:rPr>
          <w:noProof/>
        </w:rPr>
        <w:tab/>
      </w:r>
      <w:r>
        <w:rPr>
          <w:noProof/>
        </w:rPr>
        <w:fldChar w:fldCharType="begin"/>
      </w:r>
      <w:r>
        <w:rPr>
          <w:noProof/>
        </w:rPr>
        <w:instrText xml:space="preserve"> PAGEREF _Toc184111131 \h </w:instrText>
      </w:r>
      <w:r>
        <w:rPr>
          <w:noProof/>
        </w:rPr>
      </w:r>
      <w:r>
        <w:rPr>
          <w:noProof/>
        </w:rPr>
        <w:fldChar w:fldCharType="separate"/>
      </w:r>
      <w:r w:rsidR="00BD193A">
        <w:rPr>
          <w:noProof/>
        </w:rPr>
        <w:t>2</w:t>
      </w:r>
      <w:r>
        <w:rPr>
          <w:noProof/>
        </w:rPr>
        <w:fldChar w:fldCharType="end"/>
      </w:r>
    </w:p>
    <w:p w14:paraId="411451BB" w14:textId="581F7B7B" w:rsidR="00684820" w:rsidRDefault="00684820">
      <w:pPr>
        <w:pStyle w:val="TOC9"/>
        <w:rPr>
          <w:rFonts w:asciiTheme="minorHAnsi" w:eastAsiaTheme="minorEastAsia" w:hAnsiTheme="minorHAnsi" w:cstheme="minorBidi"/>
          <w:i w:val="0"/>
          <w:noProof/>
          <w:kern w:val="0"/>
          <w:sz w:val="22"/>
          <w:szCs w:val="22"/>
        </w:rPr>
      </w:pPr>
      <w:r>
        <w:rPr>
          <w:noProof/>
        </w:rPr>
        <w:t>Migration (IMMI 18/039: Mandatory Skills Assessment—Subclass 482 Visa) Instrument 2018</w:t>
      </w:r>
      <w:r>
        <w:rPr>
          <w:noProof/>
        </w:rPr>
        <w:tab/>
      </w:r>
      <w:r>
        <w:rPr>
          <w:noProof/>
        </w:rPr>
        <w:fldChar w:fldCharType="begin"/>
      </w:r>
      <w:r>
        <w:rPr>
          <w:noProof/>
        </w:rPr>
        <w:instrText xml:space="preserve"> PAGEREF _Toc184111132 \h </w:instrText>
      </w:r>
      <w:r>
        <w:rPr>
          <w:noProof/>
        </w:rPr>
      </w:r>
      <w:r>
        <w:rPr>
          <w:noProof/>
        </w:rPr>
        <w:fldChar w:fldCharType="separate"/>
      </w:r>
      <w:r w:rsidR="00BD193A">
        <w:rPr>
          <w:noProof/>
        </w:rPr>
        <w:t>2</w:t>
      </w:r>
      <w:r>
        <w:rPr>
          <w:noProof/>
        </w:rPr>
        <w:fldChar w:fldCharType="end"/>
      </w:r>
    </w:p>
    <w:p w14:paraId="104E8B95" w14:textId="4F808CA9" w:rsidR="00684820" w:rsidRDefault="00684820">
      <w:pPr>
        <w:pStyle w:val="TOC6"/>
        <w:rPr>
          <w:rFonts w:asciiTheme="minorHAnsi" w:eastAsiaTheme="minorEastAsia" w:hAnsiTheme="minorHAnsi" w:cstheme="minorBidi"/>
          <w:b w:val="0"/>
          <w:noProof/>
          <w:kern w:val="0"/>
          <w:sz w:val="22"/>
          <w:szCs w:val="22"/>
        </w:rPr>
      </w:pPr>
      <w:r>
        <w:rPr>
          <w:noProof/>
        </w:rPr>
        <w:t>Schedule 2—Amendments of LIN 19/216</w:t>
      </w:r>
      <w:r>
        <w:rPr>
          <w:noProof/>
        </w:rPr>
        <w:tab/>
      </w:r>
      <w:r>
        <w:rPr>
          <w:noProof/>
        </w:rPr>
        <w:fldChar w:fldCharType="begin"/>
      </w:r>
      <w:r>
        <w:rPr>
          <w:noProof/>
        </w:rPr>
        <w:instrText xml:space="preserve"> PAGEREF _Toc184111134 \h </w:instrText>
      </w:r>
      <w:r>
        <w:rPr>
          <w:noProof/>
        </w:rPr>
      </w:r>
      <w:r>
        <w:rPr>
          <w:noProof/>
        </w:rPr>
        <w:fldChar w:fldCharType="separate"/>
      </w:r>
      <w:r w:rsidR="00BD193A">
        <w:rPr>
          <w:noProof/>
        </w:rPr>
        <w:t>4</w:t>
      </w:r>
      <w:r>
        <w:rPr>
          <w:noProof/>
        </w:rPr>
        <w:fldChar w:fldCharType="end"/>
      </w:r>
    </w:p>
    <w:p w14:paraId="304D8389" w14:textId="68C6E1A8" w:rsidR="00684820" w:rsidRDefault="00684820">
      <w:pPr>
        <w:pStyle w:val="TOC9"/>
        <w:rPr>
          <w:rFonts w:asciiTheme="minorHAnsi" w:eastAsiaTheme="minorEastAsia" w:hAnsiTheme="minorHAnsi" w:cstheme="minorBidi"/>
          <w:i w:val="0"/>
          <w:noProof/>
          <w:kern w:val="0"/>
          <w:sz w:val="22"/>
          <w:szCs w:val="22"/>
        </w:rPr>
      </w:pPr>
      <w:r>
        <w:rPr>
          <w:noProof/>
        </w:rPr>
        <w:t>Migration (LIN 19/216: Exemptions from Skill, Age and English Language Requirements for Subclass 186, 187 and 494 Visas) Instrument 2019</w:t>
      </w:r>
      <w:r>
        <w:rPr>
          <w:noProof/>
        </w:rPr>
        <w:tab/>
      </w:r>
      <w:r>
        <w:rPr>
          <w:noProof/>
        </w:rPr>
        <w:fldChar w:fldCharType="begin"/>
      </w:r>
      <w:r>
        <w:rPr>
          <w:noProof/>
        </w:rPr>
        <w:instrText xml:space="preserve"> PAGEREF _Toc184111135 \h </w:instrText>
      </w:r>
      <w:r>
        <w:rPr>
          <w:noProof/>
        </w:rPr>
      </w:r>
      <w:r>
        <w:rPr>
          <w:noProof/>
        </w:rPr>
        <w:fldChar w:fldCharType="separate"/>
      </w:r>
      <w:r w:rsidR="00BD193A">
        <w:rPr>
          <w:noProof/>
        </w:rPr>
        <w:t>4</w:t>
      </w:r>
      <w:r>
        <w:rPr>
          <w:noProof/>
        </w:rPr>
        <w:fldChar w:fldCharType="end"/>
      </w:r>
    </w:p>
    <w:p w14:paraId="4A71B60E" w14:textId="19955518" w:rsidR="00684820" w:rsidRDefault="00684820">
      <w:pPr>
        <w:pStyle w:val="TOC6"/>
        <w:rPr>
          <w:rFonts w:asciiTheme="minorHAnsi" w:eastAsiaTheme="minorEastAsia" w:hAnsiTheme="minorHAnsi" w:cstheme="minorBidi"/>
          <w:b w:val="0"/>
          <w:noProof/>
          <w:kern w:val="0"/>
          <w:sz w:val="22"/>
          <w:szCs w:val="22"/>
        </w:rPr>
      </w:pPr>
      <w:r w:rsidRPr="006545FD">
        <w:rPr>
          <w:rFonts w:eastAsiaTheme="minorHAnsi" w:cstheme="minorBidi"/>
          <w:noProof/>
          <w:lang w:eastAsia="en-US"/>
        </w:rPr>
        <w:t>Schedule 3—Amendments of IMMI 18/033</w:t>
      </w:r>
      <w:r>
        <w:rPr>
          <w:noProof/>
        </w:rPr>
        <w:tab/>
      </w:r>
      <w:r>
        <w:rPr>
          <w:noProof/>
        </w:rPr>
        <w:fldChar w:fldCharType="begin"/>
      </w:r>
      <w:r>
        <w:rPr>
          <w:noProof/>
        </w:rPr>
        <w:instrText xml:space="preserve"> PAGEREF _Toc184111137 \h </w:instrText>
      </w:r>
      <w:r>
        <w:rPr>
          <w:noProof/>
        </w:rPr>
      </w:r>
      <w:r>
        <w:rPr>
          <w:noProof/>
        </w:rPr>
        <w:fldChar w:fldCharType="separate"/>
      </w:r>
      <w:r w:rsidR="00BD193A">
        <w:rPr>
          <w:noProof/>
        </w:rPr>
        <w:t>6</w:t>
      </w:r>
      <w:r>
        <w:rPr>
          <w:noProof/>
        </w:rPr>
        <w:fldChar w:fldCharType="end"/>
      </w:r>
    </w:p>
    <w:p w14:paraId="07621C51" w14:textId="1C42E919" w:rsidR="00684820" w:rsidRDefault="00684820">
      <w:pPr>
        <w:pStyle w:val="TOC9"/>
        <w:rPr>
          <w:rFonts w:asciiTheme="minorHAnsi" w:eastAsiaTheme="minorEastAsia" w:hAnsiTheme="minorHAnsi" w:cstheme="minorBidi"/>
          <w:i w:val="0"/>
          <w:noProof/>
          <w:kern w:val="0"/>
          <w:sz w:val="22"/>
          <w:szCs w:val="22"/>
        </w:rPr>
      </w:pPr>
      <w:r>
        <w:rPr>
          <w:noProof/>
        </w:rPr>
        <w:t>Migration (IMMI 18/033: Specification of Income Threshold and Annual Earnings and Methodology of Annual Market Salary Rate) Instrument 2018</w:t>
      </w:r>
      <w:r>
        <w:rPr>
          <w:noProof/>
        </w:rPr>
        <w:tab/>
      </w:r>
      <w:r>
        <w:rPr>
          <w:noProof/>
        </w:rPr>
        <w:fldChar w:fldCharType="begin"/>
      </w:r>
      <w:r>
        <w:rPr>
          <w:noProof/>
        </w:rPr>
        <w:instrText xml:space="preserve"> PAGEREF _Toc184111138 \h </w:instrText>
      </w:r>
      <w:r>
        <w:rPr>
          <w:noProof/>
        </w:rPr>
      </w:r>
      <w:r>
        <w:rPr>
          <w:noProof/>
        </w:rPr>
        <w:fldChar w:fldCharType="separate"/>
      </w:r>
      <w:r w:rsidR="00BD193A">
        <w:rPr>
          <w:noProof/>
        </w:rPr>
        <w:t>6</w:t>
      </w:r>
      <w:r>
        <w:rPr>
          <w:noProof/>
        </w:rPr>
        <w:fldChar w:fldCharType="end"/>
      </w:r>
    </w:p>
    <w:p w14:paraId="1CF7570D" w14:textId="4FC08D2C" w:rsidR="00684820" w:rsidRDefault="00684820">
      <w:pPr>
        <w:pStyle w:val="TOC6"/>
        <w:rPr>
          <w:rFonts w:asciiTheme="minorHAnsi" w:eastAsiaTheme="minorEastAsia" w:hAnsiTheme="minorHAnsi" w:cstheme="minorBidi"/>
          <w:b w:val="0"/>
          <w:noProof/>
          <w:kern w:val="0"/>
          <w:sz w:val="22"/>
          <w:szCs w:val="22"/>
        </w:rPr>
      </w:pPr>
      <w:r w:rsidRPr="006545FD">
        <w:rPr>
          <w:rFonts w:eastAsiaTheme="minorHAnsi" w:cstheme="minorBidi"/>
          <w:noProof/>
          <w:lang w:eastAsia="en-US"/>
        </w:rPr>
        <w:t>Schedule 4—Amendments of LIN 19/212</w:t>
      </w:r>
      <w:r>
        <w:rPr>
          <w:noProof/>
        </w:rPr>
        <w:tab/>
      </w:r>
      <w:r>
        <w:rPr>
          <w:noProof/>
        </w:rPr>
        <w:fldChar w:fldCharType="begin"/>
      </w:r>
      <w:r>
        <w:rPr>
          <w:noProof/>
        </w:rPr>
        <w:instrText xml:space="preserve"> PAGEREF _Toc184111141 \h </w:instrText>
      </w:r>
      <w:r>
        <w:rPr>
          <w:noProof/>
        </w:rPr>
      </w:r>
      <w:r>
        <w:rPr>
          <w:noProof/>
        </w:rPr>
        <w:fldChar w:fldCharType="separate"/>
      </w:r>
      <w:r w:rsidR="00BD193A">
        <w:rPr>
          <w:noProof/>
        </w:rPr>
        <w:t>7</w:t>
      </w:r>
      <w:r>
        <w:rPr>
          <w:noProof/>
        </w:rPr>
        <w:fldChar w:fldCharType="end"/>
      </w:r>
    </w:p>
    <w:p w14:paraId="57D35B46" w14:textId="4C3BFE7B" w:rsidR="00684820" w:rsidRDefault="00684820">
      <w:pPr>
        <w:pStyle w:val="TOC9"/>
        <w:rPr>
          <w:rFonts w:asciiTheme="minorHAnsi" w:eastAsiaTheme="minorEastAsia" w:hAnsiTheme="minorHAnsi" w:cstheme="minorBidi"/>
          <w:i w:val="0"/>
          <w:noProof/>
          <w:kern w:val="0"/>
          <w:sz w:val="22"/>
          <w:szCs w:val="22"/>
        </w:rPr>
      </w:pPr>
      <w:r>
        <w:rPr>
          <w:noProof/>
        </w:rPr>
        <w:t>Migration (LIN 19/212: Specification of Exempt Occupations) Instrument 2019</w:t>
      </w:r>
      <w:r>
        <w:rPr>
          <w:noProof/>
        </w:rPr>
        <w:tab/>
      </w:r>
      <w:r>
        <w:rPr>
          <w:noProof/>
        </w:rPr>
        <w:fldChar w:fldCharType="begin"/>
      </w:r>
      <w:r>
        <w:rPr>
          <w:noProof/>
        </w:rPr>
        <w:instrText xml:space="preserve"> PAGEREF _Toc184111142 \h </w:instrText>
      </w:r>
      <w:r>
        <w:rPr>
          <w:noProof/>
        </w:rPr>
      </w:r>
      <w:r>
        <w:rPr>
          <w:noProof/>
        </w:rPr>
        <w:fldChar w:fldCharType="separate"/>
      </w:r>
      <w:r w:rsidR="00BD193A">
        <w:rPr>
          <w:noProof/>
        </w:rPr>
        <w:t>7</w:t>
      </w:r>
      <w:r>
        <w:rPr>
          <w:noProof/>
        </w:rPr>
        <w:fldChar w:fldCharType="end"/>
      </w:r>
    </w:p>
    <w:p w14:paraId="62616631" w14:textId="424CF6A9" w:rsidR="00684820" w:rsidRDefault="00684820">
      <w:pPr>
        <w:pStyle w:val="TOC6"/>
        <w:rPr>
          <w:rFonts w:asciiTheme="minorHAnsi" w:eastAsiaTheme="minorEastAsia" w:hAnsiTheme="minorHAnsi" w:cstheme="minorBidi"/>
          <w:b w:val="0"/>
          <w:noProof/>
          <w:kern w:val="0"/>
          <w:sz w:val="22"/>
          <w:szCs w:val="22"/>
        </w:rPr>
      </w:pPr>
      <w:r w:rsidRPr="006545FD">
        <w:rPr>
          <w:rFonts w:eastAsiaTheme="minorHAnsi" w:cstheme="minorBidi"/>
          <w:noProof/>
          <w:lang w:eastAsia="en-US"/>
        </w:rPr>
        <w:t>Schedule 5—Amendments of LIN 18/036</w:t>
      </w:r>
      <w:r>
        <w:rPr>
          <w:noProof/>
        </w:rPr>
        <w:tab/>
      </w:r>
      <w:r>
        <w:rPr>
          <w:noProof/>
        </w:rPr>
        <w:fldChar w:fldCharType="begin"/>
      </w:r>
      <w:r>
        <w:rPr>
          <w:noProof/>
        </w:rPr>
        <w:instrText xml:space="preserve"> PAGEREF _Toc184111143 \h </w:instrText>
      </w:r>
      <w:r>
        <w:rPr>
          <w:noProof/>
        </w:rPr>
      </w:r>
      <w:r>
        <w:rPr>
          <w:noProof/>
        </w:rPr>
        <w:fldChar w:fldCharType="separate"/>
      </w:r>
      <w:r w:rsidR="00BD193A">
        <w:rPr>
          <w:noProof/>
        </w:rPr>
        <w:t>9</w:t>
      </w:r>
      <w:r>
        <w:rPr>
          <w:noProof/>
        </w:rPr>
        <w:fldChar w:fldCharType="end"/>
      </w:r>
    </w:p>
    <w:p w14:paraId="4D9A56DE" w14:textId="0E2E7D24" w:rsidR="00684820" w:rsidRDefault="00684820">
      <w:pPr>
        <w:pStyle w:val="TOC9"/>
        <w:rPr>
          <w:rFonts w:asciiTheme="minorHAnsi" w:eastAsiaTheme="minorEastAsia" w:hAnsiTheme="minorHAnsi" w:cstheme="minorBidi"/>
          <w:i w:val="0"/>
          <w:noProof/>
          <w:kern w:val="0"/>
          <w:sz w:val="22"/>
          <w:szCs w:val="22"/>
        </w:rPr>
      </w:pPr>
      <w:r>
        <w:rPr>
          <w:noProof/>
        </w:rPr>
        <w:t>Migration (LIN 18/036: Period, manner and evidence of labour market testing) Instrument 2018</w:t>
      </w:r>
      <w:r>
        <w:rPr>
          <w:noProof/>
        </w:rPr>
        <w:tab/>
      </w:r>
      <w:r>
        <w:rPr>
          <w:noProof/>
        </w:rPr>
        <w:fldChar w:fldCharType="begin"/>
      </w:r>
      <w:r>
        <w:rPr>
          <w:noProof/>
        </w:rPr>
        <w:instrText xml:space="preserve"> PAGEREF _Toc184111144 \h </w:instrText>
      </w:r>
      <w:r>
        <w:rPr>
          <w:noProof/>
        </w:rPr>
      </w:r>
      <w:r>
        <w:rPr>
          <w:noProof/>
        </w:rPr>
        <w:fldChar w:fldCharType="separate"/>
      </w:r>
      <w:r w:rsidR="00BD193A">
        <w:rPr>
          <w:noProof/>
        </w:rPr>
        <w:t>9</w:t>
      </w:r>
      <w:r>
        <w:rPr>
          <w:noProof/>
        </w:rPr>
        <w:fldChar w:fldCharType="end"/>
      </w:r>
    </w:p>
    <w:p w14:paraId="35036029" w14:textId="5B77CEF1" w:rsidR="00684820" w:rsidRDefault="00684820">
      <w:pPr>
        <w:pStyle w:val="TOC6"/>
        <w:rPr>
          <w:rFonts w:asciiTheme="minorHAnsi" w:eastAsiaTheme="minorEastAsia" w:hAnsiTheme="minorHAnsi" w:cstheme="minorBidi"/>
          <w:b w:val="0"/>
          <w:noProof/>
          <w:kern w:val="0"/>
          <w:sz w:val="22"/>
          <w:szCs w:val="22"/>
        </w:rPr>
      </w:pPr>
      <w:r w:rsidRPr="006545FD">
        <w:rPr>
          <w:rFonts w:eastAsiaTheme="minorHAnsi" w:cstheme="minorBidi"/>
          <w:noProof/>
          <w:lang w:eastAsia="en-US"/>
        </w:rPr>
        <w:t>Schedule 6—Amendments of LIN 19/260</w:t>
      </w:r>
      <w:r>
        <w:rPr>
          <w:noProof/>
        </w:rPr>
        <w:tab/>
      </w:r>
      <w:r>
        <w:rPr>
          <w:noProof/>
        </w:rPr>
        <w:fldChar w:fldCharType="begin"/>
      </w:r>
      <w:r>
        <w:rPr>
          <w:noProof/>
        </w:rPr>
        <w:instrText xml:space="preserve"> PAGEREF _Toc184111145 \h </w:instrText>
      </w:r>
      <w:r>
        <w:rPr>
          <w:noProof/>
        </w:rPr>
      </w:r>
      <w:r>
        <w:rPr>
          <w:noProof/>
        </w:rPr>
        <w:fldChar w:fldCharType="separate"/>
      </w:r>
      <w:r w:rsidR="00BD193A">
        <w:rPr>
          <w:noProof/>
        </w:rPr>
        <w:t>10</w:t>
      </w:r>
      <w:r>
        <w:rPr>
          <w:noProof/>
        </w:rPr>
        <w:fldChar w:fldCharType="end"/>
      </w:r>
    </w:p>
    <w:p w14:paraId="5D8CD2BE" w14:textId="389EF104" w:rsidR="00684820" w:rsidRDefault="00684820">
      <w:pPr>
        <w:pStyle w:val="TOC9"/>
        <w:rPr>
          <w:rFonts w:asciiTheme="minorHAnsi" w:eastAsiaTheme="minorEastAsia" w:hAnsiTheme="minorHAnsi" w:cstheme="minorBidi"/>
          <w:i w:val="0"/>
          <w:noProof/>
          <w:kern w:val="0"/>
          <w:sz w:val="22"/>
          <w:szCs w:val="22"/>
        </w:rPr>
      </w:pPr>
      <w:r>
        <w:rPr>
          <w:noProof/>
        </w:rPr>
        <w:t>Migration (LIN 19/260: Assessing Authorities for Subclass 494 Visas) Instrument 2019</w:t>
      </w:r>
      <w:r>
        <w:rPr>
          <w:noProof/>
        </w:rPr>
        <w:tab/>
      </w:r>
      <w:r>
        <w:rPr>
          <w:noProof/>
        </w:rPr>
        <w:fldChar w:fldCharType="begin"/>
      </w:r>
      <w:r>
        <w:rPr>
          <w:noProof/>
        </w:rPr>
        <w:instrText xml:space="preserve"> PAGEREF _Toc184111146 \h </w:instrText>
      </w:r>
      <w:r>
        <w:rPr>
          <w:noProof/>
        </w:rPr>
      </w:r>
      <w:r>
        <w:rPr>
          <w:noProof/>
        </w:rPr>
        <w:fldChar w:fldCharType="separate"/>
      </w:r>
      <w:r w:rsidR="00BD193A">
        <w:rPr>
          <w:noProof/>
        </w:rPr>
        <w:t>10</w:t>
      </w:r>
      <w:r>
        <w:rPr>
          <w:noProof/>
        </w:rPr>
        <w:fldChar w:fldCharType="end"/>
      </w:r>
    </w:p>
    <w:p w14:paraId="7E7DB8A8" w14:textId="0832A107" w:rsidR="00684820" w:rsidRDefault="00684820">
      <w:pPr>
        <w:pStyle w:val="TOC6"/>
        <w:rPr>
          <w:rFonts w:asciiTheme="minorHAnsi" w:eastAsiaTheme="minorEastAsia" w:hAnsiTheme="minorHAnsi" w:cstheme="minorBidi"/>
          <w:b w:val="0"/>
          <w:noProof/>
          <w:kern w:val="0"/>
          <w:sz w:val="22"/>
          <w:szCs w:val="22"/>
        </w:rPr>
      </w:pPr>
      <w:r w:rsidRPr="006545FD">
        <w:rPr>
          <w:rFonts w:eastAsiaTheme="minorHAnsi" w:cstheme="minorBidi"/>
          <w:noProof/>
          <w:lang w:eastAsia="en-US"/>
        </w:rPr>
        <w:t>Schedule 7—Amendments of LIN 20/166</w:t>
      </w:r>
      <w:r>
        <w:rPr>
          <w:noProof/>
        </w:rPr>
        <w:tab/>
      </w:r>
      <w:r>
        <w:rPr>
          <w:noProof/>
        </w:rPr>
        <w:fldChar w:fldCharType="begin"/>
      </w:r>
      <w:r>
        <w:rPr>
          <w:noProof/>
        </w:rPr>
        <w:instrText xml:space="preserve"> PAGEREF _Toc184111147 \h </w:instrText>
      </w:r>
      <w:r>
        <w:rPr>
          <w:noProof/>
        </w:rPr>
      </w:r>
      <w:r>
        <w:rPr>
          <w:noProof/>
        </w:rPr>
        <w:fldChar w:fldCharType="separate"/>
      </w:r>
      <w:r w:rsidR="00BD193A">
        <w:rPr>
          <w:noProof/>
        </w:rPr>
        <w:t>11</w:t>
      </w:r>
      <w:r>
        <w:rPr>
          <w:noProof/>
        </w:rPr>
        <w:fldChar w:fldCharType="end"/>
      </w:r>
    </w:p>
    <w:p w14:paraId="38220BFA" w14:textId="6951F8AD" w:rsidR="00684820" w:rsidRDefault="00684820">
      <w:pPr>
        <w:pStyle w:val="TOC9"/>
        <w:rPr>
          <w:rFonts w:asciiTheme="minorHAnsi" w:eastAsiaTheme="minorEastAsia" w:hAnsiTheme="minorHAnsi" w:cstheme="minorBidi"/>
          <w:i w:val="0"/>
          <w:noProof/>
          <w:kern w:val="0"/>
          <w:sz w:val="22"/>
          <w:szCs w:val="22"/>
        </w:rPr>
      </w:pPr>
      <w:r>
        <w:rPr>
          <w:noProof/>
        </w:rPr>
        <w:t>Migration (LIN 20/166: Australian Values Statement for Public Interest Criterion 4019) Instrument 2020</w:t>
      </w:r>
      <w:r>
        <w:rPr>
          <w:noProof/>
        </w:rPr>
        <w:tab/>
      </w:r>
      <w:r>
        <w:rPr>
          <w:noProof/>
        </w:rPr>
        <w:fldChar w:fldCharType="begin"/>
      </w:r>
      <w:r>
        <w:rPr>
          <w:noProof/>
        </w:rPr>
        <w:instrText xml:space="preserve"> PAGEREF _Toc184111148 \h </w:instrText>
      </w:r>
      <w:r>
        <w:rPr>
          <w:noProof/>
        </w:rPr>
      </w:r>
      <w:r>
        <w:rPr>
          <w:noProof/>
        </w:rPr>
        <w:fldChar w:fldCharType="separate"/>
      </w:r>
      <w:r w:rsidR="00BD193A">
        <w:rPr>
          <w:noProof/>
        </w:rPr>
        <w:t>11</w:t>
      </w:r>
      <w:r>
        <w:rPr>
          <w:noProof/>
        </w:rPr>
        <w:fldChar w:fldCharType="end"/>
      </w:r>
    </w:p>
    <w:p w14:paraId="3E3E18CB" w14:textId="127B195D" w:rsidR="00B20990" w:rsidRDefault="00B20990" w:rsidP="00B20990">
      <w:pPr>
        <w:sectPr w:rsidR="00B20990" w:rsidSect="00C160A1">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r w:rsidRPr="005E317F">
        <w:rPr>
          <w:rFonts w:cs="Times New Roman"/>
          <w:sz w:val="20"/>
        </w:rPr>
        <w:fldChar w:fldCharType="end"/>
      </w:r>
    </w:p>
    <w:p w14:paraId="6F4A01B4" w14:textId="77777777" w:rsidR="005E317F" w:rsidRPr="009C2562" w:rsidRDefault="005E317F" w:rsidP="005E317F">
      <w:pPr>
        <w:pStyle w:val="ActHead5"/>
      </w:pPr>
      <w:bookmarkStart w:id="2" w:name="_Toc184111127"/>
      <w:r w:rsidRPr="009C2562">
        <w:rPr>
          <w:rStyle w:val="CharSectno"/>
        </w:rPr>
        <w:lastRenderedPageBreak/>
        <w:t>1</w:t>
      </w:r>
      <w:r w:rsidRPr="009C2562">
        <w:t xml:space="preserve">  Name</w:t>
      </w:r>
      <w:bookmarkEnd w:id="2"/>
    </w:p>
    <w:p w14:paraId="05304E0E" w14:textId="77777777" w:rsidR="005E317F" w:rsidRDefault="005E317F" w:rsidP="005E317F">
      <w:pPr>
        <w:pStyle w:val="subsection"/>
      </w:pPr>
      <w:r w:rsidRPr="009C2562">
        <w:tab/>
      </w:r>
      <w:r w:rsidRPr="009C2562">
        <w:tab/>
        <w:t xml:space="preserve">This </w:t>
      </w:r>
      <w:r>
        <w:t xml:space="preserve">instrument </w:t>
      </w:r>
      <w:r w:rsidRPr="009C2562">
        <w:t xml:space="preserve">is the </w:t>
      </w:r>
      <w:bookmarkStart w:id="3" w:name="BKCheck15B_3"/>
      <w:bookmarkEnd w:id="3"/>
      <w:r w:rsidR="00B34AA4" w:rsidRPr="00B34AA4">
        <w:rPr>
          <w:i/>
        </w:rPr>
        <w:t>Migration Amendment (Skills in Demand Visa and Related Matters) Instrument 2024</w:t>
      </w:r>
      <w:r w:rsidRPr="009C2562">
        <w:t>.</w:t>
      </w:r>
    </w:p>
    <w:p w14:paraId="292F25B6" w14:textId="77777777" w:rsidR="005E317F" w:rsidRDefault="005E317F" w:rsidP="005E317F">
      <w:pPr>
        <w:pStyle w:val="ActHead5"/>
      </w:pPr>
      <w:bookmarkStart w:id="4" w:name="_Toc184111128"/>
      <w:r w:rsidRPr="009C2562">
        <w:rPr>
          <w:rStyle w:val="CharSectno"/>
        </w:rPr>
        <w:t>2</w:t>
      </w:r>
      <w:r w:rsidRPr="009C2562">
        <w:t xml:space="preserve">  Commencement</w:t>
      </w:r>
      <w:bookmarkEnd w:id="4"/>
    </w:p>
    <w:p w14:paraId="10C67A8E" w14:textId="77777777" w:rsidR="005E317F" w:rsidRPr="00232984" w:rsidRDefault="005E317F" w:rsidP="005E317F">
      <w:pPr>
        <w:pStyle w:val="subsection"/>
      </w:pPr>
      <w:r>
        <w:tab/>
      </w:r>
      <w:r>
        <w:tab/>
        <w:t xml:space="preserve">This instrument commences </w:t>
      </w:r>
      <w:r w:rsidR="00B34AA4">
        <w:t>on 7 December 2024</w:t>
      </w:r>
      <w:r>
        <w:t>.</w:t>
      </w:r>
    </w:p>
    <w:p w14:paraId="29585F59" w14:textId="77777777" w:rsidR="005E317F" w:rsidRPr="009C2562" w:rsidRDefault="005E317F" w:rsidP="005E317F">
      <w:pPr>
        <w:pStyle w:val="ActHead5"/>
      </w:pPr>
      <w:bookmarkStart w:id="5" w:name="_Toc184111129"/>
      <w:r w:rsidRPr="009C2562">
        <w:rPr>
          <w:rStyle w:val="CharSectno"/>
        </w:rPr>
        <w:t>3</w:t>
      </w:r>
      <w:r w:rsidRPr="009C2562">
        <w:t xml:space="preserve">  Authority</w:t>
      </w:r>
      <w:bookmarkEnd w:id="5"/>
    </w:p>
    <w:p w14:paraId="3E4E90EE" w14:textId="77777777" w:rsidR="005E317F" w:rsidRPr="009C2562" w:rsidRDefault="005E317F" w:rsidP="005E317F">
      <w:pPr>
        <w:pStyle w:val="subsection"/>
      </w:pPr>
      <w:r w:rsidRPr="009C2562">
        <w:tab/>
      </w:r>
      <w:r w:rsidRPr="009C2562">
        <w:tab/>
        <w:t xml:space="preserve">This instrument is made under </w:t>
      </w:r>
      <w:r w:rsidR="00B34AA4">
        <w:t>the</w:t>
      </w:r>
      <w:r w:rsidR="00186E8B">
        <w:t xml:space="preserve"> </w:t>
      </w:r>
      <w:r w:rsidR="00186E8B" w:rsidRPr="003807A6">
        <w:rPr>
          <w:i/>
        </w:rPr>
        <w:t>Migration Act 1958</w:t>
      </w:r>
      <w:r w:rsidR="00186E8B">
        <w:t xml:space="preserve"> and the</w:t>
      </w:r>
      <w:r w:rsidR="00B34AA4">
        <w:t xml:space="preserve"> </w:t>
      </w:r>
      <w:r w:rsidR="00B34AA4" w:rsidRPr="00B34AA4">
        <w:rPr>
          <w:i/>
        </w:rPr>
        <w:t>Migration Regulations 1994</w:t>
      </w:r>
      <w:r w:rsidRPr="009C2562">
        <w:t>.</w:t>
      </w:r>
    </w:p>
    <w:p w14:paraId="671ACBC2" w14:textId="77777777" w:rsidR="005E317F" w:rsidRPr="006065DA" w:rsidRDefault="005E317F" w:rsidP="005E317F">
      <w:pPr>
        <w:pStyle w:val="ActHead5"/>
      </w:pPr>
      <w:bookmarkStart w:id="6" w:name="_Toc184111130"/>
      <w:r w:rsidRPr="006065DA">
        <w:t>4  Schedules</w:t>
      </w:r>
      <w:bookmarkEnd w:id="6"/>
    </w:p>
    <w:p w14:paraId="0A07AE64"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63B9EECB" w14:textId="77777777" w:rsidR="005E317F" w:rsidRDefault="005E317F" w:rsidP="005E317F">
      <w:pPr>
        <w:pStyle w:val="ActHead6"/>
        <w:pageBreakBefore/>
        <w:rPr>
          <w:rStyle w:val="CharAmSchText"/>
        </w:rPr>
      </w:pPr>
      <w:bookmarkStart w:id="7" w:name="_Toc184111131"/>
      <w:r w:rsidRPr="00DB64FC">
        <w:rPr>
          <w:rStyle w:val="CharAmSchNo"/>
        </w:rPr>
        <w:lastRenderedPageBreak/>
        <w:t>Schedule 1</w:t>
      </w:r>
      <w:r>
        <w:t>—</w:t>
      </w:r>
      <w:r w:rsidRPr="00DB64FC">
        <w:rPr>
          <w:rStyle w:val="CharAmSchText"/>
        </w:rPr>
        <w:t>Amendments</w:t>
      </w:r>
      <w:r w:rsidR="00692882">
        <w:rPr>
          <w:rStyle w:val="CharAmSchText"/>
        </w:rPr>
        <w:t xml:space="preserve"> of IMMI 18/039</w:t>
      </w:r>
      <w:bookmarkEnd w:id="7"/>
    </w:p>
    <w:p w14:paraId="6F0AD1FC" w14:textId="77777777" w:rsidR="005A6C65" w:rsidRPr="005A6C65" w:rsidRDefault="005A6C65" w:rsidP="005A6C65">
      <w:pPr>
        <w:pStyle w:val="Header"/>
        <w:rPr>
          <w:rStyle w:val="CharAmPartNo"/>
        </w:rPr>
      </w:pPr>
      <w:r>
        <w:rPr>
          <w:rStyle w:val="CharAmPartNo"/>
        </w:rPr>
        <w:t xml:space="preserve">  </w:t>
      </w:r>
    </w:p>
    <w:p w14:paraId="0D26B480" w14:textId="77777777" w:rsidR="005E317F" w:rsidRDefault="00B34AA4" w:rsidP="005E317F">
      <w:pPr>
        <w:pStyle w:val="ActHead9"/>
      </w:pPr>
      <w:bookmarkStart w:id="8" w:name="_Toc184111132"/>
      <w:r w:rsidRPr="00B34AA4">
        <w:t>Migration (IMMI 18/039: Mandatory Skills Assessment—Subclass 482 Visa) Instrument 2018</w:t>
      </w:r>
      <w:bookmarkEnd w:id="8"/>
    </w:p>
    <w:p w14:paraId="20E74108" w14:textId="77777777" w:rsidR="00EC4221" w:rsidRDefault="00EC4221" w:rsidP="00EC4221">
      <w:pPr>
        <w:pStyle w:val="ItemHead"/>
      </w:pPr>
      <w:r>
        <w:t>1  Section 4 (paragraph (a) of note)</w:t>
      </w:r>
    </w:p>
    <w:p w14:paraId="62B6A207" w14:textId="77777777" w:rsidR="00EC4221" w:rsidRDefault="00EC4221" w:rsidP="00EC4221">
      <w:pPr>
        <w:pStyle w:val="Item"/>
      </w:pPr>
      <w:r>
        <w:t>Repeal the paragraph.</w:t>
      </w:r>
    </w:p>
    <w:p w14:paraId="1372C362" w14:textId="77777777" w:rsidR="00EC4221" w:rsidRDefault="00EC4221" w:rsidP="00EC4221">
      <w:pPr>
        <w:pStyle w:val="ItemHead"/>
      </w:pPr>
      <w:r>
        <w:t>2  Section 4</w:t>
      </w:r>
    </w:p>
    <w:p w14:paraId="34BE3C1A" w14:textId="77777777" w:rsidR="00EC4221" w:rsidRDefault="00EC4221" w:rsidP="00EC4221">
      <w:pPr>
        <w:pStyle w:val="Item"/>
      </w:pPr>
      <w:r>
        <w:t>Insert:</w:t>
      </w:r>
    </w:p>
    <w:p w14:paraId="01147F73" w14:textId="6C98B761" w:rsidR="00EC4221" w:rsidRDefault="00EC4221" w:rsidP="006F6160">
      <w:pPr>
        <w:pStyle w:val="Item"/>
      </w:pPr>
      <w:r>
        <w:rPr>
          <w:b/>
          <w:i/>
        </w:rPr>
        <w:t>ANZSCO</w:t>
      </w:r>
      <w:r>
        <w:t xml:space="preserve"> </w:t>
      </w:r>
      <w:r w:rsidR="006B6000">
        <w:t xml:space="preserve">is specified to mean, for the definition of </w:t>
      </w:r>
      <w:r w:rsidR="006B6000" w:rsidRPr="006B6000">
        <w:rPr>
          <w:b/>
          <w:i/>
        </w:rPr>
        <w:t>ANZSCO</w:t>
      </w:r>
      <w:r w:rsidR="006B6000">
        <w:t xml:space="preserve"> in regulation 1.03 of the Regulations, </w:t>
      </w:r>
      <w:r>
        <w:t>the Australian and New Zealand Standard Classification of Occupations published by the Australian Bureau of Statistics, as in force on 23 November 2022.</w:t>
      </w:r>
    </w:p>
    <w:p w14:paraId="0A6A15A1" w14:textId="77777777" w:rsidR="00355874" w:rsidRDefault="001578C7" w:rsidP="00355874">
      <w:pPr>
        <w:pStyle w:val="ItemHead"/>
      </w:pPr>
      <w:r>
        <w:t>3</w:t>
      </w:r>
      <w:r w:rsidR="00355874">
        <w:t xml:space="preserve">  Subsection 5(1)</w:t>
      </w:r>
    </w:p>
    <w:p w14:paraId="22CC7378" w14:textId="77777777" w:rsidR="00355874" w:rsidRPr="006065DA" w:rsidRDefault="00355874" w:rsidP="00355874">
      <w:pPr>
        <w:pStyle w:val="Item"/>
      </w:pPr>
      <w:r>
        <w:t>Omit “(</w:t>
      </w:r>
      <w:r w:rsidRPr="002D44EE">
        <w:t>Temporary Skill Shortage</w:t>
      </w:r>
      <w:r>
        <w:t>)”, substitute “(Skills in Demand)”.</w:t>
      </w:r>
    </w:p>
    <w:p w14:paraId="1876877E" w14:textId="77777777" w:rsidR="00355874" w:rsidRDefault="001578C7" w:rsidP="00355874">
      <w:pPr>
        <w:pStyle w:val="ItemHead"/>
      </w:pPr>
      <w:r>
        <w:t>4</w:t>
      </w:r>
      <w:r w:rsidR="00355874">
        <w:t xml:space="preserve">  Subsection 5(2) (table)</w:t>
      </w:r>
    </w:p>
    <w:p w14:paraId="1638B425" w14:textId="77777777" w:rsidR="00355874" w:rsidRDefault="00355874" w:rsidP="00355874">
      <w:pPr>
        <w:pStyle w:val="Item"/>
      </w:pPr>
      <w:r>
        <w:t>Omit “457 Skills Assessment” (wherever occurring), insert “SID Skills Assessment”.</w:t>
      </w:r>
    </w:p>
    <w:p w14:paraId="1863B697" w14:textId="77777777" w:rsidR="00355874" w:rsidRDefault="001578C7" w:rsidP="00355874">
      <w:pPr>
        <w:pStyle w:val="ItemHead"/>
      </w:pPr>
      <w:r>
        <w:t>5</w:t>
      </w:r>
      <w:r w:rsidR="00355874">
        <w:t xml:space="preserve">  Subsection 5(2) (table item 3)</w:t>
      </w:r>
    </w:p>
    <w:p w14:paraId="44607118" w14:textId="77777777" w:rsidR="00355874" w:rsidRDefault="00355874" w:rsidP="00355874">
      <w:pPr>
        <w:pStyle w:val="Item"/>
        <w:spacing w:after="120"/>
      </w:pPr>
      <w:r>
        <w:t>Omit the table item, substitute:</w:t>
      </w:r>
    </w:p>
    <w:p w14:paraId="42DF8AAF" w14:textId="77777777" w:rsidR="00692882" w:rsidRPr="00BB5557" w:rsidRDefault="00692882" w:rsidP="00EE1B8A">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1276"/>
        <w:gridCol w:w="1417"/>
        <w:gridCol w:w="2552"/>
      </w:tblGrid>
      <w:tr w:rsidR="00355874" w:rsidRPr="006024FA" w14:paraId="0A303425" w14:textId="77777777" w:rsidTr="008D7349">
        <w:tc>
          <w:tcPr>
            <w:tcW w:w="714" w:type="dxa"/>
            <w:shd w:val="clear" w:color="auto" w:fill="auto"/>
          </w:tcPr>
          <w:p w14:paraId="14D83F62" w14:textId="77777777" w:rsidR="00355874" w:rsidRPr="006024FA" w:rsidRDefault="00355874" w:rsidP="008D7349">
            <w:pPr>
              <w:pStyle w:val="Tabletext"/>
            </w:pPr>
            <w:r w:rsidRPr="006024FA">
              <w:t>3</w:t>
            </w:r>
          </w:p>
        </w:tc>
        <w:tc>
          <w:tcPr>
            <w:tcW w:w="2400" w:type="dxa"/>
            <w:shd w:val="clear" w:color="auto" w:fill="auto"/>
          </w:tcPr>
          <w:p w14:paraId="470443FB" w14:textId="77777777" w:rsidR="00355874" w:rsidRPr="006024FA" w:rsidRDefault="00355874" w:rsidP="008D7349">
            <w:pPr>
              <w:pStyle w:val="Tabletext"/>
            </w:pPr>
            <w:r w:rsidRPr="006024FA">
              <w:t>cabinetmaker</w:t>
            </w:r>
          </w:p>
        </w:tc>
        <w:tc>
          <w:tcPr>
            <w:tcW w:w="1276" w:type="dxa"/>
            <w:shd w:val="clear" w:color="auto" w:fill="auto"/>
          </w:tcPr>
          <w:p w14:paraId="09B0C290" w14:textId="77777777" w:rsidR="00355874" w:rsidRPr="006024FA" w:rsidRDefault="00355874" w:rsidP="008D7349">
            <w:pPr>
              <w:pStyle w:val="Tabletext"/>
            </w:pPr>
            <w:r>
              <w:t>394112</w:t>
            </w:r>
          </w:p>
        </w:tc>
        <w:tc>
          <w:tcPr>
            <w:tcW w:w="1417" w:type="dxa"/>
            <w:shd w:val="clear" w:color="auto" w:fill="auto"/>
          </w:tcPr>
          <w:p w14:paraId="5D24C1A3" w14:textId="77777777" w:rsidR="00355874" w:rsidRPr="006024FA" w:rsidRDefault="00355874" w:rsidP="008D7349">
            <w:pPr>
              <w:pStyle w:val="Tabletext"/>
            </w:pPr>
            <w:r w:rsidRPr="006024FA">
              <w:t>TRA</w:t>
            </w:r>
          </w:p>
        </w:tc>
        <w:tc>
          <w:tcPr>
            <w:tcW w:w="2552" w:type="dxa"/>
            <w:shd w:val="clear" w:color="auto" w:fill="auto"/>
          </w:tcPr>
          <w:p w14:paraId="66257450" w14:textId="77777777" w:rsidR="00355874" w:rsidRPr="006024FA" w:rsidRDefault="00355874" w:rsidP="008D7349">
            <w:pPr>
              <w:pStyle w:val="Tablea"/>
            </w:pPr>
            <w:r w:rsidRPr="006024FA">
              <w:t xml:space="preserve">(a) </w:t>
            </w:r>
            <w:r>
              <w:t>SID</w:t>
            </w:r>
            <w:r w:rsidRPr="006024FA">
              <w:t xml:space="preserve"> Skills Assessment; or</w:t>
            </w:r>
          </w:p>
          <w:p w14:paraId="45EC02B2" w14:textId="77777777" w:rsidR="00355874" w:rsidRPr="006024FA" w:rsidRDefault="00355874" w:rsidP="00EE1B8A">
            <w:pPr>
              <w:pStyle w:val="Tablea"/>
              <w:spacing w:after="120"/>
            </w:pPr>
            <w:r w:rsidRPr="006024FA">
              <w:t>(b) TSS Skills Assessment.</w:t>
            </w:r>
          </w:p>
        </w:tc>
      </w:tr>
    </w:tbl>
    <w:p w14:paraId="764D1BDF" w14:textId="77777777" w:rsidR="00692882" w:rsidRDefault="00692882" w:rsidP="00EE1B8A">
      <w:pPr>
        <w:pStyle w:val="Tabletext"/>
      </w:pPr>
    </w:p>
    <w:p w14:paraId="07332F34" w14:textId="77777777" w:rsidR="00355874" w:rsidRDefault="001578C7" w:rsidP="00355874">
      <w:pPr>
        <w:pStyle w:val="ItemHead"/>
      </w:pPr>
      <w:r>
        <w:t>6</w:t>
      </w:r>
      <w:r w:rsidR="00355874">
        <w:t xml:space="preserve">  Subsection 5(2) (table item 23)</w:t>
      </w:r>
    </w:p>
    <w:p w14:paraId="51A694AA" w14:textId="77777777" w:rsidR="00355874" w:rsidRDefault="00355874" w:rsidP="00355874">
      <w:pPr>
        <w:pStyle w:val="Item"/>
      </w:pPr>
      <w:r>
        <w:t>Repeal the table item.</w:t>
      </w:r>
    </w:p>
    <w:p w14:paraId="7EA20F20" w14:textId="77777777" w:rsidR="00355874" w:rsidRDefault="001578C7" w:rsidP="00355874">
      <w:pPr>
        <w:pStyle w:val="ItemHead"/>
      </w:pPr>
      <w:r>
        <w:t>7</w:t>
      </w:r>
      <w:r w:rsidR="00355874">
        <w:t xml:space="preserve">  Subsection 6(1)</w:t>
      </w:r>
    </w:p>
    <w:p w14:paraId="2A2B48DF" w14:textId="77777777" w:rsidR="00355874" w:rsidRPr="00355874" w:rsidRDefault="00355874" w:rsidP="00EE1B8A">
      <w:pPr>
        <w:pStyle w:val="Item"/>
      </w:pPr>
      <w:r w:rsidRPr="00355874">
        <w:t>Omit “(Temporary Skill Shortage)”, substitute “(Skills in Demand)”.</w:t>
      </w:r>
    </w:p>
    <w:p w14:paraId="59974B6E" w14:textId="77777777" w:rsidR="00355874" w:rsidRDefault="001578C7" w:rsidP="00355874">
      <w:pPr>
        <w:pStyle w:val="ItemHead"/>
      </w:pPr>
      <w:r>
        <w:t>8</w:t>
      </w:r>
      <w:r w:rsidR="00355874">
        <w:t xml:space="preserve">  Subsection 6(2) (table item 23)</w:t>
      </w:r>
    </w:p>
    <w:p w14:paraId="1C35B28D" w14:textId="77777777" w:rsidR="00355874" w:rsidRDefault="00355874" w:rsidP="00355874">
      <w:pPr>
        <w:pStyle w:val="Item"/>
      </w:pPr>
      <w:r>
        <w:t>Repeal the table item.</w:t>
      </w:r>
    </w:p>
    <w:p w14:paraId="530F7ACD" w14:textId="77777777" w:rsidR="00355874" w:rsidRDefault="001578C7" w:rsidP="00355874">
      <w:pPr>
        <w:pStyle w:val="ItemHead"/>
      </w:pPr>
      <w:r>
        <w:t>9</w:t>
      </w:r>
      <w:r w:rsidR="00355874">
        <w:t xml:space="preserve">  Subsection 7(1)</w:t>
      </w:r>
    </w:p>
    <w:p w14:paraId="13E6F16D" w14:textId="77777777" w:rsidR="00355874" w:rsidRDefault="00355874" w:rsidP="00355874">
      <w:pPr>
        <w:pStyle w:val="Item"/>
      </w:pPr>
      <w:r>
        <w:t>Omit “(Temporary Skill Shortage)” (first occurring), substitute “Skills in Demand”.</w:t>
      </w:r>
    </w:p>
    <w:p w14:paraId="1DC8AC1B" w14:textId="77777777" w:rsidR="00355874" w:rsidRDefault="001578C7" w:rsidP="00355874">
      <w:pPr>
        <w:pStyle w:val="ItemHead"/>
      </w:pPr>
      <w:r>
        <w:t>10</w:t>
      </w:r>
      <w:r w:rsidR="00355874">
        <w:t xml:space="preserve">  Subparagraph 7(1)(a)(i)</w:t>
      </w:r>
    </w:p>
    <w:p w14:paraId="367F428E" w14:textId="77777777" w:rsidR="00355874" w:rsidRDefault="00355874" w:rsidP="00355874">
      <w:pPr>
        <w:pStyle w:val="Item"/>
      </w:pPr>
      <w:r>
        <w:t>Omit “</w:t>
      </w:r>
      <w:r w:rsidRPr="00890358">
        <w:t>or Subclass 482 (Temporary Skill Shortage) visa</w:t>
      </w:r>
      <w:r>
        <w:t xml:space="preserve">”, substitute “, </w:t>
      </w:r>
      <w:r w:rsidRPr="006C4A7E">
        <w:t>Subclass 482 (Temporary Skill Shortage) visa</w:t>
      </w:r>
      <w:r>
        <w:t xml:space="preserve"> </w:t>
      </w:r>
      <w:r w:rsidRPr="006C4A7E">
        <w:t>or Subcla</w:t>
      </w:r>
      <w:r>
        <w:t>ss 482 (Skills in Demand</w:t>
      </w:r>
      <w:r w:rsidRPr="006C4A7E">
        <w:t>) visa</w:t>
      </w:r>
      <w:r>
        <w:t>”.</w:t>
      </w:r>
    </w:p>
    <w:p w14:paraId="4B2904A5" w14:textId="77777777" w:rsidR="00355874" w:rsidRDefault="001578C7" w:rsidP="00355874">
      <w:pPr>
        <w:pStyle w:val="ItemHead"/>
      </w:pPr>
      <w:r>
        <w:lastRenderedPageBreak/>
        <w:t>11</w:t>
      </w:r>
      <w:r w:rsidR="00355874">
        <w:t xml:space="preserve">  Subsection 7(2)</w:t>
      </w:r>
    </w:p>
    <w:p w14:paraId="7FA41D95" w14:textId="77777777" w:rsidR="00355874" w:rsidRDefault="00355874" w:rsidP="00355874">
      <w:pPr>
        <w:pStyle w:val="Item"/>
      </w:pPr>
      <w:r>
        <w:t>Omit “</w:t>
      </w:r>
      <w:r w:rsidRPr="00355874">
        <w:t>Subclass 482 (Temporary Skill Shortage) visa is an exempt applicant for an occupation mentioned in column 1 of an item of the table (other than item 21 or 23)</w:t>
      </w:r>
      <w:r>
        <w:t>”, substitute “</w:t>
      </w:r>
      <w:r w:rsidRPr="00355874">
        <w:t>Subclass 482 (</w:t>
      </w:r>
      <w:r>
        <w:t>Skills in Demand</w:t>
      </w:r>
      <w:r w:rsidRPr="00355874">
        <w:t>) visa is an exempt applicant for an occupation mentioned in column 1 of an item of the table (other than item 21)</w:t>
      </w:r>
      <w:r>
        <w:t>”.</w:t>
      </w:r>
    </w:p>
    <w:p w14:paraId="560FCFB1" w14:textId="77777777" w:rsidR="00355874" w:rsidRDefault="001578C7" w:rsidP="003807A6">
      <w:pPr>
        <w:pStyle w:val="ItemHead"/>
      </w:pPr>
      <w:r>
        <w:t>12</w:t>
      </w:r>
      <w:r w:rsidR="00355874">
        <w:t xml:space="preserve">  Subsection 7(4)</w:t>
      </w:r>
    </w:p>
    <w:p w14:paraId="379FAF2A" w14:textId="77777777" w:rsidR="00355874" w:rsidRPr="00355874" w:rsidRDefault="00355874">
      <w:pPr>
        <w:pStyle w:val="Item"/>
      </w:pPr>
      <w:r>
        <w:t>Omit “S</w:t>
      </w:r>
      <w:r w:rsidRPr="00355874">
        <w:t>ubclass 482 (Temporary Skill Shortage) visa is an exempt applicant for an occupation mentioned in item 21 or 23</w:t>
      </w:r>
      <w:r>
        <w:t>”, substitute “S</w:t>
      </w:r>
      <w:r w:rsidRPr="00355874">
        <w:t>ubclass 482 (</w:t>
      </w:r>
      <w:r>
        <w:t>Skills in Demand</w:t>
      </w:r>
      <w:r w:rsidRPr="00355874">
        <w:t>) visa is an exempt applicant for an occupation mentioned in item 21</w:t>
      </w:r>
      <w:r>
        <w:t>”.</w:t>
      </w:r>
    </w:p>
    <w:p w14:paraId="040FAD63" w14:textId="77777777" w:rsidR="00355874" w:rsidRDefault="001578C7" w:rsidP="00355874">
      <w:pPr>
        <w:pStyle w:val="ItemHead"/>
      </w:pPr>
      <w:r>
        <w:t xml:space="preserve">13  </w:t>
      </w:r>
      <w:r w:rsidR="00355874">
        <w:t>After section 7</w:t>
      </w:r>
    </w:p>
    <w:p w14:paraId="687B5B3F" w14:textId="77777777" w:rsidR="00355874" w:rsidRDefault="00355874" w:rsidP="00355874">
      <w:pPr>
        <w:pStyle w:val="Item"/>
      </w:pPr>
      <w:r>
        <w:t>Insert:</w:t>
      </w:r>
    </w:p>
    <w:p w14:paraId="5F686723" w14:textId="77777777" w:rsidR="00355874" w:rsidRPr="001E1B48" w:rsidRDefault="00355874" w:rsidP="00355874">
      <w:pPr>
        <w:pStyle w:val="ActHead5"/>
      </w:pPr>
      <w:bookmarkStart w:id="9" w:name="_Toc183987087"/>
      <w:bookmarkStart w:id="10" w:name="_Toc59455029"/>
      <w:bookmarkStart w:id="11" w:name="_Toc183985077"/>
      <w:bookmarkStart w:id="12" w:name="_Toc184111133"/>
      <w:r>
        <w:t>8</w:t>
      </w:r>
      <w:r w:rsidR="002C48B7">
        <w:t xml:space="preserve">  </w:t>
      </w:r>
      <w:r w:rsidR="002C48B7" w:rsidRPr="002C48B7">
        <w:t>Application of amendments made by LIN 24/094</w:t>
      </w:r>
      <w:bookmarkEnd w:id="9"/>
      <w:bookmarkEnd w:id="10"/>
      <w:bookmarkEnd w:id="11"/>
      <w:bookmarkEnd w:id="12"/>
    </w:p>
    <w:p w14:paraId="43498F18" w14:textId="77777777" w:rsidR="00355874" w:rsidRPr="001E1B48" w:rsidRDefault="00355874" w:rsidP="00355874">
      <w:pPr>
        <w:pStyle w:val="subsection"/>
      </w:pPr>
      <w:r w:rsidRPr="001E1B48">
        <w:tab/>
      </w:r>
      <w:r w:rsidRPr="001E1B48">
        <w:tab/>
        <w:t xml:space="preserve">The amendments of this instrument made by </w:t>
      </w:r>
      <w:r w:rsidR="00BB5557">
        <w:t xml:space="preserve">Schedule 1 to </w:t>
      </w:r>
      <w:r w:rsidRPr="001E1B48">
        <w:t>the </w:t>
      </w:r>
      <w:r w:rsidRPr="00355874">
        <w:rPr>
          <w:i/>
        </w:rPr>
        <w:t>Migration Amendment (Skills in Demand Visa and Related Matters) Instrument 2024</w:t>
      </w:r>
      <w:r w:rsidRPr="001E1B48">
        <w:t> </w:t>
      </w:r>
      <w:r>
        <w:t xml:space="preserve">(the </w:t>
      </w:r>
      <w:r w:rsidRPr="00355874">
        <w:rPr>
          <w:b/>
          <w:i/>
        </w:rPr>
        <w:t>amending instrument</w:t>
      </w:r>
      <w:r>
        <w:t xml:space="preserve">) </w:t>
      </w:r>
      <w:r w:rsidRPr="001E1B48">
        <w:t xml:space="preserve">apply in relation to an application </w:t>
      </w:r>
      <w:r>
        <w:t xml:space="preserve">for a visa </w:t>
      </w:r>
      <w:r w:rsidRPr="001E1B48">
        <w:t xml:space="preserve">that is made on or after the commencement of </w:t>
      </w:r>
      <w:r>
        <w:t>the amending instrument</w:t>
      </w:r>
      <w:r w:rsidRPr="001E1B48">
        <w:t>.</w:t>
      </w:r>
    </w:p>
    <w:p w14:paraId="78035C57" w14:textId="77777777" w:rsidR="00355874" w:rsidRDefault="00E42FD3" w:rsidP="00EE1B8A">
      <w:pPr>
        <w:pStyle w:val="ActHead6"/>
        <w:pageBreakBefore/>
      </w:pPr>
      <w:bookmarkStart w:id="13" w:name="_Toc184111134"/>
      <w:r>
        <w:lastRenderedPageBreak/>
        <w:t>Schedule</w:t>
      </w:r>
      <w:r w:rsidR="00514DC7">
        <w:t> </w:t>
      </w:r>
      <w:r>
        <w:t>2</w:t>
      </w:r>
      <w:r w:rsidR="00355874">
        <w:t>—</w:t>
      </w:r>
      <w:r w:rsidR="00355874" w:rsidRPr="00EE1B8A">
        <w:rPr>
          <w:rStyle w:val="CharAmSchText"/>
        </w:rPr>
        <w:t>Amendments</w:t>
      </w:r>
      <w:r w:rsidR="00692882">
        <w:rPr>
          <w:rStyle w:val="CharAmSchText"/>
        </w:rPr>
        <w:t xml:space="preserve"> of LIN 19/216</w:t>
      </w:r>
      <w:bookmarkEnd w:id="13"/>
    </w:p>
    <w:p w14:paraId="33FA6087" w14:textId="77777777" w:rsidR="00355874" w:rsidRDefault="00355874" w:rsidP="00EE1B8A">
      <w:pPr>
        <w:pStyle w:val="Header"/>
      </w:pPr>
      <w:r>
        <w:t xml:space="preserve">  </w:t>
      </w:r>
    </w:p>
    <w:p w14:paraId="2755FCAD" w14:textId="77777777" w:rsidR="00355874" w:rsidRDefault="00E42FD3" w:rsidP="00EE1B8A">
      <w:pPr>
        <w:pStyle w:val="ActHead9"/>
      </w:pPr>
      <w:bookmarkStart w:id="14" w:name="_Toc183002914"/>
      <w:bookmarkStart w:id="15" w:name="_Toc184111135"/>
      <w:r w:rsidRPr="008605F5">
        <w:t>Migration (LIN 19/216: Exemptions from Skill, Age and English Language Requirements for Subclass 186, 187 and 494 Visas) Instrument 2019</w:t>
      </w:r>
      <w:bookmarkEnd w:id="14"/>
      <w:bookmarkEnd w:id="15"/>
    </w:p>
    <w:p w14:paraId="28CB4653" w14:textId="77777777" w:rsidR="00E42FD3" w:rsidRDefault="00E42FD3" w:rsidP="00E42FD3">
      <w:pPr>
        <w:pStyle w:val="ItemHead"/>
      </w:pPr>
      <w:r>
        <w:t>1  Section 5 (paragraphs (a) and (d) of the note)</w:t>
      </w:r>
    </w:p>
    <w:p w14:paraId="1955B0F3" w14:textId="77777777" w:rsidR="00E42FD3" w:rsidRDefault="00E42FD3" w:rsidP="00E42FD3">
      <w:pPr>
        <w:pStyle w:val="Item"/>
      </w:pPr>
      <w:r>
        <w:t>Repeal the paragraphs.</w:t>
      </w:r>
    </w:p>
    <w:p w14:paraId="0772291B" w14:textId="77777777" w:rsidR="00E42FD3" w:rsidRDefault="00E42FD3" w:rsidP="00E42FD3">
      <w:pPr>
        <w:pStyle w:val="ItemHead"/>
      </w:pPr>
      <w:r>
        <w:t xml:space="preserve">2  Section 5 </w:t>
      </w:r>
    </w:p>
    <w:p w14:paraId="419FA795" w14:textId="77777777" w:rsidR="00E42FD3" w:rsidRDefault="00E42FD3" w:rsidP="00E42FD3">
      <w:pPr>
        <w:pStyle w:val="Item"/>
      </w:pPr>
      <w:r>
        <w:t>Insert:</w:t>
      </w:r>
    </w:p>
    <w:p w14:paraId="24ECD081" w14:textId="77777777" w:rsidR="00E42FD3" w:rsidRPr="00BB4C93" w:rsidRDefault="00E42FD3" w:rsidP="00E42FD3">
      <w:pPr>
        <w:pStyle w:val="Item"/>
      </w:pPr>
      <w:r>
        <w:rPr>
          <w:b/>
          <w:i/>
        </w:rPr>
        <w:t>Act</w:t>
      </w:r>
      <w:r>
        <w:t xml:space="preserve"> means the </w:t>
      </w:r>
      <w:r>
        <w:rPr>
          <w:i/>
        </w:rPr>
        <w:t>Migration Act 1958</w:t>
      </w:r>
      <w:r>
        <w:t>.</w:t>
      </w:r>
    </w:p>
    <w:p w14:paraId="2C07A262" w14:textId="77777777" w:rsidR="00E42FD3" w:rsidRDefault="00E42FD3" w:rsidP="00E42FD3">
      <w:pPr>
        <w:pStyle w:val="ItemHead"/>
      </w:pPr>
      <w:r>
        <w:t xml:space="preserve">3  Section 5 </w:t>
      </w:r>
    </w:p>
    <w:p w14:paraId="3BED41F3" w14:textId="77777777" w:rsidR="00E42FD3" w:rsidRDefault="00E42FD3" w:rsidP="00E42FD3">
      <w:pPr>
        <w:pStyle w:val="Item"/>
      </w:pPr>
      <w:r>
        <w:t>Insert:</w:t>
      </w:r>
    </w:p>
    <w:p w14:paraId="1807D189" w14:textId="77777777" w:rsidR="00E42FD3" w:rsidRPr="00D0717A" w:rsidRDefault="00E42FD3" w:rsidP="00D0717A">
      <w:pPr>
        <w:pStyle w:val="Definition"/>
      </w:pPr>
      <w:r w:rsidRPr="00D0717A">
        <w:rPr>
          <w:b/>
          <w:i/>
        </w:rPr>
        <w:t>ANZSCO</w:t>
      </w:r>
      <w:r w:rsidRPr="00D0717A">
        <w:t xml:space="preserve"> means:</w:t>
      </w:r>
    </w:p>
    <w:p w14:paraId="7EFE2877" w14:textId="77777777" w:rsidR="00E42FD3" w:rsidRPr="00D0717A" w:rsidRDefault="00E42FD3" w:rsidP="00D0717A">
      <w:pPr>
        <w:pStyle w:val="paragraph"/>
      </w:pPr>
      <w:r w:rsidRPr="00D0717A">
        <w:tab/>
        <w:t>(a)</w:t>
      </w:r>
      <w:r w:rsidRPr="00D0717A">
        <w:tab/>
        <w:t>in relation to an application for a Subclass 186 (Employer Nomination Scheme) visa—the Australian and New Zealand Standard Classification of Occupations published by the Australian Bureau of Statistics, as in force on 23 November 2022;</w:t>
      </w:r>
    </w:p>
    <w:p w14:paraId="77636A2B" w14:textId="77777777" w:rsidR="00E42FD3" w:rsidRPr="00922A74" w:rsidRDefault="00E42FD3" w:rsidP="00D0717A">
      <w:pPr>
        <w:pStyle w:val="paragraph"/>
      </w:pPr>
      <w:r w:rsidRPr="00D0717A">
        <w:tab/>
        <w:t>(b)</w:t>
      </w:r>
      <w:r w:rsidRPr="00D0717A">
        <w:tab/>
        <w:t>in relation to an application for a Subclass 187 (Regional Sponsored Migration Scheme) visa or a Subclass 494 (Skilled Employer Sponsored Regional (Provisional)) visa —the Australian and New Zealand Standard Classification of Occupations published by the Australian Bureau of Statistics, as in force on 27 June 2013.</w:t>
      </w:r>
    </w:p>
    <w:p w14:paraId="3BECE716" w14:textId="77777777" w:rsidR="00E42FD3" w:rsidRDefault="00E42FD3" w:rsidP="00E42FD3">
      <w:pPr>
        <w:pStyle w:val="ItemHead"/>
      </w:pPr>
      <w:r>
        <w:t xml:space="preserve">4  Section 5 (paragraph (c) of the definition of </w:t>
      </w:r>
      <w:r w:rsidRPr="00FE0BA0">
        <w:rPr>
          <w:i/>
        </w:rPr>
        <w:t>regional medical practitioner applicant</w:t>
      </w:r>
      <w:r>
        <w:t>)</w:t>
      </w:r>
    </w:p>
    <w:p w14:paraId="0A6A0D63" w14:textId="77777777" w:rsidR="00E42FD3" w:rsidRPr="00597200" w:rsidRDefault="00E42FD3" w:rsidP="00E42FD3">
      <w:pPr>
        <w:pStyle w:val="Item"/>
        <w:rPr>
          <w:szCs w:val="22"/>
        </w:rPr>
      </w:pPr>
      <w:r w:rsidRPr="00597200">
        <w:rPr>
          <w:szCs w:val="22"/>
        </w:rPr>
        <w:t xml:space="preserve">Repeal the </w:t>
      </w:r>
      <w:r>
        <w:rPr>
          <w:szCs w:val="22"/>
        </w:rPr>
        <w:t>paragraph</w:t>
      </w:r>
      <w:r w:rsidRPr="00597200">
        <w:rPr>
          <w:szCs w:val="22"/>
        </w:rPr>
        <w:t>, substitute:</w:t>
      </w:r>
    </w:p>
    <w:p w14:paraId="21905300" w14:textId="77777777" w:rsidR="00E42FD3" w:rsidRDefault="00E42FD3" w:rsidP="00EE1B8A">
      <w:pPr>
        <w:pStyle w:val="paragraph"/>
      </w:pPr>
      <w:r>
        <w:tab/>
      </w:r>
      <w:r w:rsidRPr="00E9555D">
        <w:t>(c)</w:t>
      </w:r>
      <w:r w:rsidRPr="00E9555D">
        <w:tab/>
        <w:t xml:space="preserve">during the 3 years immediately before the day the visa application was made, the person held </w:t>
      </w:r>
      <w:r>
        <w:t>one or more of</w:t>
      </w:r>
      <w:r w:rsidRPr="00E9555D">
        <w:t xml:space="preserve"> the following</w:t>
      </w:r>
      <w:r w:rsidR="00D130B2">
        <w:t xml:space="preserve"> visas</w:t>
      </w:r>
      <w:r w:rsidRPr="00E9555D">
        <w:t xml:space="preserve"> for a total period of at least 2 years: </w:t>
      </w:r>
    </w:p>
    <w:p w14:paraId="38CCFE24" w14:textId="77777777" w:rsidR="00E42FD3" w:rsidRPr="00B93516" w:rsidRDefault="00E42FD3" w:rsidP="00EE1B8A">
      <w:pPr>
        <w:pStyle w:val="paragraphsub"/>
      </w:pPr>
      <w:r>
        <w:tab/>
        <w:t>(i)</w:t>
      </w:r>
      <w:r>
        <w:tab/>
      </w:r>
      <w:r w:rsidRPr="00211D3C">
        <w:t xml:space="preserve">a Subclass 457 </w:t>
      </w:r>
      <w:r>
        <w:t>(Temporary Work (Skilled)) visa;</w:t>
      </w:r>
    </w:p>
    <w:p w14:paraId="2B3E8E6F" w14:textId="77777777" w:rsidR="00E42FD3" w:rsidRPr="00B93516" w:rsidRDefault="00E42FD3" w:rsidP="00EE1B8A">
      <w:pPr>
        <w:pStyle w:val="paragraphsub"/>
      </w:pPr>
      <w:r>
        <w:tab/>
        <w:t>(ii)</w:t>
      </w:r>
      <w:r>
        <w:tab/>
      </w:r>
      <w:r w:rsidRPr="00211D3C">
        <w:t>a Subclass 482 (Temporary Skill Shortage) visa</w:t>
      </w:r>
      <w:r>
        <w:t>;</w:t>
      </w:r>
    </w:p>
    <w:p w14:paraId="19EB0C9F" w14:textId="77777777" w:rsidR="00E42FD3" w:rsidRDefault="00E42FD3" w:rsidP="00EE1B8A">
      <w:pPr>
        <w:pStyle w:val="paragraphsub"/>
        <w:rPr>
          <w:szCs w:val="22"/>
        </w:rPr>
      </w:pPr>
      <w:r>
        <w:tab/>
        <w:t>(iii)</w:t>
      </w:r>
      <w:r>
        <w:tab/>
      </w:r>
      <w:r w:rsidRPr="00211D3C">
        <w:t>a Subclass 482 (Skills in Demand) visa</w:t>
      </w:r>
      <w:r>
        <w:t xml:space="preserve">; </w:t>
      </w:r>
      <w:r>
        <w:rPr>
          <w:szCs w:val="22"/>
        </w:rPr>
        <w:t>or</w:t>
      </w:r>
    </w:p>
    <w:p w14:paraId="694FF07F" w14:textId="77777777" w:rsidR="00E42FD3" w:rsidRDefault="00E42FD3" w:rsidP="00EE1B8A">
      <w:pPr>
        <w:pStyle w:val="paragraphsub"/>
        <w:rPr>
          <w:szCs w:val="22"/>
        </w:rPr>
      </w:pPr>
      <w:r>
        <w:tab/>
        <w:t>(iv)</w:t>
      </w:r>
      <w:r>
        <w:tab/>
      </w:r>
      <w:r w:rsidRPr="00E9555D">
        <w:t>if the last substantive visa held by the applicant was a visa mentioned in paragraph (i), (ii) or (iii)—a bridging visa granted on the basis that the person was an applicant for a visa mentioned in paragraph (i), (ii) or (iii), a Subclass 186 (Employer Nomination Scheme) visa or a Subclass 187 (Regional Sponsored Migration Scheme) visa</w:t>
      </w:r>
      <w:r>
        <w:t>.</w:t>
      </w:r>
    </w:p>
    <w:p w14:paraId="3ACA35F1" w14:textId="77777777" w:rsidR="00E42FD3" w:rsidRDefault="00E42FD3" w:rsidP="00E42FD3">
      <w:pPr>
        <w:pStyle w:val="ItemHead"/>
      </w:pPr>
      <w:r>
        <w:t xml:space="preserve">5  Section 5 (definition of </w:t>
      </w:r>
      <w:r w:rsidRPr="00922A74">
        <w:rPr>
          <w:i/>
        </w:rPr>
        <w:t>Subclass 457/482 worker</w:t>
      </w:r>
      <w:r>
        <w:t>)</w:t>
      </w:r>
    </w:p>
    <w:p w14:paraId="7A84376A" w14:textId="77777777" w:rsidR="00E42FD3" w:rsidRDefault="00E42FD3" w:rsidP="00E42FD3">
      <w:pPr>
        <w:pStyle w:val="Item"/>
      </w:pPr>
      <w:r>
        <w:t>Repeal the definition, substitute:</w:t>
      </w:r>
    </w:p>
    <w:p w14:paraId="3D4EC7AF" w14:textId="77777777" w:rsidR="00E42FD3" w:rsidRPr="007A01F7" w:rsidRDefault="00E42FD3" w:rsidP="00EE1B8A">
      <w:pPr>
        <w:pStyle w:val="Definition"/>
        <w:rPr>
          <w:szCs w:val="22"/>
        </w:rPr>
      </w:pPr>
      <w:r w:rsidRPr="002974ED">
        <w:rPr>
          <w:b/>
          <w:i/>
        </w:rPr>
        <w:t>Subclass 457/482 worker</w:t>
      </w:r>
      <w:r w:rsidRPr="002974ED">
        <w:t xml:space="preserve">, </w:t>
      </w:r>
      <w:r w:rsidRPr="007A01F7">
        <w:t xml:space="preserve">in relation to an application for a visa, means a person in </w:t>
      </w:r>
      <w:r w:rsidRPr="007A01F7">
        <w:rPr>
          <w:szCs w:val="22"/>
        </w:rPr>
        <w:t>relation to whom the following applies:</w:t>
      </w:r>
    </w:p>
    <w:p w14:paraId="124F46E4" w14:textId="77777777" w:rsidR="00E42FD3" w:rsidRPr="007A01F7" w:rsidRDefault="00E42FD3" w:rsidP="00EE1B8A">
      <w:pPr>
        <w:pStyle w:val="paragraph"/>
      </w:pPr>
      <w:r>
        <w:lastRenderedPageBreak/>
        <w:tab/>
      </w:r>
      <w:r w:rsidRPr="007A01F7">
        <w:t>(a)</w:t>
      </w:r>
      <w:r w:rsidRPr="007A01F7">
        <w:tab/>
        <w:t xml:space="preserve">during the 3 years ending immediately before the day the visa application was made, the person was employed for a </w:t>
      </w:r>
      <w:r w:rsidR="00D130B2" w:rsidRPr="00D62D6E">
        <w:t>total</w:t>
      </w:r>
      <w:r w:rsidR="00D130B2">
        <w:t xml:space="preserve"> </w:t>
      </w:r>
      <w:r w:rsidRPr="007A01F7">
        <w:t xml:space="preserve">period of at least 2 years in one or more positions </w:t>
      </w:r>
      <w:r>
        <w:t>related to</w:t>
      </w:r>
      <w:r w:rsidRPr="007A01F7">
        <w:t xml:space="preserve"> a nomination approved under s</w:t>
      </w:r>
      <w:r>
        <w:t xml:space="preserve">ection </w:t>
      </w:r>
      <w:r w:rsidRPr="007A01F7">
        <w:t>140GB of the Act</w:t>
      </w:r>
      <w:r>
        <w:t>; and</w:t>
      </w:r>
    </w:p>
    <w:p w14:paraId="065F42CB" w14:textId="77777777" w:rsidR="00E42FD3" w:rsidRPr="007A01F7" w:rsidRDefault="00E42FD3" w:rsidP="00EE1B8A">
      <w:pPr>
        <w:pStyle w:val="paragraph"/>
      </w:pPr>
      <w:r>
        <w:tab/>
      </w:r>
      <w:r w:rsidRPr="007A01F7">
        <w:t>(b)</w:t>
      </w:r>
      <w:r w:rsidRPr="007A01F7">
        <w:tab/>
        <w:t>for each of those 2 years, the person’s earnings for the year were equal to or greater than the high income threshold (as applying at the end of the year);</w:t>
      </w:r>
      <w:r>
        <w:t xml:space="preserve"> and</w:t>
      </w:r>
    </w:p>
    <w:p w14:paraId="0F920E6F" w14:textId="77777777" w:rsidR="00E42FD3" w:rsidRPr="007A01F7" w:rsidRDefault="00E42FD3" w:rsidP="00EE1B8A">
      <w:pPr>
        <w:pStyle w:val="paragraph"/>
      </w:pPr>
      <w:r>
        <w:tab/>
      </w:r>
      <w:r w:rsidRPr="007A01F7">
        <w:t>(c)</w:t>
      </w:r>
      <w:r w:rsidRPr="007A01F7">
        <w:tab/>
        <w:t xml:space="preserve">during the 3 years immediately before the day the visa application was made, the person held </w:t>
      </w:r>
      <w:r>
        <w:t xml:space="preserve">one or more of </w:t>
      </w:r>
      <w:r w:rsidRPr="007A01F7">
        <w:t>the following for a total period of at least 2 years:</w:t>
      </w:r>
    </w:p>
    <w:p w14:paraId="71408400" w14:textId="77777777" w:rsidR="00E42FD3" w:rsidRPr="007A01F7" w:rsidRDefault="00E42FD3" w:rsidP="00EE1B8A">
      <w:pPr>
        <w:pStyle w:val="paragraphsub"/>
      </w:pPr>
      <w:r>
        <w:tab/>
      </w:r>
      <w:r w:rsidRPr="007A01F7">
        <w:t>(i)</w:t>
      </w:r>
      <w:r w:rsidRPr="007A01F7">
        <w:tab/>
        <w:t>a Subclass 457 (</w:t>
      </w:r>
      <w:r>
        <w:t>Temporary Work (Skilled)) visa;</w:t>
      </w:r>
    </w:p>
    <w:p w14:paraId="5314DF5F" w14:textId="77777777" w:rsidR="00E42FD3" w:rsidRPr="007A01F7" w:rsidRDefault="00E42FD3" w:rsidP="00EE1B8A">
      <w:pPr>
        <w:pStyle w:val="paragraphsub"/>
      </w:pPr>
      <w:r>
        <w:tab/>
      </w:r>
      <w:r w:rsidRPr="007A01F7">
        <w:t>(ii)</w:t>
      </w:r>
      <w:r w:rsidRPr="007A01F7">
        <w:tab/>
        <w:t xml:space="preserve">a Subclass 482 </w:t>
      </w:r>
      <w:r>
        <w:t>(Temporary Skill Shortage) visa;</w:t>
      </w:r>
    </w:p>
    <w:p w14:paraId="62CA2497" w14:textId="77777777" w:rsidR="00E42FD3" w:rsidRDefault="00E42FD3" w:rsidP="00EE1B8A">
      <w:pPr>
        <w:pStyle w:val="paragraphsub"/>
      </w:pPr>
      <w:r>
        <w:tab/>
      </w:r>
      <w:r w:rsidRPr="007A01F7">
        <w:t>(i</w:t>
      </w:r>
      <w:r>
        <w:t>i</w:t>
      </w:r>
      <w:r w:rsidRPr="007A01F7">
        <w:t>i)</w:t>
      </w:r>
      <w:r w:rsidRPr="007A01F7">
        <w:tab/>
        <w:t>a Subclass 482 (</w:t>
      </w:r>
      <w:r>
        <w:t>Skills in Demand</w:t>
      </w:r>
      <w:r w:rsidRPr="007A01F7">
        <w:t>) visa</w:t>
      </w:r>
      <w:r>
        <w:t>; or</w:t>
      </w:r>
    </w:p>
    <w:p w14:paraId="7FEA8FF7" w14:textId="77777777" w:rsidR="00E42FD3" w:rsidRPr="00E9555D" w:rsidRDefault="00E42FD3" w:rsidP="00EE1B8A">
      <w:pPr>
        <w:pStyle w:val="paragraphsub"/>
      </w:pPr>
      <w:r>
        <w:tab/>
      </w:r>
      <w:r w:rsidRPr="00E9555D">
        <w:t xml:space="preserve">(iv) </w:t>
      </w:r>
      <w:r>
        <w:tab/>
      </w:r>
      <w:r w:rsidRPr="00E9555D">
        <w:t>if the last substantive visa held by the applicant was a visa mentioned in paragraph (i), (ii) or (iii)—a bridging visa granted on the basis that the person was an applicant for a visa mentioned in paragraph (i), (ii) or (iii), a Subclass 186 (Employer Nomination Scheme) visa or a Subclass 187 (Regional Sponsored Migration Scheme) visa.</w:t>
      </w:r>
    </w:p>
    <w:p w14:paraId="64A1F223" w14:textId="77777777" w:rsidR="00E42FD3" w:rsidRDefault="00E42FD3" w:rsidP="00E42FD3">
      <w:pPr>
        <w:pStyle w:val="ItemHead"/>
      </w:pPr>
      <w:r>
        <w:t>6  After section 12</w:t>
      </w:r>
    </w:p>
    <w:p w14:paraId="33D308D9" w14:textId="77777777" w:rsidR="00E42FD3" w:rsidRDefault="00E42FD3" w:rsidP="00E42FD3">
      <w:pPr>
        <w:pStyle w:val="Item"/>
      </w:pPr>
      <w:r>
        <w:t>Insert:</w:t>
      </w:r>
    </w:p>
    <w:p w14:paraId="42074865" w14:textId="02DAD843" w:rsidR="00E42FD3" w:rsidRPr="00F9417D" w:rsidRDefault="00E42FD3" w:rsidP="00CD66C0">
      <w:pPr>
        <w:pStyle w:val="ActHead5"/>
      </w:pPr>
      <w:bookmarkStart w:id="16" w:name="_Toc183987090"/>
      <w:bookmarkStart w:id="17" w:name="_Toc183985080"/>
      <w:bookmarkStart w:id="18" w:name="_Toc184111136"/>
      <w:r w:rsidRPr="00F9417D">
        <w:t xml:space="preserve">13  </w:t>
      </w:r>
      <w:r w:rsidR="002C48B7" w:rsidRPr="002C48B7">
        <w:t xml:space="preserve">Application of amendments made by </w:t>
      </w:r>
      <w:bookmarkEnd w:id="16"/>
      <w:r w:rsidR="00CD66C0">
        <w:t>LIN 24/094</w:t>
      </w:r>
      <w:bookmarkEnd w:id="17"/>
      <w:bookmarkEnd w:id="18"/>
    </w:p>
    <w:p w14:paraId="2C71232F" w14:textId="77777777" w:rsidR="00E42FD3" w:rsidRDefault="00186E8B" w:rsidP="00EE1B8A">
      <w:pPr>
        <w:pStyle w:val="subsection"/>
      </w:pPr>
      <w:r>
        <w:tab/>
      </w:r>
      <w:r>
        <w:tab/>
      </w:r>
      <w:r w:rsidR="00E42FD3" w:rsidRPr="00F9417D">
        <w:t>The amendments of this instrument made by</w:t>
      </w:r>
      <w:r w:rsidR="00BB5557">
        <w:t xml:space="preserve"> Schedule 2 to the</w:t>
      </w:r>
      <w:r w:rsidR="00E42FD3" w:rsidRPr="00F9417D">
        <w:t xml:space="preserve"> </w:t>
      </w:r>
      <w:r w:rsidR="00E42FD3" w:rsidRPr="00E42FD3">
        <w:rPr>
          <w:i/>
        </w:rPr>
        <w:t>Migration Amendment (Skills in Demand Visa and Related Matters) Instrument 2024</w:t>
      </w:r>
      <w:r w:rsidR="00E42FD3" w:rsidRPr="00F9417D">
        <w:t xml:space="preserve"> (</w:t>
      </w:r>
      <w:r w:rsidR="00E42FD3">
        <w:rPr>
          <w:noProof/>
        </w:rPr>
        <w:t xml:space="preserve">the </w:t>
      </w:r>
      <w:r w:rsidR="00E42FD3" w:rsidRPr="00EE1B8A">
        <w:rPr>
          <w:b/>
          <w:i/>
          <w:noProof/>
        </w:rPr>
        <w:t>amending instrument</w:t>
      </w:r>
      <w:r w:rsidR="00E42FD3" w:rsidRPr="00F9417D">
        <w:rPr>
          <w:noProof/>
        </w:rPr>
        <w:t>)</w:t>
      </w:r>
      <w:r w:rsidR="00E42FD3" w:rsidRPr="00F9417D">
        <w:t xml:space="preserve"> apply in relation to</w:t>
      </w:r>
      <w:r w:rsidR="00E42FD3">
        <w:t xml:space="preserve"> an application</w:t>
      </w:r>
      <w:r w:rsidR="00E42FD3" w:rsidRPr="00F9417D">
        <w:t xml:space="preserve"> for a visa made on or after the commencement of </w:t>
      </w:r>
      <w:r w:rsidR="00E42FD3">
        <w:rPr>
          <w:noProof/>
        </w:rPr>
        <w:t>the amending instrument, where the associated nomination of an occupation was also made on or after that date.</w:t>
      </w:r>
    </w:p>
    <w:p w14:paraId="0B5F8969" w14:textId="77777777" w:rsidR="00E42FD3" w:rsidRPr="00E42FD3" w:rsidRDefault="00E42FD3" w:rsidP="00CD66C0">
      <w:pPr>
        <w:pStyle w:val="ActHead6"/>
        <w:pageBreakBefore/>
        <w:rPr>
          <w:rFonts w:eastAsiaTheme="minorHAnsi" w:cstheme="minorBidi"/>
          <w:lang w:eastAsia="en-US"/>
        </w:rPr>
      </w:pPr>
      <w:bookmarkStart w:id="19" w:name="_Toc184111137"/>
      <w:r w:rsidRPr="00E42FD3">
        <w:rPr>
          <w:rFonts w:eastAsiaTheme="minorHAnsi" w:cstheme="minorBidi"/>
          <w:lang w:eastAsia="en-US"/>
        </w:rPr>
        <w:lastRenderedPageBreak/>
        <w:t>Schedule</w:t>
      </w:r>
      <w:r w:rsidR="00514DC7">
        <w:rPr>
          <w:rFonts w:eastAsiaTheme="minorHAnsi" w:cstheme="minorBidi"/>
          <w:lang w:eastAsia="en-US"/>
        </w:rPr>
        <w:t> </w:t>
      </w:r>
      <w:r>
        <w:rPr>
          <w:rFonts w:eastAsiaTheme="minorHAnsi" w:cstheme="minorBidi"/>
          <w:lang w:eastAsia="en-US"/>
        </w:rPr>
        <w:t>3</w:t>
      </w:r>
      <w:r w:rsidRPr="00E42FD3">
        <w:rPr>
          <w:rFonts w:eastAsiaTheme="minorHAnsi" w:cstheme="minorBidi"/>
          <w:lang w:eastAsia="en-US"/>
        </w:rPr>
        <w:t>—Amendments</w:t>
      </w:r>
      <w:r w:rsidR="00692882">
        <w:rPr>
          <w:rFonts w:eastAsiaTheme="minorHAnsi" w:cstheme="minorBidi"/>
          <w:lang w:eastAsia="en-US"/>
        </w:rPr>
        <w:t xml:space="preserve"> of IMMI 18/033</w:t>
      </w:r>
      <w:bookmarkEnd w:id="19"/>
    </w:p>
    <w:p w14:paraId="6B27319F" w14:textId="77777777" w:rsidR="00E42FD3" w:rsidRPr="00E42FD3" w:rsidRDefault="00E42FD3" w:rsidP="00CD66C0">
      <w:pPr>
        <w:pStyle w:val="Header"/>
        <w:rPr>
          <w:rFonts w:eastAsiaTheme="minorHAnsi" w:cstheme="minorBidi"/>
          <w:lang w:eastAsia="en-US"/>
        </w:rPr>
      </w:pPr>
      <w:r w:rsidRPr="00E42FD3">
        <w:rPr>
          <w:rFonts w:eastAsiaTheme="minorHAnsi" w:cstheme="minorBidi"/>
          <w:lang w:eastAsia="en-US"/>
        </w:rPr>
        <w:t xml:space="preserve">  </w:t>
      </w:r>
    </w:p>
    <w:p w14:paraId="59A78E9B" w14:textId="77777777" w:rsidR="00E42FD3" w:rsidRDefault="00E42FD3" w:rsidP="00EE1B8A">
      <w:pPr>
        <w:pStyle w:val="ActHead9"/>
      </w:pPr>
      <w:bookmarkStart w:id="20" w:name="_Toc183181542"/>
      <w:bookmarkStart w:id="21" w:name="_Toc184111138"/>
      <w:r w:rsidRPr="00F060CD">
        <w:t xml:space="preserve">Migration (IMMI 18/033: </w:t>
      </w:r>
      <w:r w:rsidRPr="00BB5557">
        <w:t>Specification</w:t>
      </w:r>
      <w:r w:rsidRPr="00F060CD">
        <w:t xml:space="preserve"> of Income Threshold and Annual Earnings and Methodology of Annual Market Salary Rate) Instrument 2018</w:t>
      </w:r>
      <w:bookmarkEnd w:id="20"/>
      <w:bookmarkEnd w:id="21"/>
    </w:p>
    <w:p w14:paraId="0C16B53E" w14:textId="77777777" w:rsidR="00E42FD3" w:rsidRPr="00F060CD" w:rsidRDefault="00E42FD3" w:rsidP="00E42FD3">
      <w:pPr>
        <w:pStyle w:val="ItemHead"/>
      </w:pPr>
      <w:r w:rsidRPr="00F060CD">
        <w:t>1  Section 3</w:t>
      </w:r>
    </w:p>
    <w:p w14:paraId="5E33B256" w14:textId="77777777" w:rsidR="00E42FD3" w:rsidRPr="00F060CD" w:rsidRDefault="00E42FD3" w:rsidP="00E42FD3">
      <w:pPr>
        <w:pStyle w:val="Item"/>
      </w:pPr>
      <w:r w:rsidRPr="00F060CD">
        <w:t>Repeal the section, substitute:</w:t>
      </w:r>
    </w:p>
    <w:p w14:paraId="004D6A88" w14:textId="77777777" w:rsidR="00E42FD3" w:rsidRPr="00F060CD" w:rsidRDefault="00E42FD3" w:rsidP="00E4446B">
      <w:pPr>
        <w:pStyle w:val="ActHead5"/>
      </w:pPr>
      <w:bookmarkStart w:id="22" w:name="_Toc141109825"/>
      <w:bookmarkStart w:id="23" w:name="_Toc183985083"/>
      <w:bookmarkStart w:id="24" w:name="_Toc183987093"/>
      <w:bookmarkStart w:id="25" w:name="_Toc184111139"/>
      <w:r w:rsidRPr="00F060CD">
        <w:t xml:space="preserve">3  </w:t>
      </w:r>
      <w:r w:rsidRPr="00F060CD">
        <w:rPr>
          <w:noProof/>
        </w:rPr>
        <w:t>Authority</w:t>
      </w:r>
      <w:bookmarkEnd w:id="22"/>
      <w:bookmarkEnd w:id="23"/>
      <w:bookmarkEnd w:id="24"/>
      <w:bookmarkEnd w:id="25"/>
    </w:p>
    <w:p w14:paraId="34FC9C5A" w14:textId="77777777" w:rsidR="00E42FD3" w:rsidRPr="00F060CD" w:rsidRDefault="00186E8B" w:rsidP="00E4446B">
      <w:pPr>
        <w:pStyle w:val="subsection"/>
      </w:pPr>
      <w:r>
        <w:tab/>
      </w:r>
      <w:r>
        <w:tab/>
      </w:r>
      <w:r w:rsidR="00E42FD3" w:rsidRPr="00F060CD">
        <w:t xml:space="preserve">This instrument is made under the following provisions of the </w:t>
      </w:r>
      <w:r w:rsidR="00E42FD3" w:rsidRPr="00F060CD">
        <w:rPr>
          <w:i/>
        </w:rPr>
        <w:t>Migration Regulations 1994</w:t>
      </w:r>
      <w:r w:rsidR="00E42FD3" w:rsidRPr="00F060CD">
        <w:t>:</w:t>
      </w:r>
    </w:p>
    <w:p w14:paraId="5A070455" w14:textId="77777777" w:rsidR="00E42FD3" w:rsidRDefault="00186E8B" w:rsidP="00E4446B">
      <w:pPr>
        <w:pStyle w:val="paragraph"/>
      </w:pPr>
      <w:r>
        <w:tab/>
        <w:t>(a)</w:t>
      </w:r>
      <w:r>
        <w:tab/>
      </w:r>
      <w:r w:rsidR="00E42FD3" w:rsidRPr="00F060CD">
        <w:t>paragraph 2.72(15)(b);</w:t>
      </w:r>
    </w:p>
    <w:p w14:paraId="5A3E1EB9" w14:textId="77777777" w:rsidR="00E42FD3" w:rsidRPr="0002114B" w:rsidRDefault="00186E8B" w:rsidP="00E4446B">
      <w:pPr>
        <w:pStyle w:val="paragraph"/>
      </w:pPr>
      <w:r>
        <w:tab/>
        <w:t>(b)</w:t>
      </w:r>
      <w:r>
        <w:tab/>
      </w:r>
      <w:r w:rsidR="00E42FD3" w:rsidRPr="00F060CD">
        <w:t>subregulation 2.72(17);</w:t>
      </w:r>
    </w:p>
    <w:p w14:paraId="1C2D83FD" w14:textId="77777777" w:rsidR="00E42FD3" w:rsidRPr="00E4446B" w:rsidRDefault="00186E8B" w:rsidP="00E4446B">
      <w:pPr>
        <w:pStyle w:val="paragraph"/>
        <w:rPr>
          <w:lang w:val="fr-FR"/>
        </w:rPr>
      </w:pPr>
      <w:r>
        <w:tab/>
      </w:r>
      <w:r w:rsidRPr="00E4446B">
        <w:rPr>
          <w:lang w:val="fr-FR"/>
        </w:rPr>
        <w:t>(c)</w:t>
      </w:r>
      <w:r w:rsidRPr="00E4446B">
        <w:rPr>
          <w:lang w:val="fr-FR"/>
        </w:rPr>
        <w:tab/>
      </w:r>
      <w:r w:rsidR="00E42FD3" w:rsidRPr="00E4446B">
        <w:rPr>
          <w:lang w:val="fr-FR"/>
        </w:rPr>
        <w:t>paragraph 2.72C(15)(b);</w:t>
      </w:r>
    </w:p>
    <w:p w14:paraId="192D4027" w14:textId="77777777" w:rsidR="00E42FD3" w:rsidRPr="00E4446B" w:rsidRDefault="00186E8B" w:rsidP="00E4446B">
      <w:pPr>
        <w:pStyle w:val="paragraph"/>
        <w:rPr>
          <w:lang w:val="fr-FR"/>
        </w:rPr>
      </w:pPr>
      <w:r w:rsidRPr="00E4446B">
        <w:rPr>
          <w:lang w:val="fr-FR"/>
        </w:rPr>
        <w:tab/>
        <w:t>(d)</w:t>
      </w:r>
      <w:r w:rsidRPr="00E4446B">
        <w:rPr>
          <w:lang w:val="fr-FR"/>
        </w:rPr>
        <w:tab/>
      </w:r>
      <w:r w:rsidR="00E42FD3" w:rsidRPr="00E4446B">
        <w:rPr>
          <w:lang w:val="fr-FR"/>
        </w:rPr>
        <w:t xml:space="preserve">paragraph 2.72C(15)(d); </w:t>
      </w:r>
    </w:p>
    <w:p w14:paraId="7802D754" w14:textId="77777777" w:rsidR="00E42FD3" w:rsidRDefault="00186E8B" w:rsidP="00E4446B">
      <w:pPr>
        <w:pStyle w:val="paragraph"/>
      </w:pPr>
      <w:r w:rsidRPr="00E4446B">
        <w:rPr>
          <w:lang w:val="fr-FR"/>
        </w:rPr>
        <w:tab/>
      </w:r>
      <w:r>
        <w:t>(e)</w:t>
      </w:r>
      <w:r>
        <w:tab/>
      </w:r>
      <w:r w:rsidR="00E42FD3" w:rsidRPr="00F060CD">
        <w:t>paragraph 2.79(1A)(b).</w:t>
      </w:r>
    </w:p>
    <w:p w14:paraId="200BB671" w14:textId="77777777" w:rsidR="00E42FD3" w:rsidRPr="00F060CD" w:rsidRDefault="00E42FD3" w:rsidP="00E42FD3">
      <w:pPr>
        <w:pStyle w:val="ItemHead"/>
      </w:pPr>
      <w:r w:rsidRPr="00F060CD">
        <w:t xml:space="preserve">2  </w:t>
      </w:r>
      <w:r>
        <w:t xml:space="preserve">Section 4 (paragraph (a) of definition of </w:t>
      </w:r>
      <w:r w:rsidRPr="00EE20A5">
        <w:rPr>
          <w:i/>
        </w:rPr>
        <w:t>Relevant information</w:t>
      </w:r>
      <w:r>
        <w:t>)</w:t>
      </w:r>
    </w:p>
    <w:p w14:paraId="7C62C984" w14:textId="77777777" w:rsidR="00E42FD3" w:rsidRDefault="00E42FD3" w:rsidP="00E42FD3">
      <w:pPr>
        <w:pStyle w:val="Item"/>
      </w:pPr>
      <w:r>
        <w:t>Repeal the paragraph, substitute:</w:t>
      </w:r>
    </w:p>
    <w:p w14:paraId="74D9BD31" w14:textId="77777777" w:rsidR="00E42FD3" w:rsidRPr="00EE20A5" w:rsidRDefault="00186E8B" w:rsidP="00E4446B">
      <w:pPr>
        <w:pStyle w:val="paragraph"/>
      </w:pPr>
      <w:r>
        <w:tab/>
        <w:t>(a)</w:t>
      </w:r>
      <w:r>
        <w:tab/>
      </w:r>
      <w:r w:rsidR="00E42FD3" w:rsidRPr="00E85380">
        <w:t>information published on the Australian Government’s Jobs and Skills Australia, Occupation and Industry Profiles webpage</w:t>
      </w:r>
      <w:r w:rsidR="00E42FD3">
        <w:t>;</w:t>
      </w:r>
    </w:p>
    <w:p w14:paraId="603C04E6" w14:textId="77777777" w:rsidR="00E42FD3" w:rsidRPr="00F060CD" w:rsidRDefault="00E42FD3" w:rsidP="00E42FD3">
      <w:pPr>
        <w:pStyle w:val="ItemHead"/>
      </w:pPr>
      <w:r>
        <w:t>3</w:t>
      </w:r>
      <w:r w:rsidRPr="00F060CD">
        <w:t xml:space="preserve">  Section 5</w:t>
      </w:r>
    </w:p>
    <w:p w14:paraId="7994CE62" w14:textId="77777777" w:rsidR="00E42FD3" w:rsidRPr="00F060CD" w:rsidRDefault="00E42FD3" w:rsidP="00E42FD3">
      <w:pPr>
        <w:pStyle w:val="Item"/>
      </w:pPr>
      <w:r w:rsidRPr="00F060CD">
        <w:t>After “2.72(15)(b)”, insert “, 2.72C(15)(b)”.</w:t>
      </w:r>
    </w:p>
    <w:p w14:paraId="5CBE75D8" w14:textId="77777777" w:rsidR="00E42FD3" w:rsidRPr="00191302" w:rsidRDefault="00E42FD3" w:rsidP="00E42FD3">
      <w:pPr>
        <w:pStyle w:val="ItemHead"/>
        <w:rPr>
          <w:lang w:val="fr-FR"/>
        </w:rPr>
      </w:pPr>
      <w:r w:rsidRPr="00191302">
        <w:rPr>
          <w:lang w:val="fr-FR"/>
        </w:rPr>
        <w:t>4  Section 6</w:t>
      </w:r>
    </w:p>
    <w:p w14:paraId="11BBBD35" w14:textId="77777777" w:rsidR="00E42FD3" w:rsidRPr="00191302" w:rsidRDefault="00E42FD3" w:rsidP="00E42FD3">
      <w:pPr>
        <w:pStyle w:val="Item"/>
        <w:rPr>
          <w:lang w:val="fr-FR"/>
        </w:rPr>
      </w:pPr>
      <w:r w:rsidRPr="00191302">
        <w:rPr>
          <w:lang w:val="fr-FR"/>
        </w:rPr>
        <w:t>Omit “paragraph 2.72(15)(d)”, substitute “2.72C(15)(d)”.</w:t>
      </w:r>
    </w:p>
    <w:p w14:paraId="6A5656A5" w14:textId="77777777" w:rsidR="00E42FD3" w:rsidRPr="00F060CD" w:rsidRDefault="00E42FD3" w:rsidP="00E42FD3">
      <w:pPr>
        <w:pStyle w:val="ItemHead"/>
      </w:pPr>
      <w:r>
        <w:t>5  After section 11</w:t>
      </w:r>
    </w:p>
    <w:p w14:paraId="0D46E138" w14:textId="77777777" w:rsidR="00E42FD3" w:rsidRPr="006065DA" w:rsidRDefault="00E42FD3" w:rsidP="00E42FD3">
      <w:pPr>
        <w:pStyle w:val="Item"/>
      </w:pPr>
      <w:r>
        <w:t>Insert:</w:t>
      </w:r>
    </w:p>
    <w:p w14:paraId="733ADCAF" w14:textId="77777777" w:rsidR="00E42FD3" w:rsidRPr="00E4446B" w:rsidRDefault="00E42FD3" w:rsidP="00E4446B">
      <w:pPr>
        <w:pStyle w:val="ActHead5"/>
      </w:pPr>
      <w:bookmarkStart w:id="26" w:name="_Toc183987094"/>
      <w:bookmarkStart w:id="27" w:name="_Toc168065013"/>
      <w:bookmarkStart w:id="28" w:name="_Toc169011325"/>
      <w:bookmarkStart w:id="29" w:name="_Toc183985084"/>
      <w:bookmarkStart w:id="30" w:name="_Toc184111140"/>
      <w:r w:rsidRPr="00E4446B">
        <w:t xml:space="preserve">12  </w:t>
      </w:r>
      <w:r w:rsidR="002C48B7" w:rsidRPr="00E4446B">
        <w:t>Application of amendments made by LIN 24/094</w:t>
      </w:r>
      <w:bookmarkEnd w:id="26"/>
      <w:bookmarkEnd w:id="27"/>
      <w:bookmarkEnd w:id="28"/>
      <w:bookmarkEnd w:id="29"/>
      <w:bookmarkEnd w:id="30"/>
    </w:p>
    <w:p w14:paraId="34312062" w14:textId="77777777" w:rsidR="00E42FD3" w:rsidRDefault="00186E8B" w:rsidP="00E4446B">
      <w:pPr>
        <w:pStyle w:val="subsection"/>
      </w:pPr>
      <w:r>
        <w:tab/>
      </w:r>
      <w:r>
        <w:tab/>
      </w:r>
      <w:r w:rsidR="00E42FD3" w:rsidRPr="00B6493B">
        <w:t xml:space="preserve">The amendments </w:t>
      </w:r>
      <w:r w:rsidR="002C48B7">
        <w:t>of</w:t>
      </w:r>
      <w:r w:rsidR="00E42FD3">
        <w:t xml:space="preserve"> this instrument</w:t>
      </w:r>
      <w:r w:rsidR="00E42FD3" w:rsidRPr="00B6493B">
        <w:t xml:space="preserve"> </w:t>
      </w:r>
      <w:r w:rsidR="002C48B7">
        <w:t xml:space="preserve">made </w:t>
      </w:r>
      <w:r w:rsidR="00E42FD3" w:rsidRPr="00B6493B">
        <w:t>by</w:t>
      </w:r>
      <w:r w:rsidR="00BB5557">
        <w:t xml:space="preserve"> Schedule 3 to the</w:t>
      </w:r>
      <w:r w:rsidR="00E42FD3" w:rsidRPr="00B6493B">
        <w:t xml:space="preserve"> </w:t>
      </w:r>
      <w:r w:rsidRPr="00E4446B">
        <w:rPr>
          <w:i/>
        </w:rPr>
        <w:t>Migration Amendment (Skills in Demand Visa and Related Matters) Instrument 2024</w:t>
      </w:r>
      <w:r w:rsidRPr="00186E8B">
        <w:t xml:space="preserve"> (the </w:t>
      </w:r>
      <w:r w:rsidRPr="00E4446B">
        <w:rPr>
          <w:b/>
          <w:i/>
        </w:rPr>
        <w:t>amending instrument</w:t>
      </w:r>
      <w:r w:rsidRPr="00186E8B">
        <w:t>)</w:t>
      </w:r>
      <w:r w:rsidR="00E42FD3">
        <w:t xml:space="preserve"> </w:t>
      </w:r>
      <w:r w:rsidR="00E42FD3" w:rsidRPr="00B6493B">
        <w:t xml:space="preserve">apply </w:t>
      </w:r>
      <w:r w:rsidR="00E42FD3">
        <w:t>to nomination</w:t>
      </w:r>
      <w:r w:rsidR="00E42FD3" w:rsidRPr="00BA4767">
        <w:t xml:space="preserve"> </w:t>
      </w:r>
      <w:r w:rsidR="00E42FD3">
        <w:t xml:space="preserve">of </w:t>
      </w:r>
      <w:r w:rsidR="00E42FD3" w:rsidRPr="00BA4767">
        <w:t>a proposed occupa</w:t>
      </w:r>
      <w:r w:rsidR="00E42FD3">
        <w:t xml:space="preserve">tion in relation to: </w:t>
      </w:r>
    </w:p>
    <w:p w14:paraId="5BB41E5A" w14:textId="77777777" w:rsidR="00E42FD3" w:rsidRDefault="00186E8B" w:rsidP="00E4446B">
      <w:pPr>
        <w:pStyle w:val="paragraph"/>
      </w:pPr>
      <w:r>
        <w:tab/>
        <w:t>(a)</w:t>
      </w:r>
      <w:r>
        <w:tab/>
      </w:r>
      <w:r w:rsidR="00E42FD3">
        <w:t>the holder of s</w:t>
      </w:r>
      <w:r w:rsidR="00E42FD3" w:rsidRPr="00E76F15">
        <w:t>ubclass 457 (Temporary Work (Skilled)) visa;</w:t>
      </w:r>
      <w:r w:rsidR="00E42FD3">
        <w:t xml:space="preserve"> or</w:t>
      </w:r>
    </w:p>
    <w:p w14:paraId="27FD38DD" w14:textId="77777777" w:rsidR="00E42FD3" w:rsidRPr="00BA4767" w:rsidRDefault="00186E8B" w:rsidP="00E4446B">
      <w:pPr>
        <w:pStyle w:val="paragraph"/>
      </w:pPr>
      <w:r>
        <w:tab/>
        <w:t>(b)</w:t>
      </w:r>
      <w:r>
        <w:tab/>
      </w:r>
      <w:r w:rsidR="00E42FD3">
        <w:t>the holder of s</w:t>
      </w:r>
      <w:r w:rsidR="00E42FD3" w:rsidRPr="00E76F15">
        <w:t>ubclass</w:t>
      </w:r>
      <w:r w:rsidR="00E42FD3">
        <w:t xml:space="preserve"> 482 (Temporary Skill Shortage) visa; or</w:t>
      </w:r>
    </w:p>
    <w:p w14:paraId="387B4BC7" w14:textId="77777777" w:rsidR="00E42FD3" w:rsidRDefault="00186E8B" w:rsidP="00E4446B">
      <w:pPr>
        <w:pStyle w:val="paragraph"/>
      </w:pPr>
      <w:r>
        <w:tab/>
        <w:t>(c)</w:t>
      </w:r>
      <w:r>
        <w:tab/>
      </w:r>
      <w:r w:rsidR="00E42FD3">
        <w:t>the holder of a subclass 482 (Skills in Demand) visa; or</w:t>
      </w:r>
    </w:p>
    <w:p w14:paraId="6D16F4CC" w14:textId="77777777" w:rsidR="00E42FD3" w:rsidRDefault="00186E8B" w:rsidP="00E4446B">
      <w:pPr>
        <w:pStyle w:val="paragraph"/>
      </w:pPr>
      <w:r>
        <w:tab/>
        <w:t>(d)</w:t>
      </w:r>
      <w:r>
        <w:tab/>
      </w:r>
      <w:r w:rsidR="00E42FD3" w:rsidRPr="00BA4767">
        <w:t xml:space="preserve">an applicant or a proposed applicant </w:t>
      </w:r>
      <w:r w:rsidR="00D62D6E">
        <w:t xml:space="preserve">(a </w:t>
      </w:r>
      <w:r w:rsidR="00D62D6E" w:rsidRPr="004F5850">
        <w:rPr>
          <w:b/>
          <w:i/>
        </w:rPr>
        <w:t>nominated person</w:t>
      </w:r>
      <w:r w:rsidR="00D62D6E">
        <w:t xml:space="preserve">) </w:t>
      </w:r>
      <w:r w:rsidR="00E42FD3" w:rsidRPr="00BA4767">
        <w:t xml:space="preserve">for </w:t>
      </w:r>
      <w:r w:rsidR="00E42FD3">
        <w:t>a subclass 482 (Skills in Demand) visa;</w:t>
      </w:r>
    </w:p>
    <w:p w14:paraId="24BA1858" w14:textId="77777777" w:rsidR="00E42FD3" w:rsidRDefault="00E42FD3" w:rsidP="00E4446B">
      <w:pPr>
        <w:pStyle w:val="subsection2"/>
      </w:pPr>
      <w:r>
        <w:t xml:space="preserve">made on or after the commencement of </w:t>
      </w:r>
      <w:r w:rsidR="00186E8B">
        <w:t>the amending instrument</w:t>
      </w:r>
      <w:r>
        <w:t>.</w:t>
      </w:r>
    </w:p>
    <w:p w14:paraId="1244A08B" w14:textId="77777777" w:rsidR="00186E8B" w:rsidRPr="00E42FD3" w:rsidRDefault="00186E8B" w:rsidP="00186E8B">
      <w:pPr>
        <w:pStyle w:val="ActHead6"/>
        <w:pageBreakBefore/>
        <w:rPr>
          <w:rFonts w:eastAsiaTheme="minorHAnsi" w:cstheme="minorBidi"/>
          <w:lang w:eastAsia="en-US"/>
        </w:rPr>
      </w:pPr>
      <w:bookmarkStart w:id="31" w:name="_Toc184111141"/>
      <w:r w:rsidRPr="00E42FD3">
        <w:rPr>
          <w:rFonts w:eastAsiaTheme="minorHAnsi" w:cstheme="minorBidi"/>
          <w:lang w:eastAsia="en-US"/>
        </w:rPr>
        <w:lastRenderedPageBreak/>
        <w:t>Schedule</w:t>
      </w:r>
      <w:r w:rsidR="00514DC7">
        <w:rPr>
          <w:rFonts w:eastAsiaTheme="minorHAnsi" w:cstheme="minorBidi"/>
          <w:lang w:eastAsia="en-US"/>
        </w:rPr>
        <w:t> </w:t>
      </w:r>
      <w:r>
        <w:rPr>
          <w:rFonts w:eastAsiaTheme="minorHAnsi" w:cstheme="minorBidi"/>
          <w:lang w:eastAsia="en-US"/>
        </w:rPr>
        <w:t>4</w:t>
      </w:r>
      <w:r w:rsidRPr="00E42FD3">
        <w:rPr>
          <w:rFonts w:eastAsiaTheme="minorHAnsi" w:cstheme="minorBidi"/>
          <w:lang w:eastAsia="en-US"/>
        </w:rPr>
        <w:t>—Amendments</w:t>
      </w:r>
      <w:r w:rsidR="00692882">
        <w:rPr>
          <w:rFonts w:eastAsiaTheme="minorHAnsi" w:cstheme="minorBidi"/>
          <w:lang w:eastAsia="en-US"/>
        </w:rPr>
        <w:t xml:space="preserve"> of LIN 19/212</w:t>
      </w:r>
      <w:bookmarkEnd w:id="31"/>
    </w:p>
    <w:p w14:paraId="6DCFAD4A" w14:textId="77777777" w:rsidR="00186E8B" w:rsidRPr="00E42FD3" w:rsidRDefault="00186E8B" w:rsidP="00E4446B">
      <w:pPr>
        <w:pStyle w:val="Header"/>
        <w:rPr>
          <w:rFonts w:eastAsiaTheme="minorHAnsi" w:cstheme="minorBidi"/>
          <w:lang w:eastAsia="en-US"/>
        </w:rPr>
      </w:pPr>
      <w:r w:rsidRPr="00E42FD3">
        <w:rPr>
          <w:rFonts w:eastAsiaTheme="minorHAnsi" w:cstheme="minorBidi"/>
          <w:lang w:eastAsia="en-US"/>
        </w:rPr>
        <w:t xml:space="preserve">  </w:t>
      </w:r>
    </w:p>
    <w:p w14:paraId="5337E3F2" w14:textId="77777777" w:rsidR="00186E8B" w:rsidRDefault="00186E8B" w:rsidP="00186E8B">
      <w:pPr>
        <w:pStyle w:val="ActHead9"/>
      </w:pPr>
      <w:bookmarkStart w:id="32" w:name="_Toc183522741"/>
      <w:bookmarkStart w:id="33" w:name="_Toc184111142"/>
      <w:r w:rsidRPr="00C37D7A">
        <w:t>Migration (LIN 19/212: Specification of Exempt Occupations) Instrument 2019</w:t>
      </w:r>
      <w:bookmarkEnd w:id="32"/>
      <w:bookmarkEnd w:id="33"/>
    </w:p>
    <w:p w14:paraId="2230A2B1" w14:textId="77777777" w:rsidR="00186E8B" w:rsidRPr="00C37D7A" w:rsidRDefault="00186E8B" w:rsidP="00186E8B">
      <w:pPr>
        <w:pStyle w:val="ItemHead"/>
        <w:rPr>
          <w:i/>
        </w:rPr>
      </w:pPr>
      <w:r w:rsidRPr="00C37D7A">
        <w:t xml:space="preserve">1  Section 4 (definition of </w:t>
      </w:r>
      <w:r w:rsidRPr="00C37D7A">
        <w:rPr>
          <w:i/>
        </w:rPr>
        <w:t>ANZSCO)</w:t>
      </w:r>
    </w:p>
    <w:p w14:paraId="3EDE29BB" w14:textId="77777777" w:rsidR="00186E8B" w:rsidRPr="00C37D7A" w:rsidRDefault="00186E8B" w:rsidP="00186E8B">
      <w:pPr>
        <w:pStyle w:val="Item"/>
      </w:pPr>
      <w:r w:rsidRPr="00C37D7A">
        <w:t>Repeal the definition, substitute:</w:t>
      </w:r>
    </w:p>
    <w:p w14:paraId="6BF3C512" w14:textId="77777777" w:rsidR="00186E8B" w:rsidRPr="00C37D7A" w:rsidRDefault="00186E8B" w:rsidP="00E4446B">
      <w:pPr>
        <w:pStyle w:val="Definition"/>
      </w:pPr>
      <w:r w:rsidRPr="00C37D7A">
        <w:rPr>
          <w:b/>
          <w:i/>
        </w:rPr>
        <w:t>ANZSCO</w:t>
      </w:r>
      <w:r w:rsidRPr="00C37D7A">
        <w:t xml:space="preserve"> means:</w:t>
      </w:r>
    </w:p>
    <w:p w14:paraId="01DC3117" w14:textId="77777777" w:rsidR="00186E8B" w:rsidRPr="00A15754" w:rsidRDefault="00186E8B" w:rsidP="00E4446B">
      <w:pPr>
        <w:pStyle w:val="paragraph"/>
      </w:pPr>
      <w:r>
        <w:tab/>
        <w:t>(a)</w:t>
      </w:r>
      <w:r>
        <w:tab/>
        <w:t>for paragraphs 6(1)(a), (b), (c) and (f) and a corresponding reference in subsection 6(3)</w:t>
      </w:r>
      <w:r w:rsidRPr="00C37D7A">
        <w:t>—the Australian and New Zealand Standard Classification of Occupations published by the Australian Bureau of Statistics, as in force on 23 November</w:t>
      </w:r>
      <w:r w:rsidR="00BB5557">
        <w:t> </w:t>
      </w:r>
      <w:r w:rsidRPr="00C37D7A">
        <w:t>2022;</w:t>
      </w:r>
    </w:p>
    <w:p w14:paraId="7753E20B" w14:textId="77777777" w:rsidR="00186E8B" w:rsidRDefault="00186E8B" w:rsidP="00E4446B">
      <w:pPr>
        <w:pStyle w:val="paragraph"/>
      </w:pPr>
      <w:r>
        <w:tab/>
        <w:t>(b)</w:t>
      </w:r>
      <w:r>
        <w:tab/>
        <w:t>for paragraphs 6(1)(d), (g) and (h) and a corresponding reference in subsection 6(3):</w:t>
      </w:r>
    </w:p>
    <w:p w14:paraId="6813C405" w14:textId="77777777" w:rsidR="00186E8B" w:rsidRDefault="00186E8B" w:rsidP="00E4446B">
      <w:pPr>
        <w:pStyle w:val="paragraphsub"/>
      </w:pPr>
      <w:r>
        <w:tab/>
        <w:t>(i)</w:t>
      </w:r>
      <w:r>
        <w:tab/>
        <w:t xml:space="preserve">the Australian and New Zealand Standard Classification of Occupations published by the Australian Bureau of Statistics, as in force on 27 June 2013, for an application for a Subclass 482 (Skills in Demand) visa associated with a nomination lodged before 7 December 2024; </w:t>
      </w:r>
    </w:p>
    <w:p w14:paraId="5953E6AE" w14:textId="77777777" w:rsidR="00186E8B" w:rsidRPr="005B25EB" w:rsidRDefault="00186E8B" w:rsidP="00E4446B">
      <w:pPr>
        <w:pStyle w:val="paragraphsub"/>
      </w:pPr>
      <w:r>
        <w:tab/>
        <w:t>(ii)</w:t>
      </w:r>
      <w:r>
        <w:tab/>
        <w:t>the Australian and New Zealand Standard Classification of Occupations published by the Australian Bureau of Statistics, as in force on 23 November 2022, for all other applications;</w:t>
      </w:r>
    </w:p>
    <w:p w14:paraId="02C58C83" w14:textId="77777777" w:rsidR="00186E8B" w:rsidRDefault="00186E8B" w:rsidP="00E4446B">
      <w:pPr>
        <w:pStyle w:val="paragraph"/>
      </w:pPr>
      <w:r>
        <w:tab/>
        <w:t>(c)</w:t>
      </w:r>
      <w:r>
        <w:tab/>
        <w:t>for paragraph 6(1)(e) and a corresponding reference in subsection 6(3)</w:t>
      </w:r>
      <w:r w:rsidR="00BB5557">
        <w:t>:</w:t>
      </w:r>
    </w:p>
    <w:p w14:paraId="6FAC3542" w14:textId="77777777" w:rsidR="00186E8B" w:rsidRDefault="00186E8B" w:rsidP="00E4446B">
      <w:pPr>
        <w:pStyle w:val="paragraphsub"/>
      </w:pPr>
      <w:r>
        <w:tab/>
        <w:t>(i)</w:t>
      </w:r>
      <w:r>
        <w:tab/>
        <w:t>the Australian and New Zealand Standard Classification of Occupations published by the Australian Bureau of Statistics, as in force on 27</w:t>
      </w:r>
      <w:r w:rsidR="00BB5557">
        <w:t> </w:t>
      </w:r>
      <w:r>
        <w:t>June</w:t>
      </w:r>
      <w:r w:rsidR="00BB5557">
        <w:t> </w:t>
      </w:r>
      <w:r>
        <w:t xml:space="preserve">2013, for a nomination relating to the Subclass 187 (Regional Sponsored Migration Scheme) visa in the Temporary Residence Transition stream; </w:t>
      </w:r>
    </w:p>
    <w:p w14:paraId="3C84239C" w14:textId="77777777" w:rsidR="00186E8B" w:rsidRPr="000F39C5" w:rsidRDefault="00186E8B" w:rsidP="00E4446B">
      <w:pPr>
        <w:pStyle w:val="paragraphsub"/>
      </w:pPr>
      <w:r>
        <w:tab/>
        <w:t>(ii)</w:t>
      </w:r>
      <w:r>
        <w:tab/>
        <w:t>the Australian and New Zealand Standard Classification of Occupations published by the Australian Bureau of Statistics, as in force on 23 November 2022, for a nomination relating to the Subclass 186 (Employer Nomination Scheme) visa in the Temporary Residence Transition stream;</w:t>
      </w:r>
    </w:p>
    <w:p w14:paraId="3456E12D" w14:textId="77777777" w:rsidR="00186E8B" w:rsidRPr="00A937AB" w:rsidRDefault="00186E8B" w:rsidP="00E4446B">
      <w:pPr>
        <w:pStyle w:val="paragraph"/>
      </w:pPr>
      <w:r>
        <w:tab/>
        <w:t>(d)</w:t>
      </w:r>
      <w:r>
        <w:tab/>
        <w:t>for paragraph 6(1)(i) and a corresponding reference in subsection 6(3)</w:t>
      </w:r>
      <w:r w:rsidRPr="00C37D7A">
        <w:t>—the Australian and New Zealand Standard Classification of Occupations published by the Australian Bureau of Statistics,</w:t>
      </w:r>
      <w:r>
        <w:t xml:space="preserve"> as in force on 27</w:t>
      </w:r>
      <w:r w:rsidR="00BB5557">
        <w:t> </w:t>
      </w:r>
      <w:r>
        <w:t>June</w:t>
      </w:r>
      <w:r w:rsidR="00BB5557">
        <w:t> </w:t>
      </w:r>
      <w:r>
        <w:t>2013</w:t>
      </w:r>
      <w:r w:rsidRPr="00C37D7A">
        <w:t>;</w:t>
      </w:r>
    </w:p>
    <w:p w14:paraId="04095C75" w14:textId="77777777" w:rsidR="00186E8B" w:rsidRPr="00A937AB" w:rsidRDefault="00186E8B" w:rsidP="00E4446B">
      <w:pPr>
        <w:pStyle w:val="paragraph"/>
      </w:pPr>
      <w:r>
        <w:tab/>
        <w:t>(e)</w:t>
      </w:r>
      <w:r>
        <w:tab/>
        <w:t>for subsection 6(2) and a corresponding reference in subsection 6(3)</w:t>
      </w:r>
      <w:r w:rsidRPr="00C37D7A">
        <w:t xml:space="preserve">—the Australian and New Zealand Standard Classification of Occupations published by the Australian Bureau of Statistics, </w:t>
      </w:r>
      <w:r>
        <w:t>as in force on 27</w:t>
      </w:r>
      <w:r w:rsidR="00BB5557">
        <w:t> </w:t>
      </w:r>
      <w:r>
        <w:t>June</w:t>
      </w:r>
      <w:r w:rsidR="00BB5557">
        <w:t> </w:t>
      </w:r>
      <w:r>
        <w:t>2013.</w:t>
      </w:r>
    </w:p>
    <w:p w14:paraId="762CB790" w14:textId="77777777" w:rsidR="00186E8B" w:rsidRPr="00C37D7A" w:rsidRDefault="00186E8B" w:rsidP="00186E8B">
      <w:pPr>
        <w:pStyle w:val="ItemHead"/>
        <w:ind w:left="0" w:firstLine="0"/>
      </w:pPr>
      <w:r w:rsidRPr="00C37D7A">
        <w:t xml:space="preserve">2  </w:t>
      </w:r>
      <w:r>
        <w:t>Subsection 6(1)</w:t>
      </w:r>
    </w:p>
    <w:p w14:paraId="2C8AFEF5" w14:textId="77777777" w:rsidR="00186E8B" w:rsidRDefault="00186E8B" w:rsidP="00186E8B">
      <w:pPr>
        <w:pStyle w:val="Item"/>
      </w:pPr>
      <w:r>
        <w:t>Repeal the subsection, substitute:</w:t>
      </w:r>
    </w:p>
    <w:p w14:paraId="6B63C95A" w14:textId="77777777" w:rsidR="00186E8B" w:rsidRDefault="00186E8B" w:rsidP="00E4446B">
      <w:pPr>
        <w:pStyle w:val="subsection"/>
      </w:pPr>
      <w:r>
        <w:tab/>
        <w:t>(</w:t>
      </w:r>
      <w:r w:rsidR="00E4446B">
        <w:t>1</w:t>
      </w:r>
      <w:r>
        <w:t>)</w:t>
      </w:r>
      <w:r>
        <w:tab/>
      </w:r>
      <w:r w:rsidRPr="002D56ED">
        <w:t xml:space="preserve">For the purposes of subregulation 2.72(13) of the Regulations, an occupation listed in </w:t>
      </w:r>
      <w:r w:rsidRPr="00BB5557">
        <w:t>column</w:t>
      </w:r>
      <w:r w:rsidRPr="002D56ED">
        <w:t xml:space="preserve"> 1 of an item of the table in subsection (3) (for which an </w:t>
      </w:r>
      <w:r w:rsidRPr="002D56ED">
        <w:lastRenderedPageBreak/>
        <w:t>ANZ</w:t>
      </w:r>
      <w:r w:rsidRPr="00D40D4B">
        <w:t>SCO code is listed in column 2 of the item) is specified for the purposes of the following provisions of the Regulations:</w:t>
      </w:r>
    </w:p>
    <w:p w14:paraId="6E30856B" w14:textId="77777777" w:rsidR="00186E8B" w:rsidRDefault="00186E8B" w:rsidP="00186E8B">
      <w:pPr>
        <w:pStyle w:val="paragraph"/>
        <w:spacing w:before="80" w:line="276" w:lineRule="auto"/>
      </w:pPr>
      <w:r>
        <w:tab/>
        <w:t>(a)</w:t>
      </w:r>
      <w:r>
        <w:tab/>
      </w:r>
      <w:r w:rsidRPr="00D47621">
        <w:t>paragrap</w:t>
      </w:r>
      <w:r>
        <w:t>hs 2.72(11)(c) and 2.72(12)(c);</w:t>
      </w:r>
    </w:p>
    <w:p w14:paraId="567B404C" w14:textId="77777777" w:rsidR="00186E8B" w:rsidRDefault="00186E8B" w:rsidP="00186E8B">
      <w:pPr>
        <w:pStyle w:val="paragraph"/>
        <w:spacing w:before="80" w:line="276" w:lineRule="auto"/>
      </w:pPr>
      <w:r>
        <w:tab/>
        <w:t>(b)</w:t>
      </w:r>
      <w:r>
        <w:tab/>
        <w:t>subregulation 2.73(13);</w:t>
      </w:r>
    </w:p>
    <w:p w14:paraId="515E8923" w14:textId="77777777" w:rsidR="00186E8B" w:rsidRDefault="00186E8B" w:rsidP="00186E8B">
      <w:pPr>
        <w:pStyle w:val="paragraph"/>
        <w:spacing w:before="80" w:line="276" w:lineRule="auto"/>
      </w:pPr>
      <w:r>
        <w:tab/>
        <w:t>(c)</w:t>
      </w:r>
      <w:r>
        <w:tab/>
      </w:r>
      <w:r w:rsidRPr="00D47621">
        <w:t>paragraphs 2.73(14)(c)</w:t>
      </w:r>
      <w:r>
        <w:t xml:space="preserve"> and </w:t>
      </w:r>
      <w:r w:rsidRPr="00D47621">
        <w:t>2.73(14A)(c)</w:t>
      </w:r>
      <w:r>
        <w:t>;</w:t>
      </w:r>
    </w:p>
    <w:p w14:paraId="32BFE247" w14:textId="77777777" w:rsidR="00186E8B" w:rsidRDefault="00186E8B" w:rsidP="00186E8B">
      <w:pPr>
        <w:pStyle w:val="paragraph"/>
        <w:spacing w:before="80" w:line="276" w:lineRule="auto"/>
      </w:pPr>
      <w:r>
        <w:tab/>
        <w:t>(d)</w:t>
      </w:r>
      <w:r>
        <w:tab/>
        <w:t xml:space="preserve">paragraph </w:t>
      </w:r>
      <w:r w:rsidRPr="00D47621">
        <w:t>2.86(2A)(b)</w:t>
      </w:r>
      <w:r>
        <w:t xml:space="preserve"> and </w:t>
      </w:r>
      <w:r w:rsidRPr="00D47621">
        <w:t>subregulation 2.86(2AA)</w:t>
      </w:r>
      <w:r>
        <w:t>;</w:t>
      </w:r>
    </w:p>
    <w:p w14:paraId="06587A1D" w14:textId="77777777" w:rsidR="00186E8B" w:rsidRDefault="00186E8B" w:rsidP="00186E8B">
      <w:pPr>
        <w:pStyle w:val="paragraph"/>
        <w:spacing w:before="80" w:line="276" w:lineRule="auto"/>
      </w:pPr>
      <w:r>
        <w:tab/>
        <w:t>(e)</w:t>
      </w:r>
      <w:r>
        <w:tab/>
      </w:r>
      <w:r w:rsidRPr="00D47621">
        <w:t>subregulation 5.19(7)</w:t>
      </w:r>
      <w:r>
        <w:t>;</w:t>
      </w:r>
    </w:p>
    <w:p w14:paraId="0B51667B" w14:textId="77777777" w:rsidR="00186E8B" w:rsidRDefault="00186E8B" w:rsidP="00186E8B">
      <w:pPr>
        <w:pStyle w:val="paragraph"/>
        <w:spacing w:before="80" w:line="276" w:lineRule="auto"/>
      </w:pPr>
      <w:r>
        <w:tab/>
        <w:t>(f)</w:t>
      </w:r>
      <w:r>
        <w:tab/>
      </w:r>
      <w:r w:rsidRPr="00D47621">
        <w:t>subclause 186.227(2) of Schedule 2</w:t>
      </w:r>
      <w:r w:rsidR="007A5BDE">
        <w:t xml:space="preserve"> to the Regulations</w:t>
      </w:r>
      <w:r>
        <w:t>;</w:t>
      </w:r>
    </w:p>
    <w:p w14:paraId="4CD53C26" w14:textId="77777777" w:rsidR="00186E8B" w:rsidRDefault="00186E8B" w:rsidP="00186E8B">
      <w:pPr>
        <w:pStyle w:val="paragraph"/>
        <w:spacing w:before="80" w:line="276" w:lineRule="auto"/>
      </w:pPr>
      <w:r>
        <w:tab/>
        <w:t>(g)</w:t>
      </w:r>
      <w:r>
        <w:tab/>
      </w:r>
      <w:r w:rsidRPr="00FB00F0">
        <w:t>clauses 482.223 and 482.233 of Schedule 2</w:t>
      </w:r>
      <w:r w:rsidR="007A5BDE">
        <w:t xml:space="preserve"> to the Regulations</w:t>
      </w:r>
      <w:r>
        <w:t>;</w:t>
      </w:r>
    </w:p>
    <w:p w14:paraId="2B7151E0" w14:textId="77777777" w:rsidR="00186E8B" w:rsidRDefault="00186E8B" w:rsidP="00186E8B">
      <w:pPr>
        <w:pStyle w:val="paragraph"/>
        <w:spacing w:before="80" w:line="276" w:lineRule="auto"/>
      </w:pPr>
      <w:r>
        <w:tab/>
        <w:t>(h)</w:t>
      </w:r>
      <w:r>
        <w:tab/>
      </w:r>
      <w:r w:rsidRPr="00FB00F0">
        <w:t>paragraph 8607(3)(a) of Schedule 8</w:t>
      </w:r>
      <w:r w:rsidR="007A5BDE">
        <w:t xml:space="preserve"> to the Regulations</w:t>
      </w:r>
      <w:r>
        <w:t>;</w:t>
      </w:r>
    </w:p>
    <w:p w14:paraId="355ED093" w14:textId="77777777" w:rsidR="00186E8B" w:rsidRDefault="00186E8B" w:rsidP="00186E8B">
      <w:pPr>
        <w:pStyle w:val="paragraph"/>
        <w:spacing w:before="80" w:line="276" w:lineRule="auto"/>
      </w:pPr>
      <w:r>
        <w:tab/>
        <w:t>(i)</w:t>
      </w:r>
      <w:r>
        <w:tab/>
        <w:t>paragraph 5.19(5A)(f).</w:t>
      </w:r>
    </w:p>
    <w:p w14:paraId="117454D9" w14:textId="77777777" w:rsidR="00186E8B" w:rsidRPr="00C37D7A" w:rsidRDefault="00186E8B" w:rsidP="00186E8B">
      <w:pPr>
        <w:pStyle w:val="ItemHead"/>
      </w:pPr>
      <w:r>
        <w:t>3</w:t>
      </w:r>
      <w:r w:rsidRPr="00C37D7A">
        <w:t xml:space="preserve">  Subsection 6(3) (table item 3)</w:t>
      </w:r>
    </w:p>
    <w:p w14:paraId="36E7BA36" w14:textId="77777777" w:rsidR="00186E8B" w:rsidRPr="00C37D7A" w:rsidRDefault="00186E8B" w:rsidP="00186E8B">
      <w:pPr>
        <w:pStyle w:val="Item"/>
      </w:pPr>
      <w:r w:rsidRPr="00C37D7A">
        <w:t>Omit “medical”.</w:t>
      </w:r>
    </w:p>
    <w:p w14:paraId="72DF77FD" w14:textId="77777777" w:rsidR="00186E8B" w:rsidRPr="00E42FD3" w:rsidRDefault="00186E8B" w:rsidP="00186E8B">
      <w:pPr>
        <w:pStyle w:val="ActHead6"/>
        <w:pageBreakBefore/>
        <w:rPr>
          <w:rFonts w:eastAsiaTheme="minorHAnsi" w:cstheme="minorBidi"/>
          <w:lang w:eastAsia="en-US"/>
        </w:rPr>
      </w:pPr>
      <w:bookmarkStart w:id="34" w:name="_Toc184111143"/>
      <w:r w:rsidRPr="00E42FD3">
        <w:rPr>
          <w:rFonts w:eastAsiaTheme="minorHAnsi" w:cstheme="minorBidi"/>
          <w:lang w:eastAsia="en-US"/>
        </w:rPr>
        <w:lastRenderedPageBreak/>
        <w:t>Schedule</w:t>
      </w:r>
      <w:r w:rsidR="00514DC7">
        <w:rPr>
          <w:rFonts w:eastAsiaTheme="minorHAnsi" w:cstheme="minorBidi"/>
          <w:lang w:eastAsia="en-US"/>
        </w:rPr>
        <w:t> </w:t>
      </w:r>
      <w:r>
        <w:rPr>
          <w:rFonts w:eastAsiaTheme="minorHAnsi" w:cstheme="minorBidi"/>
          <w:lang w:eastAsia="en-US"/>
        </w:rPr>
        <w:t>5</w:t>
      </w:r>
      <w:r w:rsidRPr="00E42FD3">
        <w:rPr>
          <w:rFonts w:eastAsiaTheme="minorHAnsi" w:cstheme="minorBidi"/>
          <w:lang w:eastAsia="en-US"/>
        </w:rPr>
        <w:t>—Amendments</w:t>
      </w:r>
      <w:r w:rsidR="00692882">
        <w:rPr>
          <w:rFonts w:eastAsiaTheme="minorHAnsi" w:cstheme="minorBidi"/>
          <w:lang w:eastAsia="en-US"/>
        </w:rPr>
        <w:t xml:space="preserve"> of LIN 18/036</w:t>
      </w:r>
      <w:bookmarkEnd w:id="34"/>
    </w:p>
    <w:p w14:paraId="020B24F7" w14:textId="77777777" w:rsidR="00186E8B" w:rsidRPr="00E42FD3" w:rsidRDefault="00186E8B" w:rsidP="00E4446B">
      <w:pPr>
        <w:pStyle w:val="Header"/>
        <w:rPr>
          <w:rFonts w:eastAsiaTheme="minorHAnsi" w:cstheme="minorBidi"/>
          <w:lang w:eastAsia="en-US"/>
        </w:rPr>
      </w:pPr>
      <w:r w:rsidRPr="00E42FD3">
        <w:rPr>
          <w:rFonts w:eastAsiaTheme="minorHAnsi" w:cstheme="minorBidi"/>
          <w:lang w:eastAsia="en-US"/>
        </w:rPr>
        <w:t xml:space="preserve">  </w:t>
      </w:r>
    </w:p>
    <w:p w14:paraId="0095DB8B" w14:textId="77777777" w:rsidR="00186E8B" w:rsidRDefault="00186E8B" w:rsidP="00186E8B">
      <w:pPr>
        <w:pStyle w:val="ActHead9"/>
      </w:pPr>
      <w:bookmarkStart w:id="35" w:name="_Toc183192716"/>
      <w:bookmarkStart w:id="36" w:name="_Toc184111144"/>
      <w:r w:rsidRPr="00F95E49">
        <w:t>Migration (LIN 18/036: Period, manner and evidence of labour market testing) Instrument 2018</w:t>
      </w:r>
      <w:bookmarkEnd w:id="35"/>
      <w:bookmarkEnd w:id="36"/>
    </w:p>
    <w:p w14:paraId="101425BD" w14:textId="77777777" w:rsidR="00063F73" w:rsidRPr="00F95E49" w:rsidRDefault="00063F73" w:rsidP="00063F73">
      <w:pPr>
        <w:pStyle w:val="ItemHead"/>
      </w:pPr>
      <w:r w:rsidRPr="00F95E49">
        <w:t>1  Section 4</w:t>
      </w:r>
    </w:p>
    <w:p w14:paraId="6FF87DA5" w14:textId="77777777" w:rsidR="00063F73" w:rsidRPr="00F95E49" w:rsidRDefault="00063F73" w:rsidP="00063F73">
      <w:pPr>
        <w:pStyle w:val="Item"/>
      </w:pPr>
      <w:r w:rsidRPr="00F95E49">
        <w:t>Insert:</w:t>
      </w:r>
    </w:p>
    <w:p w14:paraId="2AF926A6" w14:textId="77777777" w:rsidR="00063F73" w:rsidRPr="00F95E49" w:rsidRDefault="00063F73" w:rsidP="00E4446B">
      <w:pPr>
        <w:pStyle w:val="Definition"/>
      </w:pPr>
      <w:r w:rsidRPr="00F95E49">
        <w:rPr>
          <w:b/>
          <w:i/>
        </w:rPr>
        <w:t>ANZSCO</w:t>
      </w:r>
      <w:r w:rsidRPr="00F95E49">
        <w:t xml:space="preserve"> means:</w:t>
      </w:r>
    </w:p>
    <w:p w14:paraId="334C7629" w14:textId="77777777" w:rsidR="00063F73" w:rsidRPr="00F95E49" w:rsidRDefault="00063F73" w:rsidP="00E4446B">
      <w:pPr>
        <w:pStyle w:val="paragraph"/>
      </w:pPr>
      <w:r>
        <w:tab/>
      </w:r>
      <w:r w:rsidRPr="00F95E49">
        <w:t>(a)</w:t>
      </w:r>
      <w:r>
        <w:tab/>
      </w:r>
      <w:r w:rsidRPr="00F95E49">
        <w:t>in relation to a nomination of an occupation relating to an application, or proposed application, for a</w:t>
      </w:r>
      <w:r>
        <w:t xml:space="preserve"> </w:t>
      </w:r>
      <w:r w:rsidRPr="00F95E49">
        <w:t>Subclass 482 (Skills in Demand) visa—the Australian and New Zealand Standard Classification of Occupations published by the Australian Bureau of Statistics, as in force on 23 November</w:t>
      </w:r>
      <w:r w:rsidR="00BB5557">
        <w:t> </w:t>
      </w:r>
      <w:r w:rsidRPr="00F95E49">
        <w:t>2022;</w:t>
      </w:r>
    </w:p>
    <w:p w14:paraId="175DE427" w14:textId="77777777" w:rsidR="00063F73" w:rsidRPr="00F95E49" w:rsidRDefault="00063F73" w:rsidP="00E4446B">
      <w:pPr>
        <w:pStyle w:val="paragraph"/>
      </w:pPr>
      <w:r>
        <w:tab/>
      </w:r>
      <w:r w:rsidRPr="00F95E49">
        <w:t>(b)</w:t>
      </w:r>
      <w:r>
        <w:tab/>
      </w:r>
      <w:r w:rsidRPr="00F95E49">
        <w:t>in any other case—the Australian and New Zealand Standard Classification of Occupations published by the Australian Bureau of Statistics, as in force on 27</w:t>
      </w:r>
      <w:r w:rsidR="00BB5557">
        <w:t> </w:t>
      </w:r>
      <w:r w:rsidRPr="00F95E49">
        <w:t>June</w:t>
      </w:r>
      <w:r w:rsidR="00BB5557">
        <w:t> </w:t>
      </w:r>
      <w:r w:rsidRPr="00F95E49">
        <w:t>2013.</w:t>
      </w:r>
    </w:p>
    <w:p w14:paraId="08067D2B" w14:textId="77777777" w:rsidR="00063F73" w:rsidRPr="00F95E49" w:rsidRDefault="00063F73" w:rsidP="00063F73">
      <w:pPr>
        <w:pStyle w:val="ItemHead"/>
      </w:pPr>
      <w:r w:rsidRPr="00F95E49">
        <w:t xml:space="preserve">2  Section 4 (paragraph (c) of the definition of </w:t>
      </w:r>
      <w:r w:rsidRPr="00F95E49">
        <w:rPr>
          <w:i/>
        </w:rPr>
        <w:t>select position</w:t>
      </w:r>
      <w:r w:rsidRPr="00F95E49">
        <w:t>)</w:t>
      </w:r>
    </w:p>
    <w:p w14:paraId="7BFC9BA8" w14:textId="77777777" w:rsidR="00063F73" w:rsidRPr="00F95E49" w:rsidRDefault="00063F73" w:rsidP="00063F73">
      <w:pPr>
        <w:pStyle w:val="Item"/>
      </w:pPr>
      <w:r w:rsidRPr="00F95E49">
        <w:t>After “Subclass 482 (Temporary Skill Shortage) visa”, insert “, Subclass 482 (Skills in Demand) visa”.</w:t>
      </w:r>
    </w:p>
    <w:p w14:paraId="24EC6F59" w14:textId="77777777" w:rsidR="00063F73" w:rsidRPr="00F95E49" w:rsidRDefault="00063F73" w:rsidP="00063F73">
      <w:pPr>
        <w:pStyle w:val="ItemHead"/>
      </w:pPr>
      <w:r w:rsidRPr="00F95E49">
        <w:t xml:space="preserve">3  Section 4 (subparagraph (e)(i) of the definition of </w:t>
      </w:r>
      <w:r w:rsidRPr="00F95E49">
        <w:rPr>
          <w:i/>
        </w:rPr>
        <w:t>select position</w:t>
      </w:r>
      <w:r w:rsidRPr="00F95E49">
        <w:t>)</w:t>
      </w:r>
    </w:p>
    <w:p w14:paraId="1D7871CA" w14:textId="77777777" w:rsidR="00063F73" w:rsidRDefault="00063F73" w:rsidP="00063F73">
      <w:pPr>
        <w:pStyle w:val="Item"/>
      </w:pPr>
      <w:r w:rsidRPr="00F95E49">
        <w:t>Omit “Medical”.</w:t>
      </w:r>
    </w:p>
    <w:p w14:paraId="30B21EA9" w14:textId="77777777" w:rsidR="00302C8E" w:rsidRPr="003807A6" w:rsidRDefault="00302C8E" w:rsidP="00E4446B">
      <w:pPr>
        <w:pStyle w:val="ActHead6"/>
        <w:pageBreakBefore/>
      </w:pPr>
      <w:bookmarkStart w:id="37" w:name="_Toc184111145"/>
      <w:r w:rsidRPr="00E4446B">
        <w:rPr>
          <w:rFonts w:eastAsiaTheme="minorHAnsi" w:cstheme="minorBidi"/>
          <w:lang w:eastAsia="en-US"/>
        </w:rPr>
        <w:lastRenderedPageBreak/>
        <w:t>Schedule</w:t>
      </w:r>
      <w:r w:rsidR="00514DC7">
        <w:rPr>
          <w:rFonts w:eastAsiaTheme="minorHAnsi" w:cstheme="minorBidi"/>
          <w:lang w:eastAsia="en-US"/>
        </w:rPr>
        <w:t> </w:t>
      </w:r>
      <w:r>
        <w:rPr>
          <w:rFonts w:eastAsiaTheme="minorHAnsi" w:cstheme="minorBidi"/>
          <w:lang w:eastAsia="en-US"/>
        </w:rPr>
        <w:t>6</w:t>
      </w:r>
      <w:r w:rsidRPr="00E4446B">
        <w:rPr>
          <w:rFonts w:eastAsiaTheme="minorHAnsi" w:cstheme="minorBidi"/>
          <w:lang w:eastAsia="en-US"/>
        </w:rPr>
        <w:t>—Amendments</w:t>
      </w:r>
      <w:r w:rsidR="00692882">
        <w:rPr>
          <w:rFonts w:eastAsiaTheme="minorHAnsi" w:cstheme="minorBidi"/>
          <w:lang w:eastAsia="en-US"/>
        </w:rPr>
        <w:t xml:space="preserve"> of LIN 19/260</w:t>
      </w:r>
      <w:bookmarkEnd w:id="37"/>
    </w:p>
    <w:p w14:paraId="3C4F0FCA" w14:textId="77777777" w:rsidR="00302C8E" w:rsidRDefault="00302C8E" w:rsidP="00E4446B">
      <w:pPr>
        <w:pStyle w:val="Header"/>
      </w:pPr>
      <w:r>
        <w:t xml:space="preserve">  </w:t>
      </w:r>
    </w:p>
    <w:p w14:paraId="401D7C6B" w14:textId="77777777" w:rsidR="00E42FD3" w:rsidRDefault="00302C8E" w:rsidP="00E4446B">
      <w:pPr>
        <w:pStyle w:val="ActHead9"/>
      </w:pPr>
      <w:bookmarkStart w:id="38" w:name="_Toc183169649"/>
      <w:bookmarkStart w:id="39" w:name="_Toc184111146"/>
      <w:r w:rsidRPr="00BB5557">
        <w:t>Migration (LIN 19/260: Assessing Authorities for Subclass 494 Visas) Instrument 2019</w:t>
      </w:r>
      <w:bookmarkEnd w:id="38"/>
      <w:bookmarkEnd w:id="39"/>
    </w:p>
    <w:p w14:paraId="463AEC03" w14:textId="77777777" w:rsidR="00302C8E" w:rsidRPr="00585BE5" w:rsidRDefault="00302C8E" w:rsidP="00302C8E">
      <w:pPr>
        <w:pStyle w:val="ItemHead"/>
      </w:pPr>
      <w:r w:rsidRPr="00585BE5">
        <w:t>1  Subsection 6(1) (table item 30)</w:t>
      </w:r>
    </w:p>
    <w:p w14:paraId="5D7D1271" w14:textId="77777777" w:rsidR="00302C8E" w:rsidRDefault="00302C8E" w:rsidP="00302C8E">
      <w:pPr>
        <w:pStyle w:val="Item"/>
        <w:spacing w:after="120"/>
      </w:pPr>
      <w:r w:rsidRPr="00585BE5">
        <w:t>Repeal the item, substitute:</w:t>
      </w:r>
    </w:p>
    <w:p w14:paraId="223973B6" w14:textId="77777777" w:rsidR="00692882" w:rsidRPr="00BB5557" w:rsidRDefault="00692882" w:rsidP="00E4446B">
      <w:pPr>
        <w:pStyle w:val="Tabletext"/>
      </w:pPr>
    </w:p>
    <w:tbl>
      <w:tblPr>
        <w:tblW w:w="0" w:type="auto"/>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14"/>
        <w:gridCol w:w="4668"/>
        <w:gridCol w:w="2977"/>
      </w:tblGrid>
      <w:tr w:rsidR="00302C8E" w:rsidRPr="00D62D6E" w14:paraId="272B329C" w14:textId="77777777" w:rsidTr="008D7349">
        <w:tc>
          <w:tcPr>
            <w:tcW w:w="714" w:type="dxa"/>
            <w:tcBorders>
              <w:top w:val="single" w:sz="4" w:space="0" w:color="auto"/>
              <w:left w:val="nil"/>
              <w:bottom w:val="single" w:sz="2" w:space="0" w:color="auto"/>
              <w:right w:val="nil"/>
            </w:tcBorders>
            <w:hideMark/>
          </w:tcPr>
          <w:p w14:paraId="1118CDDC" w14:textId="77777777" w:rsidR="00302C8E" w:rsidRPr="00D62D6E" w:rsidRDefault="00302C8E" w:rsidP="00E4446B">
            <w:pPr>
              <w:pStyle w:val="subsection"/>
              <w:spacing w:after="120"/>
              <w:rPr>
                <w:sz w:val="20"/>
              </w:rPr>
            </w:pPr>
            <w:r w:rsidRPr="00D62D6E">
              <w:rPr>
                <w:sz w:val="20"/>
              </w:rPr>
              <w:t>30</w:t>
            </w:r>
          </w:p>
        </w:tc>
        <w:tc>
          <w:tcPr>
            <w:tcW w:w="4668" w:type="dxa"/>
            <w:tcBorders>
              <w:top w:val="single" w:sz="4" w:space="0" w:color="auto"/>
              <w:left w:val="nil"/>
              <w:bottom w:val="single" w:sz="2" w:space="0" w:color="auto"/>
              <w:right w:val="nil"/>
            </w:tcBorders>
            <w:hideMark/>
          </w:tcPr>
          <w:p w14:paraId="7F9E21FF" w14:textId="77777777" w:rsidR="00302C8E" w:rsidRPr="00D62D6E" w:rsidRDefault="00302C8E" w:rsidP="00E4446B">
            <w:pPr>
              <w:pStyle w:val="subsection"/>
              <w:spacing w:after="120"/>
              <w:rPr>
                <w:sz w:val="20"/>
              </w:rPr>
            </w:pPr>
            <w:r w:rsidRPr="00D62D6E">
              <w:rPr>
                <w:sz w:val="20"/>
              </w:rPr>
              <w:t>surveyor</w:t>
            </w:r>
          </w:p>
        </w:tc>
        <w:tc>
          <w:tcPr>
            <w:tcW w:w="2977" w:type="dxa"/>
            <w:tcBorders>
              <w:top w:val="single" w:sz="4" w:space="0" w:color="auto"/>
              <w:left w:val="nil"/>
              <w:bottom w:val="single" w:sz="2" w:space="0" w:color="auto"/>
              <w:right w:val="nil"/>
            </w:tcBorders>
            <w:hideMark/>
          </w:tcPr>
          <w:p w14:paraId="708B32DD" w14:textId="77777777" w:rsidR="00302C8E" w:rsidRPr="00D62D6E" w:rsidRDefault="00302C8E" w:rsidP="00E4446B">
            <w:pPr>
              <w:pStyle w:val="subsection"/>
              <w:spacing w:after="120"/>
              <w:rPr>
                <w:sz w:val="20"/>
              </w:rPr>
            </w:pPr>
            <w:r w:rsidRPr="00D62D6E">
              <w:rPr>
                <w:sz w:val="20"/>
              </w:rPr>
              <w:t>GCA</w:t>
            </w:r>
          </w:p>
        </w:tc>
      </w:tr>
    </w:tbl>
    <w:p w14:paraId="3F415AEC" w14:textId="77777777" w:rsidR="00692882" w:rsidRDefault="00692882" w:rsidP="00E4446B">
      <w:pPr>
        <w:pStyle w:val="Tabletext"/>
      </w:pPr>
    </w:p>
    <w:p w14:paraId="4949D7D1" w14:textId="77777777" w:rsidR="00302C8E" w:rsidRPr="00585BE5" w:rsidRDefault="00302C8E" w:rsidP="00302C8E">
      <w:pPr>
        <w:pStyle w:val="ItemHead"/>
      </w:pPr>
      <w:r w:rsidRPr="00585BE5">
        <w:t>2  Subsection 6(1) (table item 79)</w:t>
      </w:r>
    </w:p>
    <w:p w14:paraId="30E93CBA" w14:textId="77777777" w:rsidR="00302C8E" w:rsidRDefault="00302C8E" w:rsidP="00302C8E">
      <w:pPr>
        <w:pStyle w:val="Item"/>
        <w:spacing w:after="120"/>
      </w:pPr>
      <w:r w:rsidRPr="00585BE5">
        <w:t>Repeal the item, substitute:</w:t>
      </w:r>
    </w:p>
    <w:p w14:paraId="7ECB7033" w14:textId="77777777" w:rsidR="00692882" w:rsidRPr="00BB5557" w:rsidRDefault="00692882" w:rsidP="00E4446B">
      <w:pPr>
        <w:pStyle w:val="Tabletext"/>
      </w:pPr>
    </w:p>
    <w:tbl>
      <w:tblPr>
        <w:tblW w:w="8359"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668"/>
        <w:gridCol w:w="2977"/>
      </w:tblGrid>
      <w:tr w:rsidR="00302C8E" w:rsidRPr="00D62D6E" w14:paraId="5B41CCE2" w14:textId="77777777" w:rsidTr="008D7349">
        <w:tc>
          <w:tcPr>
            <w:tcW w:w="714" w:type="dxa"/>
            <w:shd w:val="clear" w:color="auto" w:fill="auto"/>
          </w:tcPr>
          <w:p w14:paraId="5D9C636A" w14:textId="77777777" w:rsidR="00302C8E" w:rsidRPr="00D62D6E" w:rsidRDefault="00302C8E" w:rsidP="00E4446B">
            <w:pPr>
              <w:pStyle w:val="subsection"/>
              <w:spacing w:after="120"/>
              <w:rPr>
                <w:sz w:val="20"/>
              </w:rPr>
            </w:pPr>
            <w:r w:rsidRPr="00D62D6E">
              <w:rPr>
                <w:sz w:val="20"/>
              </w:rPr>
              <w:t>79</w:t>
            </w:r>
          </w:p>
        </w:tc>
        <w:tc>
          <w:tcPr>
            <w:tcW w:w="4668" w:type="dxa"/>
            <w:shd w:val="clear" w:color="auto" w:fill="auto"/>
          </w:tcPr>
          <w:p w14:paraId="539EC255" w14:textId="77777777" w:rsidR="00302C8E" w:rsidRPr="00D62D6E" w:rsidRDefault="00302C8E" w:rsidP="00E4446B">
            <w:pPr>
              <w:pStyle w:val="subsection"/>
              <w:spacing w:after="120"/>
              <w:rPr>
                <w:sz w:val="20"/>
              </w:rPr>
            </w:pPr>
            <w:r w:rsidRPr="00D62D6E">
              <w:rPr>
                <w:sz w:val="20"/>
              </w:rPr>
              <w:t>early childhood (pre</w:t>
            </w:r>
            <w:r w:rsidRPr="00D62D6E">
              <w:rPr>
                <w:sz w:val="20"/>
              </w:rPr>
              <w:noBreakHyphen/>
              <w:t>primary school) teacher</w:t>
            </w:r>
          </w:p>
        </w:tc>
        <w:tc>
          <w:tcPr>
            <w:tcW w:w="2977" w:type="dxa"/>
            <w:shd w:val="clear" w:color="auto" w:fill="auto"/>
          </w:tcPr>
          <w:p w14:paraId="0C921524" w14:textId="77777777" w:rsidR="00302C8E" w:rsidRPr="00D62D6E" w:rsidRDefault="00302C8E" w:rsidP="00E4446B">
            <w:pPr>
              <w:pStyle w:val="subsection"/>
              <w:spacing w:after="120"/>
              <w:rPr>
                <w:sz w:val="20"/>
              </w:rPr>
            </w:pPr>
            <w:r w:rsidRPr="00D62D6E">
              <w:rPr>
                <w:sz w:val="20"/>
              </w:rPr>
              <w:t>ACECQA</w:t>
            </w:r>
          </w:p>
        </w:tc>
      </w:tr>
    </w:tbl>
    <w:p w14:paraId="065DECE5" w14:textId="77777777" w:rsidR="00692882" w:rsidRDefault="00692882" w:rsidP="00E4446B">
      <w:pPr>
        <w:pStyle w:val="Tabletext"/>
      </w:pPr>
    </w:p>
    <w:p w14:paraId="5C55CB28" w14:textId="77777777" w:rsidR="00302C8E" w:rsidRPr="00585BE5" w:rsidRDefault="00302C8E" w:rsidP="00302C8E">
      <w:pPr>
        <w:pStyle w:val="ItemHead"/>
      </w:pPr>
      <w:r w:rsidRPr="00585BE5">
        <w:t>3  Section 9 (after table item 28)</w:t>
      </w:r>
    </w:p>
    <w:p w14:paraId="625F9FAF" w14:textId="77777777" w:rsidR="00302C8E" w:rsidRDefault="00302C8E" w:rsidP="00302C8E">
      <w:pPr>
        <w:pStyle w:val="Item"/>
        <w:spacing w:after="120"/>
      </w:pPr>
      <w:r w:rsidRPr="00585BE5">
        <w:t>Insert:</w:t>
      </w:r>
    </w:p>
    <w:p w14:paraId="097DFAD5" w14:textId="77777777" w:rsidR="00692882" w:rsidRPr="00BB5557" w:rsidRDefault="00692882" w:rsidP="00E4446B">
      <w:pPr>
        <w:pStyle w:val="Tabletext"/>
      </w:pPr>
    </w:p>
    <w:tbl>
      <w:tblPr>
        <w:tblW w:w="8659" w:type="dxa"/>
        <w:tblInd w:w="10"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841"/>
        <w:gridCol w:w="2040"/>
        <w:gridCol w:w="5778"/>
      </w:tblGrid>
      <w:tr w:rsidR="00302C8E" w:rsidRPr="00D62D6E" w14:paraId="08EDDE93" w14:textId="77777777" w:rsidTr="00E4446B">
        <w:tc>
          <w:tcPr>
            <w:tcW w:w="841" w:type="dxa"/>
            <w:tcBorders>
              <w:top w:val="single" w:sz="2" w:space="0" w:color="auto"/>
              <w:left w:val="nil"/>
              <w:bottom w:val="single" w:sz="2" w:space="0" w:color="auto"/>
              <w:right w:val="nil"/>
            </w:tcBorders>
            <w:hideMark/>
          </w:tcPr>
          <w:p w14:paraId="410C7354" w14:textId="77777777" w:rsidR="00302C8E" w:rsidRPr="00D62D6E" w:rsidRDefault="00302C8E" w:rsidP="00E4446B">
            <w:pPr>
              <w:pStyle w:val="subsection"/>
              <w:spacing w:after="120"/>
              <w:rPr>
                <w:sz w:val="20"/>
              </w:rPr>
            </w:pPr>
            <w:r w:rsidRPr="00D62D6E">
              <w:rPr>
                <w:sz w:val="20"/>
              </w:rPr>
              <w:t>28A</w:t>
            </w:r>
            <w:r w:rsidR="007A5BDE" w:rsidRPr="00D62D6E">
              <w:rPr>
                <w:sz w:val="20"/>
              </w:rPr>
              <w:t>A</w:t>
            </w:r>
          </w:p>
        </w:tc>
        <w:tc>
          <w:tcPr>
            <w:tcW w:w="2040" w:type="dxa"/>
            <w:tcBorders>
              <w:top w:val="single" w:sz="2" w:space="0" w:color="auto"/>
              <w:left w:val="nil"/>
              <w:bottom w:val="single" w:sz="2" w:space="0" w:color="auto"/>
              <w:right w:val="nil"/>
            </w:tcBorders>
            <w:hideMark/>
          </w:tcPr>
          <w:p w14:paraId="15B12EF7" w14:textId="77777777" w:rsidR="00302C8E" w:rsidRPr="00D62D6E" w:rsidRDefault="00302C8E" w:rsidP="00E4446B">
            <w:pPr>
              <w:pStyle w:val="subsection"/>
              <w:spacing w:after="120"/>
              <w:rPr>
                <w:sz w:val="20"/>
              </w:rPr>
            </w:pPr>
            <w:r w:rsidRPr="00D62D6E">
              <w:rPr>
                <w:sz w:val="20"/>
              </w:rPr>
              <w:t>GCA</w:t>
            </w:r>
          </w:p>
        </w:tc>
        <w:tc>
          <w:tcPr>
            <w:tcW w:w="5778" w:type="dxa"/>
            <w:tcBorders>
              <w:top w:val="single" w:sz="2" w:space="0" w:color="auto"/>
              <w:left w:val="nil"/>
              <w:bottom w:val="single" w:sz="2" w:space="0" w:color="auto"/>
              <w:right w:val="nil"/>
            </w:tcBorders>
            <w:hideMark/>
          </w:tcPr>
          <w:p w14:paraId="49637E37" w14:textId="77777777" w:rsidR="00302C8E" w:rsidRPr="00D62D6E" w:rsidRDefault="00302C8E" w:rsidP="00E4446B">
            <w:pPr>
              <w:pStyle w:val="subsection"/>
              <w:spacing w:after="120"/>
              <w:rPr>
                <w:sz w:val="20"/>
              </w:rPr>
            </w:pPr>
            <w:r w:rsidRPr="00D62D6E">
              <w:rPr>
                <w:sz w:val="20"/>
              </w:rPr>
              <w:t>Geospatial Council of Australia</w:t>
            </w:r>
          </w:p>
        </w:tc>
      </w:tr>
    </w:tbl>
    <w:p w14:paraId="288051AB" w14:textId="77777777" w:rsidR="00692882" w:rsidRDefault="00692882" w:rsidP="00E4446B">
      <w:pPr>
        <w:pStyle w:val="Tabletext"/>
      </w:pPr>
    </w:p>
    <w:p w14:paraId="5DC9E3A9" w14:textId="77777777" w:rsidR="00302C8E" w:rsidRPr="00585BE5" w:rsidRDefault="00302C8E" w:rsidP="00302C8E">
      <w:pPr>
        <w:pStyle w:val="ItemHead"/>
      </w:pPr>
      <w:r w:rsidRPr="00585BE5">
        <w:t>4  Section 9 (table item 36)</w:t>
      </w:r>
    </w:p>
    <w:p w14:paraId="252FC2BB" w14:textId="77777777" w:rsidR="00302C8E" w:rsidRPr="00676E5C" w:rsidRDefault="00302C8E" w:rsidP="00302C8E">
      <w:pPr>
        <w:pStyle w:val="Item"/>
        <w:spacing w:after="120"/>
      </w:pPr>
      <w:r w:rsidRPr="00585BE5">
        <w:t>Repeal the table item.</w:t>
      </w:r>
    </w:p>
    <w:p w14:paraId="344E4ED6" w14:textId="77777777" w:rsidR="00692882" w:rsidRPr="003807A6" w:rsidRDefault="00692882" w:rsidP="00E4446B">
      <w:pPr>
        <w:pStyle w:val="ActHead6"/>
        <w:pageBreakBefore/>
      </w:pPr>
      <w:bookmarkStart w:id="40" w:name="_Toc184111147"/>
      <w:r w:rsidRPr="00E4446B">
        <w:rPr>
          <w:rFonts w:eastAsiaTheme="minorHAnsi" w:cstheme="minorBidi"/>
          <w:lang w:eastAsia="en-US"/>
        </w:rPr>
        <w:lastRenderedPageBreak/>
        <w:t>Schedule</w:t>
      </w:r>
      <w:r w:rsidR="00514DC7">
        <w:rPr>
          <w:rFonts w:eastAsiaTheme="minorHAnsi" w:cstheme="minorBidi"/>
          <w:lang w:eastAsia="en-US"/>
        </w:rPr>
        <w:t> </w:t>
      </w:r>
      <w:r w:rsidRPr="00E4446B">
        <w:rPr>
          <w:rFonts w:eastAsiaTheme="minorHAnsi" w:cstheme="minorBidi"/>
          <w:lang w:eastAsia="en-US"/>
        </w:rPr>
        <w:t>7—Amendments</w:t>
      </w:r>
      <w:r>
        <w:rPr>
          <w:rFonts w:eastAsiaTheme="minorHAnsi" w:cstheme="minorBidi"/>
          <w:lang w:eastAsia="en-US"/>
        </w:rPr>
        <w:t xml:space="preserve"> of LIN 20/166</w:t>
      </w:r>
      <w:bookmarkEnd w:id="40"/>
    </w:p>
    <w:p w14:paraId="3B33257C" w14:textId="77777777" w:rsidR="00692882" w:rsidRDefault="00692882" w:rsidP="00EE1B8A">
      <w:pPr>
        <w:pStyle w:val="Header"/>
      </w:pPr>
      <w:r>
        <w:t xml:space="preserve">  </w:t>
      </w:r>
    </w:p>
    <w:p w14:paraId="3431D34D" w14:textId="77777777" w:rsidR="00E42FD3" w:rsidRDefault="00692882" w:rsidP="00EE1B8A">
      <w:pPr>
        <w:pStyle w:val="ActHead9"/>
      </w:pPr>
      <w:bookmarkStart w:id="41" w:name="_Toc183168334"/>
      <w:bookmarkStart w:id="42" w:name="_Toc184111148"/>
      <w:r w:rsidRPr="00350A8B">
        <w:t>Migration (LIN 20/166: Australian Values Statement for Public Interest Criterion 4019) Instrument 2020</w:t>
      </w:r>
      <w:bookmarkEnd w:id="41"/>
      <w:bookmarkEnd w:id="42"/>
    </w:p>
    <w:p w14:paraId="7683EEDC" w14:textId="77777777" w:rsidR="00692882" w:rsidRPr="00350A8B" w:rsidRDefault="00692882" w:rsidP="00692882">
      <w:pPr>
        <w:pStyle w:val="ItemHead"/>
      </w:pPr>
      <w:r>
        <w:t>1</w:t>
      </w:r>
      <w:r w:rsidRPr="00350A8B">
        <w:t xml:space="preserve">  After section 5</w:t>
      </w:r>
    </w:p>
    <w:p w14:paraId="3E6F6F79" w14:textId="77777777" w:rsidR="00692882" w:rsidRPr="00350A8B" w:rsidRDefault="00692882" w:rsidP="00692882">
      <w:pPr>
        <w:pStyle w:val="Item"/>
      </w:pPr>
      <w:r w:rsidRPr="00350A8B">
        <w:t>Insert:</w:t>
      </w:r>
    </w:p>
    <w:p w14:paraId="5414510B" w14:textId="77777777" w:rsidR="00692882" w:rsidRPr="00350A8B" w:rsidRDefault="00692882" w:rsidP="00692882">
      <w:pPr>
        <w:pStyle w:val="ActHead5"/>
        <w:rPr>
          <w:lang w:val="en-US"/>
        </w:rPr>
      </w:pPr>
      <w:bookmarkStart w:id="43" w:name="_Toc59610659"/>
      <w:bookmarkStart w:id="44" w:name="_Toc183985093"/>
      <w:bookmarkStart w:id="45" w:name="_Toc183987103"/>
      <w:bookmarkStart w:id="46" w:name="_Toc184111149"/>
      <w:r w:rsidRPr="00350A8B">
        <w:t>5A</w:t>
      </w:r>
      <w:r w:rsidRPr="00350A8B">
        <w:tab/>
        <w:t>A</w:t>
      </w:r>
      <w:r w:rsidR="002C48B7">
        <w:t>pplication of a</w:t>
      </w:r>
      <w:r w:rsidRPr="00350A8B">
        <w:t xml:space="preserve">mendments made by </w:t>
      </w:r>
      <w:bookmarkEnd w:id="43"/>
      <w:r w:rsidRPr="00350A8B">
        <w:t>LIN 24/</w:t>
      </w:r>
      <w:bookmarkEnd w:id="44"/>
      <w:r w:rsidR="00514DC7">
        <w:t>094</w:t>
      </w:r>
      <w:bookmarkEnd w:id="45"/>
      <w:bookmarkEnd w:id="46"/>
    </w:p>
    <w:p w14:paraId="2A75F5E7" w14:textId="0EA37F1A" w:rsidR="00692882" w:rsidRPr="00037FB5" w:rsidRDefault="00692882" w:rsidP="00692882">
      <w:pPr>
        <w:pStyle w:val="subsection"/>
        <w:rPr>
          <w:lang w:val="en-US"/>
        </w:rPr>
      </w:pPr>
      <w:r w:rsidRPr="00350A8B">
        <w:tab/>
      </w:r>
      <w:r w:rsidRPr="00350A8B">
        <w:tab/>
        <w:t xml:space="preserve">The amendments of this instrument made by Schedule </w:t>
      </w:r>
      <w:r w:rsidR="00514DC7">
        <w:t>7</w:t>
      </w:r>
      <w:r w:rsidRPr="00350A8B">
        <w:t xml:space="preserve"> to the </w:t>
      </w:r>
      <w:r w:rsidR="00514DC7" w:rsidRPr="00EE1B8A">
        <w:rPr>
          <w:i/>
        </w:rPr>
        <w:t>Migration Amendment (Skills in Demand Visa and Related Matters) Instrument 2024</w:t>
      </w:r>
      <w:r w:rsidRPr="00514DC7">
        <w:rPr>
          <w:i/>
        </w:rPr>
        <w:t xml:space="preserve"> </w:t>
      </w:r>
      <w:r w:rsidRPr="00350A8B">
        <w:t>(</w:t>
      </w:r>
      <w:r>
        <w:t xml:space="preserve">the </w:t>
      </w:r>
      <w:r w:rsidRPr="008D7349">
        <w:rPr>
          <w:b/>
          <w:i/>
        </w:rPr>
        <w:t>amending instrument</w:t>
      </w:r>
      <w:r w:rsidRPr="00350A8B">
        <w:t xml:space="preserve">) apply </w:t>
      </w:r>
      <w:r>
        <w:t xml:space="preserve">in relation </w:t>
      </w:r>
      <w:r w:rsidRPr="00350A8B">
        <w:t>to a</w:t>
      </w:r>
      <w:r>
        <w:t xml:space="preserve"> visa</w:t>
      </w:r>
      <w:r w:rsidRPr="00350A8B">
        <w:t xml:space="preserve"> application, made on or after the commencement of </w:t>
      </w:r>
      <w:r>
        <w:t xml:space="preserve">the amending instrument, </w:t>
      </w:r>
      <w:r w:rsidRPr="00D80494">
        <w:t xml:space="preserve">for a subclass of visa </w:t>
      </w:r>
      <w:r>
        <w:t>mentioned in an item in a table in Schedule 1 to</w:t>
      </w:r>
      <w:r w:rsidRPr="00D80494">
        <w:t xml:space="preserve"> this instrument</w:t>
      </w:r>
      <w:r w:rsidRPr="00350A8B">
        <w:t>.</w:t>
      </w:r>
    </w:p>
    <w:p w14:paraId="0A676FC5" w14:textId="77777777" w:rsidR="00692882" w:rsidRDefault="00692882" w:rsidP="00692882">
      <w:pPr>
        <w:pStyle w:val="ItemHead"/>
      </w:pPr>
      <w:r>
        <w:t>2  Item 18 of Table 1 in Schedule 1</w:t>
      </w:r>
    </w:p>
    <w:p w14:paraId="3D378BAB" w14:textId="77777777" w:rsidR="003F6F52" w:rsidRPr="003807A6" w:rsidRDefault="00692882" w:rsidP="00E4446B">
      <w:pPr>
        <w:pStyle w:val="Item"/>
      </w:pPr>
      <w:r>
        <w:t>Omit “(Temporary Skill Shortage)”, substitute “(Skills in Demand)”.</w:t>
      </w:r>
    </w:p>
    <w:sectPr w:rsidR="003F6F52" w:rsidRPr="003807A6" w:rsidSect="00B20990">
      <w:headerReference w:type="even" r:id="rId19"/>
      <w:headerReference w:type="default" r:id="rId20"/>
      <w:footerReference w:type="even" r:id="rId21"/>
      <w:footerReference w:type="default" r:id="rId22"/>
      <w:footerReference w:type="first" r:id="rId23"/>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53837" w14:textId="77777777" w:rsidR="00217248" w:rsidRDefault="00217248" w:rsidP="0048364F">
      <w:pPr>
        <w:spacing w:line="240" w:lineRule="auto"/>
      </w:pPr>
      <w:r>
        <w:separator/>
      </w:r>
    </w:p>
  </w:endnote>
  <w:endnote w:type="continuationSeparator" w:id="0">
    <w:p w14:paraId="0EA2887A" w14:textId="77777777" w:rsidR="00217248" w:rsidRDefault="0021724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9278C1" w14:paraId="05E6F923" w14:textId="77777777" w:rsidTr="0001176A">
      <w:tc>
        <w:tcPr>
          <w:tcW w:w="5000" w:type="pct"/>
        </w:tcPr>
        <w:p w14:paraId="280293A5" w14:textId="77777777" w:rsidR="009278C1" w:rsidRDefault="009278C1" w:rsidP="0001176A">
          <w:pPr>
            <w:rPr>
              <w:sz w:val="18"/>
            </w:rPr>
          </w:pPr>
        </w:p>
      </w:tc>
    </w:tr>
  </w:tbl>
  <w:p w14:paraId="08F05F2D"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B20990" w14:paraId="4BFB01DC" w14:textId="77777777" w:rsidTr="00C160A1">
      <w:tc>
        <w:tcPr>
          <w:tcW w:w="5000" w:type="pct"/>
        </w:tcPr>
        <w:p w14:paraId="31E57D0C" w14:textId="77777777" w:rsidR="00B20990" w:rsidRDefault="00B20990" w:rsidP="007946FE">
          <w:pPr>
            <w:rPr>
              <w:sz w:val="18"/>
            </w:rPr>
          </w:pPr>
        </w:p>
      </w:tc>
    </w:tr>
  </w:tbl>
  <w:p w14:paraId="77834037"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86B43"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48ADB2CC" w14:textId="77777777" w:rsidTr="00C160A1">
      <w:tc>
        <w:tcPr>
          <w:tcW w:w="5000" w:type="pct"/>
        </w:tcPr>
        <w:p w14:paraId="0DC7E520" w14:textId="77777777" w:rsidR="00B20990" w:rsidRDefault="00B20990" w:rsidP="00465764">
          <w:pPr>
            <w:rPr>
              <w:sz w:val="18"/>
            </w:rPr>
          </w:pPr>
        </w:p>
      </w:tc>
    </w:tr>
  </w:tbl>
  <w:p w14:paraId="4AB12276"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BF6C6"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66E7C445" w14:textId="77777777" w:rsidTr="00C160A1">
      <w:tc>
        <w:tcPr>
          <w:tcW w:w="365" w:type="pct"/>
          <w:tcBorders>
            <w:top w:val="nil"/>
            <w:left w:val="nil"/>
            <w:bottom w:val="nil"/>
            <w:right w:val="nil"/>
          </w:tcBorders>
        </w:tcPr>
        <w:p w14:paraId="7BF6C57F"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E1B8A">
            <w:rPr>
              <w:i/>
              <w:noProof/>
              <w:sz w:val="18"/>
            </w:rPr>
            <w:t>ii</w:t>
          </w:r>
          <w:r w:rsidRPr="00ED79B6">
            <w:rPr>
              <w:i/>
              <w:sz w:val="18"/>
            </w:rPr>
            <w:fldChar w:fldCharType="end"/>
          </w:r>
        </w:p>
      </w:tc>
      <w:tc>
        <w:tcPr>
          <w:tcW w:w="3688" w:type="pct"/>
          <w:tcBorders>
            <w:top w:val="nil"/>
            <w:left w:val="nil"/>
            <w:bottom w:val="nil"/>
            <w:right w:val="nil"/>
          </w:tcBorders>
        </w:tcPr>
        <w:p w14:paraId="4503827C" w14:textId="77777777"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D0717A">
            <w:rPr>
              <w:i/>
              <w:noProof/>
              <w:sz w:val="18"/>
            </w:rPr>
            <w:t>Migration Amendment (Skills in Demand Visa and Related Matters) Instrument 2024</w:t>
          </w:r>
          <w:r w:rsidRPr="00B20990">
            <w:rPr>
              <w:i/>
              <w:sz w:val="18"/>
            </w:rPr>
            <w:fldChar w:fldCharType="end"/>
          </w:r>
        </w:p>
      </w:tc>
      <w:tc>
        <w:tcPr>
          <w:tcW w:w="947" w:type="pct"/>
          <w:tcBorders>
            <w:top w:val="nil"/>
            <w:left w:val="nil"/>
            <w:bottom w:val="nil"/>
            <w:right w:val="nil"/>
          </w:tcBorders>
        </w:tcPr>
        <w:p w14:paraId="32B1B7DF" w14:textId="77777777" w:rsidR="00B20990" w:rsidRDefault="00B20990" w:rsidP="00E33C1C">
          <w:pPr>
            <w:spacing w:line="0" w:lineRule="atLeast"/>
            <w:jc w:val="right"/>
            <w:rPr>
              <w:sz w:val="18"/>
            </w:rPr>
          </w:pPr>
        </w:p>
      </w:tc>
    </w:tr>
    <w:tr w:rsidR="00B20990" w14:paraId="0A4E8897"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461783C" w14:textId="77777777" w:rsidR="00B20990" w:rsidRDefault="00B20990" w:rsidP="007946FE">
          <w:pPr>
            <w:jc w:val="right"/>
            <w:rPr>
              <w:sz w:val="18"/>
            </w:rPr>
          </w:pPr>
        </w:p>
      </w:tc>
    </w:tr>
  </w:tbl>
  <w:p w14:paraId="01DAC6D3"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A154F" w14:textId="77777777"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6B3AC07E" w14:textId="77777777" w:rsidTr="00C160A1">
      <w:tc>
        <w:tcPr>
          <w:tcW w:w="947" w:type="pct"/>
          <w:tcBorders>
            <w:top w:val="nil"/>
            <w:left w:val="nil"/>
            <w:bottom w:val="nil"/>
            <w:right w:val="nil"/>
          </w:tcBorders>
        </w:tcPr>
        <w:p w14:paraId="466044A7" w14:textId="77777777" w:rsidR="00B20990" w:rsidRDefault="00B20990" w:rsidP="00E33C1C">
          <w:pPr>
            <w:spacing w:line="0" w:lineRule="atLeast"/>
            <w:rPr>
              <w:sz w:val="18"/>
            </w:rPr>
          </w:pPr>
        </w:p>
      </w:tc>
      <w:tc>
        <w:tcPr>
          <w:tcW w:w="3688" w:type="pct"/>
          <w:tcBorders>
            <w:top w:val="nil"/>
            <w:left w:val="nil"/>
            <w:bottom w:val="nil"/>
            <w:right w:val="nil"/>
          </w:tcBorders>
        </w:tcPr>
        <w:p w14:paraId="7636830C" w14:textId="77CF13F2"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822A2">
            <w:rPr>
              <w:i/>
              <w:noProof/>
              <w:sz w:val="18"/>
            </w:rPr>
            <w:t>Migration Amendment (Skills in Demand Visa and Related Matters) Instrument 2024</w:t>
          </w:r>
          <w:r w:rsidRPr="00B20990">
            <w:rPr>
              <w:i/>
              <w:sz w:val="18"/>
            </w:rPr>
            <w:fldChar w:fldCharType="end"/>
          </w:r>
        </w:p>
      </w:tc>
      <w:tc>
        <w:tcPr>
          <w:tcW w:w="365" w:type="pct"/>
          <w:tcBorders>
            <w:top w:val="nil"/>
            <w:left w:val="nil"/>
            <w:bottom w:val="nil"/>
            <w:right w:val="nil"/>
          </w:tcBorders>
        </w:tcPr>
        <w:p w14:paraId="244E4F09" w14:textId="6B2D7555"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822A2">
            <w:rPr>
              <w:i/>
              <w:noProof/>
              <w:sz w:val="18"/>
            </w:rPr>
            <w:t>i</w:t>
          </w:r>
          <w:r w:rsidRPr="00ED79B6">
            <w:rPr>
              <w:i/>
              <w:sz w:val="18"/>
            </w:rPr>
            <w:fldChar w:fldCharType="end"/>
          </w:r>
        </w:p>
      </w:tc>
    </w:tr>
    <w:tr w:rsidR="00B20990" w14:paraId="7FC63FBE"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47F792C4" w14:textId="77777777" w:rsidR="00B20990" w:rsidRDefault="00B20990" w:rsidP="007946FE">
          <w:pPr>
            <w:rPr>
              <w:sz w:val="18"/>
            </w:rPr>
          </w:pPr>
        </w:p>
      </w:tc>
    </w:tr>
  </w:tbl>
  <w:p w14:paraId="7388545B" w14:textId="77777777" w:rsidR="00B20990" w:rsidRPr="00ED79B6" w:rsidRDefault="00B20990" w:rsidP="006D366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78FD1"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217A0176" w14:textId="77777777" w:rsidTr="007A6863">
      <w:tc>
        <w:tcPr>
          <w:tcW w:w="709" w:type="dxa"/>
          <w:tcBorders>
            <w:top w:val="nil"/>
            <w:left w:val="nil"/>
            <w:bottom w:val="nil"/>
            <w:right w:val="nil"/>
          </w:tcBorders>
        </w:tcPr>
        <w:p w14:paraId="1DD54308" w14:textId="5A8BE30C"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822A2">
            <w:rPr>
              <w:i/>
              <w:noProof/>
              <w:sz w:val="18"/>
            </w:rPr>
            <w:t>10</w:t>
          </w:r>
          <w:r w:rsidRPr="00ED79B6">
            <w:rPr>
              <w:i/>
              <w:sz w:val="18"/>
            </w:rPr>
            <w:fldChar w:fldCharType="end"/>
          </w:r>
        </w:p>
      </w:tc>
      <w:tc>
        <w:tcPr>
          <w:tcW w:w="6379" w:type="dxa"/>
          <w:tcBorders>
            <w:top w:val="nil"/>
            <w:left w:val="nil"/>
            <w:bottom w:val="nil"/>
            <w:right w:val="nil"/>
          </w:tcBorders>
        </w:tcPr>
        <w:p w14:paraId="1979585C" w14:textId="57D5DAEE"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822A2">
            <w:rPr>
              <w:i/>
              <w:noProof/>
              <w:sz w:val="18"/>
            </w:rPr>
            <w:t>Migration Amendment (Skills in Demand Visa and Related Matters) Instrument 2024</w:t>
          </w:r>
          <w:r w:rsidRPr="00B20990">
            <w:rPr>
              <w:i/>
              <w:sz w:val="18"/>
            </w:rPr>
            <w:fldChar w:fldCharType="end"/>
          </w:r>
        </w:p>
      </w:tc>
      <w:tc>
        <w:tcPr>
          <w:tcW w:w="1383" w:type="dxa"/>
          <w:tcBorders>
            <w:top w:val="nil"/>
            <w:left w:val="nil"/>
            <w:bottom w:val="nil"/>
            <w:right w:val="nil"/>
          </w:tcBorders>
        </w:tcPr>
        <w:p w14:paraId="5F3F7BB7" w14:textId="77777777" w:rsidR="00EE57E8" w:rsidRDefault="00EE57E8" w:rsidP="00EE57E8">
          <w:pPr>
            <w:spacing w:line="0" w:lineRule="atLeast"/>
            <w:jc w:val="right"/>
            <w:rPr>
              <w:sz w:val="18"/>
            </w:rPr>
          </w:pPr>
        </w:p>
      </w:tc>
    </w:tr>
    <w:tr w:rsidR="00EE57E8" w14:paraId="1370B68C"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096C782" w14:textId="77777777" w:rsidR="00EE57E8" w:rsidRDefault="00EE57E8" w:rsidP="00EE57E8">
          <w:pPr>
            <w:jc w:val="right"/>
            <w:rPr>
              <w:sz w:val="18"/>
            </w:rPr>
          </w:pPr>
        </w:p>
      </w:tc>
    </w:tr>
  </w:tbl>
  <w:p w14:paraId="6617D70C"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EA0C3"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6B7132BB" w14:textId="77777777" w:rsidTr="00EE57E8">
      <w:tc>
        <w:tcPr>
          <w:tcW w:w="1384" w:type="dxa"/>
          <w:tcBorders>
            <w:top w:val="nil"/>
            <w:left w:val="nil"/>
            <w:bottom w:val="nil"/>
            <w:right w:val="nil"/>
          </w:tcBorders>
        </w:tcPr>
        <w:p w14:paraId="36CA3647" w14:textId="77777777" w:rsidR="00EE57E8" w:rsidRDefault="00EE57E8" w:rsidP="00EE57E8">
          <w:pPr>
            <w:spacing w:line="0" w:lineRule="atLeast"/>
            <w:rPr>
              <w:sz w:val="18"/>
            </w:rPr>
          </w:pPr>
        </w:p>
      </w:tc>
      <w:tc>
        <w:tcPr>
          <w:tcW w:w="6379" w:type="dxa"/>
          <w:tcBorders>
            <w:top w:val="nil"/>
            <w:left w:val="nil"/>
            <w:bottom w:val="nil"/>
            <w:right w:val="nil"/>
          </w:tcBorders>
        </w:tcPr>
        <w:p w14:paraId="069108AE" w14:textId="30B6FC4A"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822A2">
            <w:rPr>
              <w:i/>
              <w:noProof/>
              <w:sz w:val="18"/>
            </w:rPr>
            <w:t>Migration Amendment (Skills in Demand Visa and Related Matters) Instrument 2024</w:t>
          </w:r>
          <w:r w:rsidRPr="00B20990">
            <w:rPr>
              <w:i/>
              <w:sz w:val="18"/>
            </w:rPr>
            <w:fldChar w:fldCharType="end"/>
          </w:r>
        </w:p>
      </w:tc>
      <w:tc>
        <w:tcPr>
          <w:tcW w:w="709" w:type="dxa"/>
          <w:tcBorders>
            <w:top w:val="nil"/>
            <w:left w:val="nil"/>
            <w:bottom w:val="nil"/>
            <w:right w:val="nil"/>
          </w:tcBorders>
        </w:tcPr>
        <w:p w14:paraId="0506A83F" w14:textId="59EB1121"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822A2">
            <w:rPr>
              <w:i/>
              <w:noProof/>
              <w:sz w:val="18"/>
            </w:rPr>
            <w:t>11</w:t>
          </w:r>
          <w:r w:rsidRPr="00ED79B6">
            <w:rPr>
              <w:i/>
              <w:sz w:val="18"/>
            </w:rPr>
            <w:fldChar w:fldCharType="end"/>
          </w:r>
        </w:p>
      </w:tc>
    </w:tr>
    <w:tr w:rsidR="00EE57E8" w14:paraId="473533AD"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0B41276" w14:textId="77777777" w:rsidR="00EE57E8" w:rsidRDefault="00EE57E8" w:rsidP="00EE57E8">
          <w:pPr>
            <w:rPr>
              <w:sz w:val="18"/>
            </w:rPr>
          </w:pPr>
        </w:p>
      </w:tc>
    </w:tr>
  </w:tbl>
  <w:p w14:paraId="5F0C4299"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3443F"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6AE2D7C6" w14:textId="77777777" w:rsidTr="007A6863">
      <w:tc>
        <w:tcPr>
          <w:tcW w:w="1384" w:type="dxa"/>
          <w:tcBorders>
            <w:top w:val="nil"/>
            <w:left w:val="nil"/>
            <w:bottom w:val="nil"/>
            <w:right w:val="nil"/>
          </w:tcBorders>
        </w:tcPr>
        <w:p w14:paraId="2E0DE21B" w14:textId="77777777" w:rsidR="00EE57E8" w:rsidRDefault="00EE57E8" w:rsidP="00EE57E8">
          <w:pPr>
            <w:spacing w:line="0" w:lineRule="atLeast"/>
            <w:rPr>
              <w:sz w:val="18"/>
            </w:rPr>
          </w:pPr>
        </w:p>
      </w:tc>
      <w:tc>
        <w:tcPr>
          <w:tcW w:w="6379" w:type="dxa"/>
          <w:tcBorders>
            <w:top w:val="nil"/>
            <w:left w:val="nil"/>
            <w:bottom w:val="nil"/>
            <w:right w:val="nil"/>
          </w:tcBorders>
        </w:tcPr>
        <w:p w14:paraId="65A7E8A5"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0717A">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7594DCAD"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1B3B48C2"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B7CBBBF" w14:textId="5FBEC1AC"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D0717A">
            <w:rPr>
              <w:i/>
              <w:noProof/>
              <w:sz w:val="18"/>
            </w:rPr>
            <w:t>\\din.bcz.gov.au\users\CBR09\GG92RC\home\Desktop\Migration Amd (Skilled Visas and Related Matters) Instrument 2024 (002).docx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7822A2">
            <w:rPr>
              <w:i/>
              <w:noProof/>
              <w:sz w:val="18"/>
            </w:rPr>
            <w:t>6/12/2024 10:50 AM</w:t>
          </w:r>
          <w:r w:rsidRPr="00ED79B6">
            <w:rPr>
              <w:i/>
              <w:sz w:val="18"/>
            </w:rPr>
            <w:fldChar w:fldCharType="end"/>
          </w:r>
        </w:p>
      </w:tc>
    </w:tr>
  </w:tbl>
  <w:p w14:paraId="4C63010F"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74C24" w14:textId="77777777" w:rsidR="00217248" w:rsidRDefault="00217248" w:rsidP="0048364F">
      <w:pPr>
        <w:spacing w:line="240" w:lineRule="auto"/>
      </w:pPr>
      <w:r>
        <w:separator/>
      </w:r>
    </w:p>
  </w:footnote>
  <w:footnote w:type="continuationSeparator" w:id="0">
    <w:p w14:paraId="23B7BDB0" w14:textId="77777777" w:rsidR="00217248" w:rsidRDefault="0021724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3D103"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5C014"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D9B95"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F4368"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87DB5"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619B5"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9A4C1" w14:textId="77777777" w:rsidR="00EE57E8" w:rsidRPr="00A961C4" w:rsidRDefault="00EE57E8" w:rsidP="0048364F">
    <w:pPr>
      <w:rPr>
        <w:b/>
        <w:sz w:val="20"/>
      </w:rPr>
    </w:pPr>
  </w:p>
  <w:p w14:paraId="3E623C35" w14:textId="77777777" w:rsidR="00EE57E8" w:rsidRPr="00A961C4" w:rsidRDefault="00EE57E8" w:rsidP="0048364F">
    <w:pPr>
      <w:rPr>
        <w:b/>
        <w:sz w:val="20"/>
      </w:rPr>
    </w:pPr>
  </w:p>
  <w:p w14:paraId="59AC8AA7"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33CDE" w14:textId="77777777" w:rsidR="00EE57E8" w:rsidRPr="00A961C4" w:rsidRDefault="00EE57E8" w:rsidP="0048364F">
    <w:pPr>
      <w:jc w:val="right"/>
      <w:rPr>
        <w:sz w:val="20"/>
      </w:rPr>
    </w:pPr>
  </w:p>
  <w:p w14:paraId="71E2ED68" w14:textId="77777777" w:rsidR="00EE57E8" w:rsidRPr="00A961C4" w:rsidRDefault="00EE57E8" w:rsidP="0048364F">
    <w:pPr>
      <w:jc w:val="right"/>
      <w:rPr>
        <w:b/>
        <w:sz w:val="20"/>
      </w:rPr>
    </w:pPr>
  </w:p>
  <w:p w14:paraId="29BAAA0A"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A32FD5"/>
    <w:multiLevelType w:val="hybridMultilevel"/>
    <w:tmpl w:val="5726BEB0"/>
    <w:lvl w:ilvl="0" w:tplc="1740577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15:restartNumberingAfterBreak="0">
    <w:nsid w:val="1A3773F0"/>
    <w:multiLevelType w:val="multilevel"/>
    <w:tmpl w:val="D068D210"/>
    <w:lvl w:ilvl="0">
      <w:start w:val="1"/>
      <w:numFmt w:val="lowerLetter"/>
      <w:lvlText w:val="(%1)"/>
      <w:lvlJc w:val="left"/>
      <w:pPr>
        <w:ind w:left="1069" w:hanging="360"/>
      </w:pPr>
      <w:rPr>
        <w:rFonts w:hint="default"/>
      </w:rPr>
    </w:lvl>
    <w:lvl w:ilvl="1">
      <w:start w:val="1"/>
      <w:numFmt w:val="lowerRoman"/>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55347696"/>
    <w:multiLevelType w:val="hybridMultilevel"/>
    <w:tmpl w:val="36AA9DCE"/>
    <w:lvl w:ilvl="0" w:tplc="6F5697D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15:restartNumberingAfterBreak="0">
    <w:nsid w:val="6864034F"/>
    <w:multiLevelType w:val="hybridMultilevel"/>
    <w:tmpl w:val="FD8EEF6A"/>
    <w:lvl w:ilvl="0" w:tplc="DC56580A">
      <w:start w:val="1"/>
      <w:numFmt w:val="decimal"/>
      <w:lvlText w:val="(%1)"/>
      <w:lvlJc w:val="left"/>
      <w:pPr>
        <w:ind w:left="1128" w:hanging="360"/>
      </w:pPr>
      <w:rPr>
        <w:rFonts w:hint="default"/>
      </w:rPr>
    </w:lvl>
    <w:lvl w:ilvl="1" w:tplc="0C090019" w:tentative="1">
      <w:start w:val="1"/>
      <w:numFmt w:val="lowerLetter"/>
      <w:lvlText w:val="%2."/>
      <w:lvlJc w:val="left"/>
      <w:pPr>
        <w:ind w:left="1848" w:hanging="360"/>
      </w:pPr>
    </w:lvl>
    <w:lvl w:ilvl="2" w:tplc="0C09001B" w:tentative="1">
      <w:start w:val="1"/>
      <w:numFmt w:val="lowerRoman"/>
      <w:lvlText w:val="%3."/>
      <w:lvlJc w:val="right"/>
      <w:pPr>
        <w:ind w:left="2568" w:hanging="180"/>
      </w:pPr>
    </w:lvl>
    <w:lvl w:ilvl="3" w:tplc="0C09000F" w:tentative="1">
      <w:start w:val="1"/>
      <w:numFmt w:val="decimal"/>
      <w:lvlText w:val="%4."/>
      <w:lvlJc w:val="left"/>
      <w:pPr>
        <w:ind w:left="3288" w:hanging="360"/>
      </w:pPr>
    </w:lvl>
    <w:lvl w:ilvl="4" w:tplc="0C090019" w:tentative="1">
      <w:start w:val="1"/>
      <w:numFmt w:val="lowerLetter"/>
      <w:lvlText w:val="%5."/>
      <w:lvlJc w:val="left"/>
      <w:pPr>
        <w:ind w:left="4008" w:hanging="360"/>
      </w:pPr>
    </w:lvl>
    <w:lvl w:ilvl="5" w:tplc="0C09001B" w:tentative="1">
      <w:start w:val="1"/>
      <w:numFmt w:val="lowerRoman"/>
      <w:lvlText w:val="%6."/>
      <w:lvlJc w:val="right"/>
      <w:pPr>
        <w:ind w:left="4728" w:hanging="180"/>
      </w:pPr>
    </w:lvl>
    <w:lvl w:ilvl="6" w:tplc="0C09000F" w:tentative="1">
      <w:start w:val="1"/>
      <w:numFmt w:val="decimal"/>
      <w:lvlText w:val="%7."/>
      <w:lvlJc w:val="left"/>
      <w:pPr>
        <w:ind w:left="5448" w:hanging="360"/>
      </w:pPr>
    </w:lvl>
    <w:lvl w:ilvl="7" w:tplc="0C090019" w:tentative="1">
      <w:start w:val="1"/>
      <w:numFmt w:val="lowerLetter"/>
      <w:lvlText w:val="%8."/>
      <w:lvlJc w:val="left"/>
      <w:pPr>
        <w:ind w:left="6168" w:hanging="360"/>
      </w:pPr>
    </w:lvl>
    <w:lvl w:ilvl="8" w:tplc="0C09001B" w:tentative="1">
      <w:start w:val="1"/>
      <w:numFmt w:val="lowerRoman"/>
      <w:lvlText w:val="%9."/>
      <w:lvlJc w:val="right"/>
      <w:pPr>
        <w:ind w:left="6888" w:hanging="180"/>
      </w:pPr>
    </w:lvl>
  </w:abstractNum>
  <w:abstractNum w:abstractNumId="17" w15:restartNumberingAfterBreak="0">
    <w:nsid w:val="7EF00913"/>
    <w:multiLevelType w:val="hybridMultilevel"/>
    <w:tmpl w:val="F78C55B6"/>
    <w:lvl w:ilvl="0" w:tplc="A6E082F2">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3"/>
  </w:num>
  <w:num w:numId="14">
    <w:abstractNumId w:val="11"/>
  </w:num>
  <w:num w:numId="15">
    <w:abstractNumId w:val="17"/>
  </w:num>
  <w:num w:numId="16">
    <w:abstractNumId w:val="15"/>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765"/>
    <w:rsid w:val="00000263"/>
    <w:rsid w:val="000113BC"/>
    <w:rsid w:val="000136AF"/>
    <w:rsid w:val="0003407F"/>
    <w:rsid w:val="0004044E"/>
    <w:rsid w:val="0005120E"/>
    <w:rsid w:val="00054577"/>
    <w:rsid w:val="000614BF"/>
    <w:rsid w:val="00063F73"/>
    <w:rsid w:val="0007169C"/>
    <w:rsid w:val="00077593"/>
    <w:rsid w:val="00083F48"/>
    <w:rsid w:val="000A479A"/>
    <w:rsid w:val="000A7DF9"/>
    <w:rsid w:val="000C51D0"/>
    <w:rsid w:val="000D05EF"/>
    <w:rsid w:val="000D3FB9"/>
    <w:rsid w:val="000D5485"/>
    <w:rsid w:val="000E598E"/>
    <w:rsid w:val="000E5A3D"/>
    <w:rsid w:val="000F0ADA"/>
    <w:rsid w:val="000F21C1"/>
    <w:rsid w:val="0010745C"/>
    <w:rsid w:val="001122FF"/>
    <w:rsid w:val="001578C7"/>
    <w:rsid w:val="00160BD7"/>
    <w:rsid w:val="001643C9"/>
    <w:rsid w:val="00165568"/>
    <w:rsid w:val="00166082"/>
    <w:rsid w:val="00166C2F"/>
    <w:rsid w:val="001716C9"/>
    <w:rsid w:val="00184261"/>
    <w:rsid w:val="00186E8B"/>
    <w:rsid w:val="00193461"/>
    <w:rsid w:val="001939E1"/>
    <w:rsid w:val="0019452E"/>
    <w:rsid w:val="00195382"/>
    <w:rsid w:val="001A3B9F"/>
    <w:rsid w:val="001A3E60"/>
    <w:rsid w:val="001A5520"/>
    <w:rsid w:val="001A65C0"/>
    <w:rsid w:val="001B7A5D"/>
    <w:rsid w:val="001C69C4"/>
    <w:rsid w:val="001E0A8D"/>
    <w:rsid w:val="001E3590"/>
    <w:rsid w:val="001E7407"/>
    <w:rsid w:val="001F1A46"/>
    <w:rsid w:val="001F4C71"/>
    <w:rsid w:val="00201D27"/>
    <w:rsid w:val="0021153A"/>
    <w:rsid w:val="00217248"/>
    <w:rsid w:val="002245A6"/>
    <w:rsid w:val="002302EA"/>
    <w:rsid w:val="00237614"/>
    <w:rsid w:val="00240749"/>
    <w:rsid w:val="002468D7"/>
    <w:rsid w:val="00247E97"/>
    <w:rsid w:val="00256C81"/>
    <w:rsid w:val="00272E9E"/>
    <w:rsid w:val="00274608"/>
    <w:rsid w:val="00285CDD"/>
    <w:rsid w:val="00290CF9"/>
    <w:rsid w:val="00291167"/>
    <w:rsid w:val="0029489E"/>
    <w:rsid w:val="00297ECB"/>
    <w:rsid w:val="002C152A"/>
    <w:rsid w:val="002C48B7"/>
    <w:rsid w:val="002D043A"/>
    <w:rsid w:val="00302C8E"/>
    <w:rsid w:val="0031713F"/>
    <w:rsid w:val="003222D1"/>
    <w:rsid w:val="00325C8B"/>
    <w:rsid w:val="0032750F"/>
    <w:rsid w:val="003415D3"/>
    <w:rsid w:val="003442F6"/>
    <w:rsid w:val="00346335"/>
    <w:rsid w:val="00352B0F"/>
    <w:rsid w:val="00355874"/>
    <w:rsid w:val="003561B0"/>
    <w:rsid w:val="00366D76"/>
    <w:rsid w:val="003807A6"/>
    <w:rsid w:val="00397893"/>
    <w:rsid w:val="003A15AC"/>
    <w:rsid w:val="003B0627"/>
    <w:rsid w:val="003C5F2B"/>
    <w:rsid w:val="003C7D35"/>
    <w:rsid w:val="003D0BFE"/>
    <w:rsid w:val="003D428A"/>
    <w:rsid w:val="003D5700"/>
    <w:rsid w:val="003E41FB"/>
    <w:rsid w:val="003F6F52"/>
    <w:rsid w:val="004022CA"/>
    <w:rsid w:val="004116CD"/>
    <w:rsid w:val="00414ADE"/>
    <w:rsid w:val="00424CA9"/>
    <w:rsid w:val="004257BB"/>
    <w:rsid w:val="004372C7"/>
    <w:rsid w:val="0044291A"/>
    <w:rsid w:val="004600B0"/>
    <w:rsid w:val="00460499"/>
    <w:rsid w:val="00460FBA"/>
    <w:rsid w:val="00474835"/>
    <w:rsid w:val="004819C7"/>
    <w:rsid w:val="0048364F"/>
    <w:rsid w:val="004877FC"/>
    <w:rsid w:val="00490F2E"/>
    <w:rsid w:val="00496F97"/>
    <w:rsid w:val="004A53EA"/>
    <w:rsid w:val="004A7BA0"/>
    <w:rsid w:val="004B35E7"/>
    <w:rsid w:val="004E2995"/>
    <w:rsid w:val="004F1FAC"/>
    <w:rsid w:val="004F5850"/>
    <w:rsid w:val="004F676E"/>
    <w:rsid w:val="004F71C0"/>
    <w:rsid w:val="00502087"/>
    <w:rsid w:val="00514DC7"/>
    <w:rsid w:val="00516B8D"/>
    <w:rsid w:val="0052756C"/>
    <w:rsid w:val="00530230"/>
    <w:rsid w:val="00530CC9"/>
    <w:rsid w:val="00531B46"/>
    <w:rsid w:val="005327AF"/>
    <w:rsid w:val="00537FBC"/>
    <w:rsid w:val="00541D73"/>
    <w:rsid w:val="00543469"/>
    <w:rsid w:val="00546FA3"/>
    <w:rsid w:val="00557C7A"/>
    <w:rsid w:val="00562A58"/>
    <w:rsid w:val="0056541A"/>
    <w:rsid w:val="00581211"/>
    <w:rsid w:val="00584811"/>
    <w:rsid w:val="00593AA6"/>
    <w:rsid w:val="00594161"/>
    <w:rsid w:val="00594749"/>
    <w:rsid w:val="00594956"/>
    <w:rsid w:val="005A2D35"/>
    <w:rsid w:val="005A6C65"/>
    <w:rsid w:val="005B0B12"/>
    <w:rsid w:val="005B1555"/>
    <w:rsid w:val="005B3C93"/>
    <w:rsid w:val="005B4067"/>
    <w:rsid w:val="005C3F41"/>
    <w:rsid w:val="005C4EF0"/>
    <w:rsid w:val="005D5EA1"/>
    <w:rsid w:val="005E098C"/>
    <w:rsid w:val="005E1F8D"/>
    <w:rsid w:val="005E317F"/>
    <w:rsid w:val="005E61D3"/>
    <w:rsid w:val="00600219"/>
    <w:rsid w:val="006065DA"/>
    <w:rsid w:val="00606AA4"/>
    <w:rsid w:val="00616932"/>
    <w:rsid w:val="00640402"/>
    <w:rsid w:val="00640F78"/>
    <w:rsid w:val="00655D6A"/>
    <w:rsid w:val="00656DE9"/>
    <w:rsid w:val="00672876"/>
    <w:rsid w:val="00677CC2"/>
    <w:rsid w:val="00684820"/>
    <w:rsid w:val="00685F42"/>
    <w:rsid w:val="0069207B"/>
    <w:rsid w:val="00692882"/>
    <w:rsid w:val="006A304E"/>
    <w:rsid w:val="006B0F64"/>
    <w:rsid w:val="006B6000"/>
    <w:rsid w:val="006B7006"/>
    <w:rsid w:val="006C5088"/>
    <w:rsid w:val="006C7F8C"/>
    <w:rsid w:val="006D7AB9"/>
    <w:rsid w:val="006F6160"/>
    <w:rsid w:val="00700B2C"/>
    <w:rsid w:val="00713084"/>
    <w:rsid w:val="00717463"/>
    <w:rsid w:val="00720FC2"/>
    <w:rsid w:val="00722E89"/>
    <w:rsid w:val="00731E00"/>
    <w:rsid w:val="007339C7"/>
    <w:rsid w:val="007440B7"/>
    <w:rsid w:val="00747993"/>
    <w:rsid w:val="00753765"/>
    <w:rsid w:val="007634AD"/>
    <w:rsid w:val="007715C9"/>
    <w:rsid w:val="00774EDD"/>
    <w:rsid w:val="007757EC"/>
    <w:rsid w:val="007822A2"/>
    <w:rsid w:val="007A54D9"/>
    <w:rsid w:val="007A5BDE"/>
    <w:rsid w:val="007A6863"/>
    <w:rsid w:val="007C78B4"/>
    <w:rsid w:val="007E32B6"/>
    <w:rsid w:val="007E486B"/>
    <w:rsid w:val="007E7D4A"/>
    <w:rsid w:val="007F48ED"/>
    <w:rsid w:val="007F5E3F"/>
    <w:rsid w:val="00812F45"/>
    <w:rsid w:val="00836FE9"/>
    <w:rsid w:val="0084172C"/>
    <w:rsid w:val="00843735"/>
    <w:rsid w:val="0085175E"/>
    <w:rsid w:val="00856A31"/>
    <w:rsid w:val="00867C40"/>
    <w:rsid w:val="00873277"/>
    <w:rsid w:val="008754D0"/>
    <w:rsid w:val="00877C69"/>
    <w:rsid w:val="00877D48"/>
    <w:rsid w:val="0088345B"/>
    <w:rsid w:val="008A16A5"/>
    <w:rsid w:val="008A5C57"/>
    <w:rsid w:val="008C0629"/>
    <w:rsid w:val="008D0EE0"/>
    <w:rsid w:val="008D7A27"/>
    <w:rsid w:val="008E4702"/>
    <w:rsid w:val="008E69AA"/>
    <w:rsid w:val="008F0CC3"/>
    <w:rsid w:val="008F4F1C"/>
    <w:rsid w:val="009069AD"/>
    <w:rsid w:val="00910E64"/>
    <w:rsid w:val="00922764"/>
    <w:rsid w:val="009278C1"/>
    <w:rsid w:val="00932377"/>
    <w:rsid w:val="009346E3"/>
    <w:rsid w:val="0094523D"/>
    <w:rsid w:val="00976A63"/>
    <w:rsid w:val="009B2490"/>
    <w:rsid w:val="009B50E5"/>
    <w:rsid w:val="009C3431"/>
    <w:rsid w:val="009C5989"/>
    <w:rsid w:val="009C6A32"/>
    <w:rsid w:val="009D08DA"/>
    <w:rsid w:val="009E1CB2"/>
    <w:rsid w:val="00A06860"/>
    <w:rsid w:val="00A136F5"/>
    <w:rsid w:val="00A231E2"/>
    <w:rsid w:val="00A2550D"/>
    <w:rsid w:val="00A379BB"/>
    <w:rsid w:val="00A4169B"/>
    <w:rsid w:val="00A50D55"/>
    <w:rsid w:val="00A52FDA"/>
    <w:rsid w:val="00A64912"/>
    <w:rsid w:val="00A70A74"/>
    <w:rsid w:val="00A73083"/>
    <w:rsid w:val="00A9231A"/>
    <w:rsid w:val="00A95BC7"/>
    <w:rsid w:val="00AA0343"/>
    <w:rsid w:val="00AA5DBA"/>
    <w:rsid w:val="00AA78CE"/>
    <w:rsid w:val="00AA7B26"/>
    <w:rsid w:val="00AC767C"/>
    <w:rsid w:val="00AD3467"/>
    <w:rsid w:val="00AD5641"/>
    <w:rsid w:val="00AF33DB"/>
    <w:rsid w:val="00B032D8"/>
    <w:rsid w:val="00B05D72"/>
    <w:rsid w:val="00B20990"/>
    <w:rsid w:val="00B23FAF"/>
    <w:rsid w:val="00B33B3C"/>
    <w:rsid w:val="00B34AA4"/>
    <w:rsid w:val="00B40D74"/>
    <w:rsid w:val="00B41F84"/>
    <w:rsid w:val="00B42649"/>
    <w:rsid w:val="00B46467"/>
    <w:rsid w:val="00B52663"/>
    <w:rsid w:val="00B56DCB"/>
    <w:rsid w:val="00B61728"/>
    <w:rsid w:val="00B651FF"/>
    <w:rsid w:val="00B67C33"/>
    <w:rsid w:val="00B770D2"/>
    <w:rsid w:val="00B93516"/>
    <w:rsid w:val="00B96776"/>
    <w:rsid w:val="00B973E5"/>
    <w:rsid w:val="00BA47A3"/>
    <w:rsid w:val="00BA5026"/>
    <w:rsid w:val="00BA7B5B"/>
    <w:rsid w:val="00BB5557"/>
    <w:rsid w:val="00BB6E79"/>
    <w:rsid w:val="00BD193A"/>
    <w:rsid w:val="00BE42C5"/>
    <w:rsid w:val="00BE719A"/>
    <w:rsid w:val="00BE720A"/>
    <w:rsid w:val="00BF0723"/>
    <w:rsid w:val="00BF6650"/>
    <w:rsid w:val="00C067E5"/>
    <w:rsid w:val="00C15A3B"/>
    <w:rsid w:val="00C164CA"/>
    <w:rsid w:val="00C26051"/>
    <w:rsid w:val="00C42BF8"/>
    <w:rsid w:val="00C460AE"/>
    <w:rsid w:val="00C50043"/>
    <w:rsid w:val="00C5015F"/>
    <w:rsid w:val="00C50A0F"/>
    <w:rsid w:val="00C50F4A"/>
    <w:rsid w:val="00C6340F"/>
    <w:rsid w:val="00C72D10"/>
    <w:rsid w:val="00C7573B"/>
    <w:rsid w:val="00C76CF3"/>
    <w:rsid w:val="00C93205"/>
    <w:rsid w:val="00C945DC"/>
    <w:rsid w:val="00CA7844"/>
    <w:rsid w:val="00CB58EF"/>
    <w:rsid w:val="00CD66C0"/>
    <w:rsid w:val="00CE0A93"/>
    <w:rsid w:val="00CF0BB2"/>
    <w:rsid w:val="00D0717A"/>
    <w:rsid w:val="00D12B0D"/>
    <w:rsid w:val="00D130B2"/>
    <w:rsid w:val="00D13441"/>
    <w:rsid w:val="00D243A3"/>
    <w:rsid w:val="00D33440"/>
    <w:rsid w:val="00D52EFE"/>
    <w:rsid w:val="00D56A0D"/>
    <w:rsid w:val="00D56B81"/>
    <w:rsid w:val="00D62D6E"/>
    <w:rsid w:val="00D63EF6"/>
    <w:rsid w:val="00D66518"/>
    <w:rsid w:val="00D70DFB"/>
    <w:rsid w:val="00D71EEA"/>
    <w:rsid w:val="00D735CD"/>
    <w:rsid w:val="00D766DF"/>
    <w:rsid w:val="00D90841"/>
    <w:rsid w:val="00DA2439"/>
    <w:rsid w:val="00DA6F05"/>
    <w:rsid w:val="00DB64FC"/>
    <w:rsid w:val="00DE149E"/>
    <w:rsid w:val="00E034DB"/>
    <w:rsid w:val="00E05704"/>
    <w:rsid w:val="00E12F1A"/>
    <w:rsid w:val="00E22935"/>
    <w:rsid w:val="00E42FD3"/>
    <w:rsid w:val="00E4446B"/>
    <w:rsid w:val="00E54292"/>
    <w:rsid w:val="00E60191"/>
    <w:rsid w:val="00E7280C"/>
    <w:rsid w:val="00E74DC7"/>
    <w:rsid w:val="00E87699"/>
    <w:rsid w:val="00E92E27"/>
    <w:rsid w:val="00E9586B"/>
    <w:rsid w:val="00E97334"/>
    <w:rsid w:val="00EA57C7"/>
    <w:rsid w:val="00EB3A99"/>
    <w:rsid w:val="00EB65F8"/>
    <w:rsid w:val="00EC4221"/>
    <w:rsid w:val="00ED4928"/>
    <w:rsid w:val="00EE1B8A"/>
    <w:rsid w:val="00EE3FFE"/>
    <w:rsid w:val="00EE57E8"/>
    <w:rsid w:val="00EE6190"/>
    <w:rsid w:val="00EE7321"/>
    <w:rsid w:val="00EF2E3A"/>
    <w:rsid w:val="00EF6402"/>
    <w:rsid w:val="00F047E2"/>
    <w:rsid w:val="00F04D57"/>
    <w:rsid w:val="00F078DC"/>
    <w:rsid w:val="00F13E86"/>
    <w:rsid w:val="00F20B52"/>
    <w:rsid w:val="00F32FCB"/>
    <w:rsid w:val="00F33523"/>
    <w:rsid w:val="00F677A9"/>
    <w:rsid w:val="00F8121C"/>
    <w:rsid w:val="00F84CF5"/>
    <w:rsid w:val="00F8612E"/>
    <w:rsid w:val="00F94583"/>
    <w:rsid w:val="00FA420B"/>
    <w:rsid w:val="00FB6AEE"/>
    <w:rsid w:val="00FC3EAC"/>
    <w:rsid w:val="00FE09BA"/>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AE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qFormat/>
    <w:rsid w:val="00A231E2"/>
  </w:style>
  <w:style w:type="character" w:customStyle="1" w:styleId="CharAmPartText">
    <w:name w:val="CharAmPartText"/>
    <w:basedOn w:val="OPCCharBase"/>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E7280C"/>
  </w:style>
  <w:style w:type="paragraph" w:customStyle="1" w:styleId="LDSecHead">
    <w:name w:val="LDSecHead"/>
    <w:next w:val="LDSec1"/>
    <w:link w:val="LDSecHeadChar"/>
    <w:rsid w:val="00355874"/>
    <w:pPr>
      <w:keepNext/>
      <w:tabs>
        <w:tab w:val="left" w:pos="737"/>
      </w:tabs>
      <w:spacing w:before="180" w:after="60" w:line="259" w:lineRule="auto"/>
      <w:ind w:left="737" w:hanging="737"/>
      <w:outlineLvl w:val="3"/>
    </w:pPr>
    <w:rPr>
      <w:rFonts w:ascii="Arial" w:eastAsia="Calibri" w:hAnsi="Arial" w:cs="Arial"/>
      <w:b/>
      <w:sz w:val="22"/>
      <w:szCs w:val="22"/>
    </w:rPr>
  </w:style>
  <w:style w:type="character" w:customStyle="1" w:styleId="LDSecHeadChar">
    <w:name w:val="LDSecHead Char"/>
    <w:link w:val="LDSecHead"/>
    <w:locked/>
    <w:rsid w:val="00355874"/>
    <w:rPr>
      <w:rFonts w:ascii="Arial" w:eastAsia="Calibri" w:hAnsi="Arial" w:cs="Arial"/>
      <w:b/>
      <w:sz w:val="22"/>
      <w:szCs w:val="22"/>
    </w:rPr>
  </w:style>
  <w:style w:type="paragraph" w:customStyle="1" w:styleId="LDSec1">
    <w:name w:val="LDSec(1)"/>
    <w:link w:val="LDSec1Char"/>
    <w:rsid w:val="00355874"/>
    <w:pPr>
      <w:tabs>
        <w:tab w:val="right" w:pos="454"/>
        <w:tab w:val="left" w:pos="737"/>
      </w:tabs>
      <w:spacing w:before="60" w:after="60"/>
      <w:ind w:left="737" w:hanging="1021"/>
    </w:pPr>
    <w:rPr>
      <w:rFonts w:eastAsia="Times New Roman" w:cs="Times New Roman"/>
      <w:sz w:val="24"/>
      <w:szCs w:val="24"/>
    </w:rPr>
  </w:style>
  <w:style w:type="character" w:customStyle="1" w:styleId="LDSec1Char">
    <w:name w:val="LDSec(1) Char"/>
    <w:basedOn w:val="DefaultParagraphFont"/>
    <w:link w:val="LDSec1"/>
    <w:rsid w:val="00355874"/>
    <w:rPr>
      <w:rFonts w:eastAsia="Times New Roman" w:cs="Times New Roman"/>
      <w:sz w:val="24"/>
      <w:szCs w:val="24"/>
    </w:rPr>
  </w:style>
  <w:style w:type="paragraph" w:customStyle="1" w:styleId="LDP1a">
    <w:name w:val="LDP1(a)"/>
    <w:link w:val="LDP1aChar"/>
    <w:rsid w:val="00E42FD3"/>
    <w:pPr>
      <w:tabs>
        <w:tab w:val="left" w:pos="1191"/>
      </w:tabs>
      <w:spacing w:before="60" w:after="60"/>
      <w:ind w:left="1191" w:hanging="454"/>
    </w:pPr>
    <w:rPr>
      <w:rFonts w:eastAsia="Times New Roman" w:cs="Times New Roman"/>
      <w:sz w:val="24"/>
      <w:szCs w:val="24"/>
    </w:rPr>
  </w:style>
  <w:style w:type="character" w:customStyle="1" w:styleId="LDP1aChar">
    <w:name w:val="LDP1(a) Char"/>
    <w:link w:val="LDP1a"/>
    <w:locked/>
    <w:rsid w:val="00E42FD3"/>
    <w:rPr>
      <w:rFonts w:eastAsia="Times New Roman" w:cs="Times New Roman"/>
      <w:sz w:val="24"/>
      <w:szCs w:val="24"/>
    </w:rPr>
  </w:style>
  <w:style w:type="paragraph" w:customStyle="1" w:styleId="LDP2i">
    <w:name w:val="LDP2(i)"/>
    <w:link w:val="LDP2iChar"/>
    <w:rsid w:val="00E42FD3"/>
    <w:pPr>
      <w:tabs>
        <w:tab w:val="right" w:pos="1418"/>
        <w:tab w:val="left" w:pos="1559"/>
      </w:tabs>
      <w:ind w:left="1588" w:hanging="1134"/>
    </w:pPr>
    <w:rPr>
      <w:rFonts w:eastAsia="Times New Roman" w:cs="Times New Roman"/>
      <w:sz w:val="24"/>
      <w:szCs w:val="24"/>
    </w:rPr>
  </w:style>
  <w:style w:type="character" w:customStyle="1" w:styleId="LDP2iChar">
    <w:name w:val="LDP2(i) Char"/>
    <w:link w:val="LDP2i"/>
    <w:locked/>
    <w:rsid w:val="00E42FD3"/>
    <w:rPr>
      <w:rFonts w:eastAsia="Times New Roman" w:cs="Times New Roman"/>
      <w:sz w:val="24"/>
      <w:szCs w:val="24"/>
    </w:rPr>
  </w:style>
  <w:style w:type="character" w:customStyle="1" w:styleId="paragraphChar">
    <w:name w:val="paragraph Char"/>
    <w:aliases w:val="a Char"/>
    <w:link w:val="paragraph"/>
    <w:locked/>
    <w:rsid w:val="00E42FD3"/>
    <w:rPr>
      <w:rFonts w:eastAsia="Times New Roman" w:cs="Times New Roman"/>
      <w:sz w:val="22"/>
      <w:lang w:eastAsia="en-AU"/>
    </w:rPr>
  </w:style>
  <w:style w:type="character" w:customStyle="1" w:styleId="ActHead5Char">
    <w:name w:val="ActHead 5 Char"/>
    <w:aliases w:val="s Char"/>
    <w:basedOn w:val="DefaultParagraphFont"/>
    <w:link w:val="ActHead5"/>
    <w:rsid w:val="00E42FD3"/>
    <w:rPr>
      <w:rFonts w:eastAsia="Times New Roman" w:cs="Times New Roman"/>
      <w:b/>
      <w:kern w:val="28"/>
      <w:sz w:val="24"/>
      <w:lang w:eastAsia="en-AU"/>
    </w:rPr>
  </w:style>
  <w:style w:type="character" w:styleId="CommentReference">
    <w:name w:val="annotation reference"/>
    <w:basedOn w:val="DefaultParagraphFont"/>
    <w:uiPriority w:val="99"/>
    <w:semiHidden/>
    <w:unhideWhenUsed/>
    <w:rsid w:val="00692882"/>
    <w:rPr>
      <w:sz w:val="16"/>
      <w:szCs w:val="16"/>
    </w:rPr>
  </w:style>
  <w:style w:type="paragraph" w:styleId="CommentText">
    <w:name w:val="annotation text"/>
    <w:basedOn w:val="Normal"/>
    <w:link w:val="CommentTextChar"/>
    <w:uiPriority w:val="99"/>
    <w:semiHidden/>
    <w:unhideWhenUsed/>
    <w:rsid w:val="00692882"/>
    <w:pPr>
      <w:spacing w:line="240" w:lineRule="auto"/>
    </w:pPr>
    <w:rPr>
      <w:sz w:val="20"/>
    </w:rPr>
  </w:style>
  <w:style w:type="character" w:customStyle="1" w:styleId="CommentTextChar">
    <w:name w:val="Comment Text Char"/>
    <w:basedOn w:val="DefaultParagraphFont"/>
    <w:link w:val="CommentText"/>
    <w:uiPriority w:val="99"/>
    <w:semiHidden/>
    <w:rsid w:val="00692882"/>
  </w:style>
  <w:style w:type="paragraph" w:styleId="CommentSubject">
    <w:name w:val="annotation subject"/>
    <w:basedOn w:val="CommentText"/>
    <w:next w:val="CommentText"/>
    <w:link w:val="CommentSubjectChar"/>
    <w:uiPriority w:val="99"/>
    <w:semiHidden/>
    <w:unhideWhenUsed/>
    <w:rsid w:val="007A54D9"/>
    <w:rPr>
      <w:b/>
      <w:bCs/>
    </w:rPr>
  </w:style>
  <w:style w:type="character" w:customStyle="1" w:styleId="CommentSubjectChar">
    <w:name w:val="Comment Subject Char"/>
    <w:basedOn w:val="CommentTextChar"/>
    <w:link w:val="CommentSubject"/>
    <w:uiPriority w:val="99"/>
    <w:semiHidden/>
    <w:rsid w:val="007A54D9"/>
    <w:rPr>
      <w:b/>
      <w:bCs/>
    </w:rPr>
  </w:style>
  <w:style w:type="paragraph" w:styleId="Revision">
    <w:name w:val="Revision"/>
    <w:hidden/>
    <w:uiPriority w:val="99"/>
    <w:semiHidden/>
    <w:rsid w:val="00272E9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26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2182</Words>
  <Characters>12442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2024-12-05T23:32:00Z</dcterms:created>
  <dcterms:modified xsi:type="dcterms:W3CDTF">2024-12-05T23:50:00Z</dcterms:modified>
</cp:coreProperties>
</file>