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40B" w:rsidRPr="001901E3" w:rsidRDefault="0057002B" w:rsidP="001901E3">
      <w:pPr>
        <w:pStyle w:val="ESTitleHeader"/>
        <w:rPr>
          <w:b/>
          <w:sz w:val="24"/>
          <w:szCs w:val="24"/>
        </w:rPr>
      </w:pPr>
      <w:r w:rsidRPr="001901E3">
        <w:rPr>
          <w:b/>
          <w:sz w:val="24"/>
          <w:szCs w:val="24"/>
        </w:rPr>
        <w:t>EXPLANATORY STATEMENT</w:t>
      </w:r>
    </w:p>
    <w:p w:rsidR="0057002B" w:rsidRPr="001901E3" w:rsidRDefault="0057002B" w:rsidP="001901E3">
      <w:pPr>
        <w:pStyle w:val="ESTitleDecisionMaker"/>
        <w:rPr>
          <w:sz w:val="24"/>
          <w:szCs w:val="24"/>
        </w:rPr>
      </w:pPr>
      <w:r w:rsidRPr="001901E3">
        <w:rPr>
          <w:sz w:val="24"/>
          <w:szCs w:val="24"/>
        </w:rPr>
        <w:t xml:space="preserve">Issued by authority of the </w:t>
      </w:r>
      <w:r w:rsidR="00AD2778">
        <w:rPr>
          <w:sz w:val="24"/>
          <w:szCs w:val="24"/>
        </w:rPr>
        <w:t xml:space="preserve">Assistant </w:t>
      </w:r>
      <w:r w:rsidR="00FE3E6E" w:rsidRPr="001901E3">
        <w:rPr>
          <w:sz w:val="24"/>
          <w:szCs w:val="24"/>
        </w:rPr>
        <w:t xml:space="preserve">Minister </w:t>
      </w:r>
      <w:r w:rsidR="007663A3" w:rsidRPr="001901E3">
        <w:rPr>
          <w:sz w:val="24"/>
          <w:szCs w:val="24"/>
        </w:rPr>
        <w:t xml:space="preserve">for </w:t>
      </w:r>
      <w:r w:rsidR="00AD2778">
        <w:rPr>
          <w:sz w:val="24"/>
          <w:szCs w:val="24"/>
        </w:rPr>
        <w:t>Citizenship</w:t>
      </w:r>
      <w:r w:rsidR="00AD2778" w:rsidRPr="001901E3">
        <w:rPr>
          <w:sz w:val="24"/>
          <w:szCs w:val="24"/>
        </w:rPr>
        <w:t xml:space="preserve"> </w:t>
      </w:r>
      <w:r w:rsidR="00154D99" w:rsidRPr="001901E3">
        <w:rPr>
          <w:sz w:val="24"/>
          <w:szCs w:val="24"/>
        </w:rPr>
        <w:t>and Multicultural Affairs</w:t>
      </w:r>
    </w:p>
    <w:p w:rsidR="0057002B" w:rsidRPr="001901E3" w:rsidRDefault="00DB6A92" w:rsidP="001901E3">
      <w:pPr>
        <w:pStyle w:val="ESTitleEnablingLegislation"/>
        <w:rPr>
          <w:sz w:val="24"/>
          <w:szCs w:val="24"/>
        </w:rPr>
      </w:pPr>
      <w:r w:rsidRPr="001901E3">
        <w:rPr>
          <w:sz w:val="24"/>
          <w:szCs w:val="24"/>
        </w:rPr>
        <w:t>Migration Regulations </w:t>
      </w:r>
      <w:r w:rsidR="00FE3E6E" w:rsidRPr="001901E3">
        <w:rPr>
          <w:sz w:val="24"/>
          <w:szCs w:val="24"/>
        </w:rPr>
        <w:t>1994</w:t>
      </w:r>
    </w:p>
    <w:p w:rsidR="00DB6A92" w:rsidRPr="001901E3" w:rsidRDefault="006A1AFE" w:rsidP="006A1AFE">
      <w:pPr>
        <w:pStyle w:val="ESParagraph"/>
        <w:jc w:val="center"/>
        <w:rPr>
          <w:b/>
          <w:i/>
          <w:sz w:val="24"/>
          <w:szCs w:val="24"/>
        </w:rPr>
      </w:pPr>
      <w:r w:rsidRPr="006A1AFE">
        <w:rPr>
          <w:b/>
          <w:i/>
          <w:sz w:val="24"/>
          <w:szCs w:val="24"/>
        </w:rPr>
        <w:t>Migration Amendment (Caveats) Specification 2024</w:t>
      </w:r>
    </w:p>
    <w:p w:rsidR="0057002B" w:rsidRPr="001901E3" w:rsidRDefault="0057002B" w:rsidP="001901E3">
      <w:pPr>
        <w:pStyle w:val="ESPara"/>
        <w:numPr>
          <w:ilvl w:val="0"/>
          <w:numId w:val="0"/>
        </w:numPr>
        <w:rPr>
          <w:sz w:val="24"/>
          <w:szCs w:val="24"/>
        </w:rPr>
      </w:pPr>
      <w:r w:rsidRPr="001901E3">
        <w:rPr>
          <w:sz w:val="24"/>
          <w:szCs w:val="24"/>
        </w:rPr>
        <w:t>The instrument</w:t>
      </w:r>
      <w:r w:rsidR="00660DA8">
        <w:rPr>
          <w:sz w:val="24"/>
          <w:szCs w:val="24"/>
        </w:rPr>
        <w:t xml:space="preserve"> </w:t>
      </w:r>
      <w:r w:rsidR="006A1AFE" w:rsidRPr="006A1AFE">
        <w:rPr>
          <w:i/>
          <w:sz w:val="24"/>
          <w:szCs w:val="24"/>
        </w:rPr>
        <w:t>Migration Amendment (Caveats) Specification 2024</w:t>
      </w:r>
      <w:r w:rsidR="00660DA8" w:rsidRPr="00660DA8">
        <w:rPr>
          <w:i/>
          <w:sz w:val="24"/>
          <w:szCs w:val="24"/>
        </w:rPr>
        <w:t xml:space="preserve"> </w:t>
      </w:r>
      <w:r w:rsidR="00660DA8">
        <w:rPr>
          <w:sz w:val="24"/>
          <w:szCs w:val="24"/>
        </w:rPr>
        <w:t>(</w:t>
      </w:r>
      <w:r w:rsidR="00DB6A92" w:rsidRPr="001901E3">
        <w:rPr>
          <w:sz w:val="24"/>
          <w:szCs w:val="24"/>
        </w:rPr>
        <w:t>LIN 24/</w:t>
      </w:r>
      <w:r w:rsidR="006A1AFE">
        <w:rPr>
          <w:sz w:val="24"/>
          <w:szCs w:val="24"/>
        </w:rPr>
        <w:t>108</w:t>
      </w:r>
      <w:r w:rsidR="00660DA8">
        <w:rPr>
          <w:sz w:val="24"/>
          <w:szCs w:val="24"/>
        </w:rPr>
        <w:t>)</w:t>
      </w:r>
      <w:r w:rsidR="00DB6A92" w:rsidRPr="001901E3">
        <w:rPr>
          <w:sz w:val="24"/>
          <w:szCs w:val="24"/>
        </w:rPr>
        <w:t xml:space="preserve"> </w:t>
      </w:r>
      <w:r w:rsidRPr="001901E3">
        <w:rPr>
          <w:sz w:val="24"/>
          <w:szCs w:val="24"/>
        </w:rPr>
        <w:t xml:space="preserve">is made under </w:t>
      </w:r>
      <w:r w:rsidR="00DB6A92" w:rsidRPr="001901E3">
        <w:rPr>
          <w:sz w:val="24"/>
          <w:szCs w:val="24"/>
        </w:rPr>
        <w:t xml:space="preserve">the </w:t>
      </w:r>
      <w:r w:rsidRPr="001901E3">
        <w:rPr>
          <w:i/>
          <w:sz w:val="24"/>
          <w:szCs w:val="24"/>
        </w:rPr>
        <w:t>Migration Regulations 1994</w:t>
      </w:r>
      <w:r w:rsidR="00DB6A92" w:rsidRPr="001901E3">
        <w:rPr>
          <w:sz w:val="24"/>
          <w:szCs w:val="24"/>
        </w:rPr>
        <w:t xml:space="preserve"> (the </w:t>
      </w:r>
      <w:r w:rsidR="00DB6A92" w:rsidRPr="00660DA8">
        <w:rPr>
          <w:sz w:val="24"/>
          <w:szCs w:val="24"/>
        </w:rPr>
        <w:t>Migration Regulations</w:t>
      </w:r>
      <w:r w:rsidR="00DB6A92" w:rsidRPr="001901E3">
        <w:rPr>
          <w:sz w:val="24"/>
          <w:szCs w:val="24"/>
        </w:rPr>
        <w:t>).</w:t>
      </w:r>
    </w:p>
    <w:p w:rsidR="00660DA8" w:rsidRDefault="00EA12C9" w:rsidP="001901E3">
      <w:pPr>
        <w:pStyle w:val="ESPara"/>
        <w:numPr>
          <w:ilvl w:val="0"/>
          <w:numId w:val="0"/>
        </w:numPr>
        <w:rPr>
          <w:sz w:val="24"/>
          <w:szCs w:val="24"/>
        </w:rPr>
      </w:pPr>
      <w:r w:rsidRPr="001901E3">
        <w:rPr>
          <w:sz w:val="24"/>
          <w:szCs w:val="24"/>
        </w:rPr>
        <w:t>The instrument</w:t>
      </w:r>
      <w:r w:rsidR="00DB6A92" w:rsidRPr="001901E3">
        <w:rPr>
          <w:sz w:val="24"/>
          <w:szCs w:val="24"/>
        </w:rPr>
        <w:t xml:space="preserve"> amends</w:t>
      </w:r>
      <w:r w:rsidR="00660DA8">
        <w:rPr>
          <w:sz w:val="24"/>
          <w:szCs w:val="24"/>
        </w:rPr>
        <w:t>:</w:t>
      </w:r>
    </w:p>
    <w:p w:rsidR="00660DA8" w:rsidRDefault="00DB6A92" w:rsidP="006A1AFE">
      <w:pPr>
        <w:pStyle w:val="ESPara"/>
        <w:numPr>
          <w:ilvl w:val="0"/>
          <w:numId w:val="13"/>
        </w:numPr>
        <w:spacing w:before="120" w:after="120"/>
        <w:rPr>
          <w:sz w:val="24"/>
          <w:szCs w:val="24"/>
        </w:rPr>
      </w:pPr>
      <w:r w:rsidRPr="001901E3">
        <w:rPr>
          <w:sz w:val="24"/>
          <w:szCs w:val="24"/>
        </w:rPr>
        <w:t xml:space="preserve">the </w:t>
      </w:r>
      <w:r w:rsidR="006A1AFE" w:rsidRPr="006A1AFE">
        <w:rPr>
          <w:i/>
          <w:sz w:val="24"/>
          <w:szCs w:val="24"/>
        </w:rPr>
        <w:t>Migration (Specification of Occupations and Assessing Authorities—Subclass 186 Visa) Instrument 2024</w:t>
      </w:r>
      <w:r w:rsidR="004F5743" w:rsidRPr="001901E3">
        <w:rPr>
          <w:sz w:val="24"/>
          <w:szCs w:val="24"/>
        </w:rPr>
        <w:t xml:space="preserve"> (LIN 2</w:t>
      </w:r>
      <w:r w:rsidR="006A1AFE">
        <w:rPr>
          <w:sz w:val="24"/>
          <w:szCs w:val="24"/>
        </w:rPr>
        <w:t>4</w:t>
      </w:r>
      <w:r w:rsidR="004F5743" w:rsidRPr="001901E3">
        <w:rPr>
          <w:sz w:val="24"/>
          <w:szCs w:val="24"/>
        </w:rPr>
        <w:t>/0</w:t>
      </w:r>
      <w:r w:rsidR="006A1AFE">
        <w:rPr>
          <w:sz w:val="24"/>
          <w:szCs w:val="24"/>
        </w:rPr>
        <w:t>93</w:t>
      </w:r>
      <w:r w:rsidR="004F5743" w:rsidRPr="001901E3">
        <w:rPr>
          <w:sz w:val="24"/>
          <w:szCs w:val="24"/>
        </w:rPr>
        <w:t>)</w:t>
      </w:r>
      <w:r w:rsidR="00660DA8">
        <w:rPr>
          <w:sz w:val="24"/>
          <w:szCs w:val="24"/>
        </w:rPr>
        <w:t>;</w:t>
      </w:r>
      <w:r w:rsidR="004F5743" w:rsidRPr="001901E3">
        <w:rPr>
          <w:sz w:val="24"/>
          <w:szCs w:val="24"/>
        </w:rPr>
        <w:t xml:space="preserve"> and </w:t>
      </w:r>
    </w:p>
    <w:p w:rsidR="00660DA8" w:rsidRDefault="004F5743" w:rsidP="006A1AFE">
      <w:pPr>
        <w:pStyle w:val="ESPara"/>
        <w:numPr>
          <w:ilvl w:val="0"/>
          <w:numId w:val="13"/>
        </w:numPr>
        <w:spacing w:before="120" w:after="120"/>
        <w:rPr>
          <w:sz w:val="24"/>
          <w:szCs w:val="24"/>
        </w:rPr>
      </w:pPr>
      <w:r w:rsidRPr="001901E3">
        <w:rPr>
          <w:sz w:val="24"/>
          <w:szCs w:val="24"/>
        </w:rPr>
        <w:t xml:space="preserve">the </w:t>
      </w:r>
      <w:r w:rsidR="006A1AFE" w:rsidRPr="006A1AFE">
        <w:rPr>
          <w:i/>
          <w:sz w:val="24"/>
          <w:szCs w:val="24"/>
        </w:rPr>
        <w:t>Migration (Specification of Occupations—Subclass 482 Visa) Instrument 2024</w:t>
      </w:r>
      <w:r w:rsidRPr="001901E3">
        <w:rPr>
          <w:sz w:val="24"/>
          <w:szCs w:val="24"/>
        </w:rPr>
        <w:t xml:space="preserve"> (LIN 24/0</w:t>
      </w:r>
      <w:r w:rsidR="006A1AFE">
        <w:rPr>
          <w:sz w:val="24"/>
          <w:szCs w:val="24"/>
        </w:rPr>
        <w:t>89</w:t>
      </w:r>
      <w:r w:rsidRPr="001901E3">
        <w:rPr>
          <w:sz w:val="24"/>
          <w:szCs w:val="24"/>
        </w:rPr>
        <w:t>)</w:t>
      </w:r>
      <w:r w:rsidR="00DE7F35">
        <w:rPr>
          <w:sz w:val="24"/>
          <w:szCs w:val="24"/>
        </w:rPr>
        <w:t>;</w:t>
      </w:r>
      <w:bookmarkStart w:id="0" w:name="_GoBack"/>
      <w:bookmarkEnd w:id="0"/>
    </w:p>
    <w:p w:rsidR="00EA12C9" w:rsidRPr="001901E3" w:rsidRDefault="00EA12C9" w:rsidP="001901E3">
      <w:pPr>
        <w:pStyle w:val="ESPara"/>
        <w:numPr>
          <w:ilvl w:val="0"/>
          <w:numId w:val="0"/>
        </w:numPr>
        <w:rPr>
          <w:sz w:val="24"/>
          <w:szCs w:val="24"/>
        </w:rPr>
      </w:pPr>
      <w:proofErr w:type="gramStart"/>
      <w:r w:rsidRPr="001901E3">
        <w:rPr>
          <w:sz w:val="24"/>
          <w:szCs w:val="24"/>
        </w:rPr>
        <w:t>in</w:t>
      </w:r>
      <w:proofErr w:type="gramEnd"/>
      <w:r w:rsidRPr="001901E3">
        <w:rPr>
          <w:sz w:val="24"/>
          <w:szCs w:val="24"/>
        </w:rPr>
        <w:t xml:space="preserve"> accordance with subsection 33(3) of the </w:t>
      </w:r>
      <w:r w:rsidRPr="001901E3">
        <w:rPr>
          <w:i/>
          <w:sz w:val="24"/>
          <w:szCs w:val="24"/>
        </w:rPr>
        <w:t>Acts Interpretation Act 1901</w:t>
      </w:r>
      <w:r w:rsidR="00BD598E" w:rsidRPr="001901E3">
        <w:rPr>
          <w:i/>
          <w:sz w:val="24"/>
          <w:szCs w:val="24"/>
        </w:rPr>
        <w:t xml:space="preserve"> </w:t>
      </w:r>
      <w:r w:rsidR="00BD598E" w:rsidRPr="001901E3">
        <w:rPr>
          <w:sz w:val="24"/>
          <w:szCs w:val="24"/>
        </w:rPr>
        <w:t>(the Acts Interpretation Act)</w:t>
      </w:r>
      <w:r w:rsidR="004F5743" w:rsidRPr="001901E3">
        <w:rPr>
          <w:sz w:val="24"/>
          <w:szCs w:val="24"/>
        </w:rPr>
        <w:t xml:space="preserve">. </w:t>
      </w:r>
      <w:r w:rsidRPr="001901E3">
        <w:rPr>
          <w:sz w:val="24"/>
          <w:szCs w:val="24"/>
        </w:rPr>
        <w:t xml:space="preserve">That subsection </w:t>
      </w:r>
      <w:r w:rsidR="00AD4F0D">
        <w:rPr>
          <w:sz w:val="24"/>
          <w:szCs w:val="24"/>
        </w:rPr>
        <w:t xml:space="preserve">of the Acts Interpretation Act </w:t>
      </w:r>
      <w:r w:rsidRPr="001901E3">
        <w:rPr>
          <w:sz w:val="24"/>
          <w:szCs w:val="24"/>
        </w:rPr>
        <w:t xml:space="preserve">provides that </w:t>
      </w:r>
      <w:r w:rsidR="00100DFC" w:rsidRPr="001901E3">
        <w:rPr>
          <w:sz w:val="24"/>
          <w:szCs w:val="24"/>
        </w:rPr>
        <w:t>a power to make a legislative instrument includes a power to amend or repeal that instrument in the same manner, and subject to the same conditions, as the power to make the instrument</w:t>
      </w:r>
      <w:r w:rsidR="004F5743" w:rsidRPr="001901E3">
        <w:rPr>
          <w:sz w:val="24"/>
          <w:szCs w:val="24"/>
        </w:rPr>
        <w:t>.</w:t>
      </w:r>
    </w:p>
    <w:p w:rsidR="00BD598E" w:rsidRPr="001901E3" w:rsidRDefault="006A1AFE" w:rsidP="001901E3">
      <w:pPr>
        <w:pStyle w:val="ESPara"/>
        <w:numPr>
          <w:ilvl w:val="0"/>
          <w:numId w:val="0"/>
        </w:numPr>
        <w:rPr>
          <w:sz w:val="24"/>
          <w:szCs w:val="24"/>
        </w:rPr>
      </w:pPr>
      <w:r>
        <w:rPr>
          <w:sz w:val="24"/>
          <w:szCs w:val="24"/>
        </w:rPr>
        <w:t>Section 2 of the instrument provides for its commencement. Sections 1 to 4 commence on 7 December</w:t>
      </w:r>
      <w:r w:rsidR="00AD4F0D">
        <w:rPr>
          <w:sz w:val="24"/>
          <w:szCs w:val="24"/>
        </w:rPr>
        <w:t> </w:t>
      </w:r>
      <w:r>
        <w:rPr>
          <w:sz w:val="24"/>
          <w:szCs w:val="24"/>
        </w:rPr>
        <w:t>2024</w:t>
      </w:r>
      <w:r w:rsidR="00AD4F0D">
        <w:rPr>
          <w:sz w:val="24"/>
          <w:szCs w:val="24"/>
        </w:rPr>
        <w:t xml:space="preserve"> (at the start of the day)</w:t>
      </w:r>
      <w:r>
        <w:rPr>
          <w:sz w:val="24"/>
          <w:szCs w:val="24"/>
        </w:rPr>
        <w:t>. The amendments in Schedules 1 and 2 commence immediately after the commencement of LIN 24/093 and LIN 24/089 respectively.</w:t>
      </w:r>
    </w:p>
    <w:p w:rsidR="004F5743" w:rsidRPr="001901E3" w:rsidRDefault="00BD598E" w:rsidP="001901E3">
      <w:pPr>
        <w:pStyle w:val="ESHeading"/>
        <w:rPr>
          <w:sz w:val="24"/>
          <w:szCs w:val="24"/>
        </w:rPr>
      </w:pPr>
      <w:r w:rsidRPr="001901E3">
        <w:rPr>
          <w:sz w:val="24"/>
          <w:szCs w:val="24"/>
        </w:rPr>
        <w:t>Purpose</w:t>
      </w:r>
      <w:r w:rsidR="00BB0CF2" w:rsidRPr="001901E3">
        <w:rPr>
          <w:sz w:val="24"/>
          <w:szCs w:val="24"/>
        </w:rPr>
        <w:t xml:space="preserve"> </w:t>
      </w:r>
    </w:p>
    <w:p w:rsidR="0065763C" w:rsidRDefault="00F703DE" w:rsidP="0065763C">
      <w:pPr>
        <w:pStyle w:val="ESPara"/>
        <w:numPr>
          <w:ilvl w:val="0"/>
          <w:numId w:val="0"/>
        </w:numPr>
        <w:rPr>
          <w:sz w:val="24"/>
          <w:szCs w:val="24"/>
        </w:rPr>
      </w:pPr>
      <w:r w:rsidRPr="001901E3">
        <w:rPr>
          <w:sz w:val="24"/>
          <w:szCs w:val="24"/>
        </w:rPr>
        <w:t xml:space="preserve">The </w:t>
      </w:r>
      <w:r w:rsidR="000A0A2A" w:rsidRPr="000A0A2A">
        <w:rPr>
          <w:sz w:val="24"/>
          <w:szCs w:val="24"/>
        </w:rPr>
        <w:t>purpose of the instrument is to amend LIN 24/093 and LIN 24/089</w:t>
      </w:r>
      <w:r w:rsidR="000A0A2A">
        <w:rPr>
          <w:sz w:val="24"/>
          <w:szCs w:val="24"/>
        </w:rPr>
        <w:t xml:space="preserve"> to establish an additional caveat in the relevant section of each instrument, to apply in relation to the occupation “</w:t>
      </w:r>
      <w:r w:rsidR="000A0A2A" w:rsidRPr="000A0A2A">
        <w:rPr>
          <w:sz w:val="24"/>
          <w:szCs w:val="24"/>
        </w:rPr>
        <w:t>Hospitality, Retail and Service Managers nec</w:t>
      </w:r>
      <w:r w:rsidR="000A0A2A">
        <w:rPr>
          <w:sz w:val="24"/>
          <w:szCs w:val="24"/>
        </w:rPr>
        <w:t xml:space="preserve">” (ANZSCO code </w:t>
      </w:r>
      <w:r w:rsidR="000A0A2A" w:rsidRPr="000A0A2A">
        <w:rPr>
          <w:sz w:val="24"/>
          <w:szCs w:val="24"/>
        </w:rPr>
        <w:t>149999</w:t>
      </w:r>
      <w:r w:rsidR="000A0A2A">
        <w:rPr>
          <w:sz w:val="24"/>
          <w:szCs w:val="24"/>
        </w:rPr>
        <w:t>). W</w:t>
      </w:r>
      <w:r w:rsidR="000A0A2A" w:rsidRPr="000A0A2A">
        <w:rPr>
          <w:sz w:val="24"/>
          <w:szCs w:val="24"/>
        </w:rPr>
        <w:t xml:space="preserve">here </w:t>
      </w:r>
      <w:r w:rsidR="000A0A2A">
        <w:rPr>
          <w:sz w:val="24"/>
          <w:szCs w:val="24"/>
        </w:rPr>
        <w:t>an</w:t>
      </w:r>
      <w:r w:rsidR="000A0A2A" w:rsidRPr="000A0A2A">
        <w:rPr>
          <w:sz w:val="24"/>
          <w:szCs w:val="24"/>
        </w:rPr>
        <w:t xml:space="preserve"> occupation appears on the </w:t>
      </w:r>
      <w:r w:rsidR="0065763C">
        <w:rPr>
          <w:sz w:val="24"/>
          <w:szCs w:val="24"/>
        </w:rPr>
        <w:t>Core Skills Occupation List (</w:t>
      </w:r>
      <w:r w:rsidR="000A0A2A" w:rsidRPr="000A0A2A">
        <w:rPr>
          <w:sz w:val="24"/>
          <w:szCs w:val="24"/>
        </w:rPr>
        <w:t>CSOL</w:t>
      </w:r>
      <w:r w:rsidR="0065763C">
        <w:rPr>
          <w:sz w:val="24"/>
          <w:szCs w:val="24"/>
        </w:rPr>
        <w:t>)</w:t>
      </w:r>
      <w:r w:rsidR="000A0A2A" w:rsidRPr="000A0A2A">
        <w:rPr>
          <w:sz w:val="24"/>
          <w:szCs w:val="24"/>
        </w:rPr>
        <w:t xml:space="preserve">, it will be subject to applicable circumstances (caveats) that are detailed in </w:t>
      </w:r>
      <w:r w:rsidR="003F6238">
        <w:rPr>
          <w:sz w:val="24"/>
          <w:szCs w:val="24"/>
        </w:rPr>
        <w:t>LIN 24/093 or</w:t>
      </w:r>
      <w:r w:rsidR="003F6238" w:rsidRPr="000A0A2A">
        <w:rPr>
          <w:sz w:val="24"/>
          <w:szCs w:val="24"/>
        </w:rPr>
        <w:t xml:space="preserve"> LIN 24/089</w:t>
      </w:r>
      <w:r w:rsidR="00AD4F0D">
        <w:rPr>
          <w:sz w:val="24"/>
          <w:szCs w:val="24"/>
        </w:rPr>
        <w:t xml:space="preserve"> (</w:t>
      </w:r>
      <w:r w:rsidR="003F6238">
        <w:rPr>
          <w:sz w:val="24"/>
          <w:szCs w:val="24"/>
        </w:rPr>
        <w:t>as the case may be</w:t>
      </w:r>
      <w:r w:rsidR="00AD4F0D">
        <w:rPr>
          <w:sz w:val="24"/>
          <w:szCs w:val="24"/>
        </w:rPr>
        <w:t>)</w:t>
      </w:r>
      <w:r w:rsidR="000A0A2A" w:rsidRPr="000A0A2A">
        <w:rPr>
          <w:sz w:val="24"/>
          <w:szCs w:val="24"/>
        </w:rPr>
        <w:t xml:space="preserve"> as identified against the occupation appearing on the CSOL and its corresponding applicable circumstance</w:t>
      </w:r>
      <w:r w:rsidR="0065763C">
        <w:rPr>
          <w:sz w:val="24"/>
          <w:szCs w:val="24"/>
        </w:rPr>
        <w:t xml:space="preserve">. The effect of the amendments </w:t>
      </w:r>
      <w:r w:rsidR="00AD4F0D">
        <w:rPr>
          <w:sz w:val="24"/>
          <w:szCs w:val="24"/>
        </w:rPr>
        <w:t xml:space="preserve">made by </w:t>
      </w:r>
      <w:r w:rsidR="003F6238" w:rsidRPr="003F6238">
        <w:rPr>
          <w:sz w:val="24"/>
          <w:szCs w:val="24"/>
        </w:rPr>
        <w:t>LIN 24/108</w:t>
      </w:r>
      <w:r w:rsidR="0065763C">
        <w:rPr>
          <w:sz w:val="24"/>
          <w:szCs w:val="24"/>
        </w:rPr>
        <w:t xml:space="preserve"> is to make clear that where a position is a brothel keeper, that position is not covered by the occupation </w:t>
      </w:r>
      <w:r w:rsidR="0065763C" w:rsidRPr="0065763C">
        <w:rPr>
          <w:sz w:val="24"/>
          <w:szCs w:val="24"/>
        </w:rPr>
        <w:t>“Hospitality, Retail and Service Managers nec”</w:t>
      </w:r>
      <w:r w:rsidR="0065763C">
        <w:rPr>
          <w:sz w:val="24"/>
          <w:szCs w:val="24"/>
        </w:rPr>
        <w:t>.</w:t>
      </w:r>
      <w:r w:rsidR="0065763C" w:rsidRPr="0065763C">
        <w:rPr>
          <w:sz w:val="24"/>
          <w:szCs w:val="24"/>
        </w:rPr>
        <w:t xml:space="preserve"> </w:t>
      </w:r>
    </w:p>
    <w:p w:rsidR="00221B64" w:rsidRPr="001901E3" w:rsidRDefault="0065763C" w:rsidP="0065763C">
      <w:pPr>
        <w:pStyle w:val="ESPara"/>
        <w:numPr>
          <w:ilvl w:val="0"/>
          <w:numId w:val="0"/>
        </w:numPr>
        <w:rPr>
          <w:sz w:val="24"/>
          <w:szCs w:val="24"/>
        </w:rPr>
      </w:pPr>
      <w:r w:rsidRPr="0065763C">
        <w:rPr>
          <w:sz w:val="24"/>
          <w:szCs w:val="24"/>
        </w:rPr>
        <w:t xml:space="preserve">The Office of Impact Analysis (OIA) has been consulted in relation to the </w:t>
      </w:r>
      <w:r>
        <w:rPr>
          <w:sz w:val="24"/>
          <w:szCs w:val="24"/>
        </w:rPr>
        <w:t>CSOL and related reforms</w:t>
      </w:r>
      <w:r w:rsidRPr="0065763C">
        <w:rPr>
          <w:sz w:val="24"/>
          <w:szCs w:val="24"/>
        </w:rPr>
        <w:t xml:space="preserve"> generally. The OIA consultation reference number is OIA24-08631.</w:t>
      </w:r>
      <w:r w:rsidR="00CE6335">
        <w:rPr>
          <w:sz w:val="24"/>
          <w:szCs w:val="24"/>
        </w:rPr>
        <w:t xml:space="preserve"> </w:t>
      </w:r>
      <w:r w:rsidRPr="0065763C">
        <w:rPr>
          <w:sz w:val="24"/>
          <w:szCs w:val="24"/>
        </w:rPr>
        <w:t xml:space="preserve">The Department of Home Affairs has consulted on the Migration Strategy with business, unions and other stakeholders throughout the Migration Review. Whole of Government consultation occurred, along with consultation involving peak body, </w:t>
      </w:r>
      <w:r w:rsidR="00CE6335">
        <w:rPr>
          <w:sz w:val="24"/>
          <w:szCs w:val="24"/>
        </w:rPr>
        <w:t>S</w:t>
      </w:r>
      <w:r w:rsidRPr="0065763C">
        <w:rPr>
          <w:sz w:val="24"/>
          <w:szCs w:val="24"/>
        </w:rPr>
        <w:t xml:space="preserve">tate and </w:t>
      </w:r>
      <w:r w:rsidR="00CE6335">
        <w:rPr>
          <w:sz w:val="24"/>
          <w:szCs w:val="24"/>
        </w:rPr>
        <w:t>T</w:t>
      </w:r>
      <w:r w:rsidRPr="0065763C">
        <w:rPr>
          <w:sz w:val="24"/>
          <w:szCs w:val="24"/>
        </w:rPr>
        <w:t>erritory and industry representatives via the Ministerial Advisory Council on Skilled Migration (MACSM) and Senior Migration Officers Group (SMOG).</w:t>
      </w:r>
    </w:p>
    <w:p w:rsidR="00AA4557" w:rsidRPr="001901E3" w:rsidRDefault="00464080">
      <w:pPr>
        <w:keepNext/>
        <w:spacing w:line="276" w:lineRule="auto"/>
        <w:rPr>
          <w:sz w:val="24"/>
          <w:szCs w:val="24"/>
        </w:rPr>
      </w:pPr>
      <w:r w:rsidRPr="001901E3">
        <w:rPr>
          <w:rFonts w:ascii="Times New Roman" w:hAnsi="Times New Roman" w:cs="Times New Roman"/>
          <w:b/>
          <w:sz w:val="24"/>
          <w:szCs w:val="24"/>
        </w:rPr>
        <w:lastRenderedPageBreak/>
        <w:t>Details</w:t>
      </w:r>
      <w:r w:rsidR="00AA4557" w:rsidRPr="001901E3">
        <w:rPr>
          <w:rFonts w:ascii="Times New Roman" w:hAnsi="Times New Roman" w:cs="Times New Roman"/>
          <w:b/>
          <w:sz w:val="24"/>
          <w:szCs w:val="24"/>
        </w:rPr>
        <w:t xml:space="preserve"> of the instrument</w:t>
      </w:r>
    </w:p>
    <w:p w:rsidR="00AA4557" w:rsidRPr="001901E3" w:rsidRDefault="00AA4557" w:rsidP="007B70AE">
      <w:pPr>
        <w:pStyle w:val="ESPara"/>
        <w:keepNext/>
        <w:numPr>
          <w:ilvl w:val="0"/>
          <w:numId w:val="0"/>
        </w:numPr>
        <w:rPr>
          <w:sz w:val="24"/>
          <w:szCs w:val="24"/>
        </w:rPr>
      </w:pPr>
      <w:r w:rsidRPr="001901E3">
        <w:rPr>
          <w:sz w:val="24"/>
          <w:szCs w:val="24"/>
        </w:rPr>
        <w:t>Section 1 sets out</w:t>
      </w:r>
      <w:r w:rsidR="00C203EF" w:rsidRPr="001901E3">
        <w:rPr>
          <w:sz w:val="24"/>
          <w:szCs w:val="24"/>
        </w:rPr>
        <w:t xml:space="preserve"> the name of the instrument.</w:t>
      </w:r>
    </w:p>
    <w:p w:rsidR="00AA4557" w:rsidRPr="001901E3" w:rsidRDefault="00AA4557" w:rsidP="001901E3">
      <w:pPr>
        <w:pStyle w:val="ESPara"/>
        <w:numPr>
          <w:ilvl w:val="0"/>
          <w:numId w:val="0"/>
        </w:numPr>
        <w:rPr>
          <w:sz w:val="24"/>
          <w:szCs w:val="24"/>
        </w:rPr>
      </w:pPr>
      <w:r w:rsidRPr="001901E3">
        <w:rPr>
          <w:sz w:val="24"/>
          <w:szCs w:val="24"/>
        </w:rPr>
        <w:t xml:space="preserve">Section 2 provides </w:t>
      </w:r>
      <w:r w:rsidR="0065763C">
        <w:rPr>
          <w:sz w:val="24"/>
          <w:szCs w:val="24"/>
        </w:rPr>
        <w:t>for the commencement of the instrument</w:t>
      </w:r>
      <w:r w:rsidR="00C203EF" w:rsidRPr="001901E3">
        <w:rPr>
          <w:sz w:val="24"/>
          <w:szCs w:val="24"/>
        </w:rPr>
        <w:t>.</w:t>
      </w:r>
    </w:p>
    <w:p w:rsidR="00AA4F77" w:rsidRPr="001901E3" w:rsidRDefault="00AA4F77" w:rsidP="001901E3">
      <w:pPr>
        <w:pStyle w:val="ESPara"/>
        <w:numPr>
          <w:ilvl w:val="0"/>
          <w:numId w:val="0"/>
        </w:numPr>
        <w:rPr>
          <w:sz w:val="24"/>
          <w:szCs w:val="24"/>
        </w:rPr>
      </w:pPr>
      <w:r w:rsidRPr="001901E3">
        <w:rPr>
          <w:sz w:val="24"/>
          <w:szCs w:val="24"/>
        </w:rPr>
        <w:t xml:space="preserve">Section 3 </w:t>
      </w:r>
      <w:r w:rsidR="00591F73" w:rsidRPr="001901E3">
        <w:rPr>
          <w:sz w:val="24"/>
          <w:szCs w:val="24"/>
        </w:rPr>
        <w:t xml:space="preserve">provides that the instrument is made under </w:t>
      </w:r>
      <w:r w:rsidR="0065763C">
        <w:rPr>
          <w:sz w:val="24"/>
          <w:szCs w:val="24"/>
        </w:rPr>
        <w:t xml:space="preserve">the </w:t>
      </w:r>
      <w:r w:rsidR="0065763C" w:rsidRPr="0065763C">
        <w:rPr>
          <w:i/>
          <w:sz w:val="24"/>
          <w:szCs w:val="24"/>
        </w:rPr>
        <w:t>Migration Regulations 1994</w:t>
      </w:r>
      <w:r w:rsidR="0065763C">
        <w:rPr>
          <w:sz w:val="24"/>
          <w:szCs w:val="24"/>
        </w:rPr>
        <w:t>.</w:t>
      </w:r>
    </w:p>
    <w:p w:rsidR="00726019" w:rsidRPr="001901E3" w:rsidRDefault="00E03DCC" w:rsidP="001901E3">
      <w:pPr>
        <w:pStyle w:val="ESPara"/>
        <w:numPr>
          <w:ilvl w:val="0"/>
          <w:numId w:val="0"/>
        </w:numPr>
        <w:rPr>
          <w:b/>
          <w:sz w:val="24"/>
          <w:szCs w:val="24"/>
        </w:rPr>
      </w:pPr>
      <w:r w:rsidRPr="001901E3">
        <w:rPr>
          <w:sz w:val="24"/>
          <w:szCs w:val="24"/>
        </w:rPr>
        <w:t xml:space="preserve">Section 4 </w:t>
      </w:r>
      <w:r w:rsidR="00726019" w:rsidRPr="001901E3">
        <w:rPr>
          <w:sz w:val="24"/>
          <w:szCs w:val="24"/>
        </w:rPr>
        <w:t xml:space="preserve">provides that the instruments </w:t>
      </w:r>
      <w:r w:rsidR="00DE447C">
        <w:rPr>
          <w:sz w:val="24"/>
          <w:szCs w:val="24"/>
        </w:rPr>
        <w:t>specified</w:t>
      </w:r>
      <w:r w:rsidR="00DE447C" w:rsidRPr="001901E3">
        <w:rPr>
          <w:sz w:val="24"/>
          <w:szCs w:val="24"/>
        </w:rPr>
        <w:t xml:space="preserve"> </w:t>
      </w:r>
      <w:r w:rsidR="00726019" w:rsidRPr="001901E3">
        <w:rPr>
          <w:sz w:val="24"/>
          <w:szCs w:val="24"/>
        </w:rPr>
        <w:t>in a Schedule to the instrument are amended or repealed as set out in the applicable items in the Schedule concerned.</w:t>
      </w:r>
    </w:p>
    <w:p w:rsidR="00322005" w:rsidRPr="0065763C" w:rsidRDefault="00322005" w:rsidP="001901E3">
      <w:pPr>
        <w:pStyle w:val="ESPara"/>
        <w:numPr>
          <w:ilvl w:val="0"/>
          <w:numId w:val="0"/>
        </w:numPr>
        <w:rPr>
          <w:b/>
          <w:sz w:val="24"/>
          <w:szCs w:val="24"/>
          <w:u w:val="single"/>
        </w:rPr>
      </w:pPr>
      <w:r w:rsidRPr="0065763C">
        <w:rPr>
          <w:b/>
          <w:sz w:val="24"/>
          <w:szCs w:val="24"/>
          <w:u w:val="single"/>
        </w:rPr>
        <w:t>Schedule 1</w:t>
      </w:r>
      <w:r w:rsidR="001901E3" w:rsidRPr="0065763C">
        <w:rPr>
          <w:b/>
          <w:sz w:val="24"/>
          <w:szCs w:val="24"/>
          <w:u w:val="single"/>
        </w:rPr>
        <w:t>—</w:t>
      </w:r>
      <w:r w:rsidRPr="0065763C">
        <w:rPr>
          <w:b/>
          <w:sz w:val="24"/>
          <w:szCs w:val="24"/>
          <w:u w:val="single"/>
        </w:rPr>
        <w:t xml:space="preserve">Amendments </w:t>
      </w:r>
      <w:r w:rsidR="0065763C" w:rsidRPr="0065763C">
        <w:rPr>
          <w:rStyle w:val="CharAmSchText"/>
          <w:b/>
          <w:sz w:val="24"/>
          <w:szCs w:val="24"/>
          <w:u w:val="single"/>
        </w:rPr>
        <w:t>of LIN 24/093</w:t>
      </w:r>
    </w:p>
    <w:p w:rsidR="009A4346" w:rsidRDefault="0065763C" w:rsidP="0065763C">
      <w:pPr>
        <w:pStyle w:val="ESPara"/>
        <w:numPr>
          <w:ilvl w:val="0"/>
          <w:numId w:val="0"/>
        </w:numPr>
        <w:rPr>
          <w:sz w:val="24"/>
          <w:szCs w:val="24"/>
        </w:rPr>
      </w:pPr>
      <w:r>
        <w:rPr>
          <w:sz w:val="24"/>
          <w:szCs w:val="24"/>
        </w:rPr>
        <w:t>Schedule 1 to the instrument amends</w:t>
      </w:r>
      <w:r w:rsidR="00DE447C">
        <w:rPr>
          <w:sz w:val="24"/>
          <w:szCs w:val="24"/>
        </w:rPr>
        <w:t xml:space="preserve"> the</w:t>
      </w:r>
      <w:r>
        <w:rPr>
          <w:sz w:val="24"/>
          <w:szCs w:val="24"/>
        </w:rPr>
        <w:t xml:space="preserve"> </w:t>
      </w:r>
      <w:bookmarkStart w:id="1" w:name="_Toc184399327"/>
      <w:r w:rsidRPr="0065763C">
        <w:rPr>
          <w:i/>
          <w:sz w:val="24"/>
          <w:szCs w:val="24"/>
        </w:rPr>
        <w:t>Migration (Specification of Occupations and Assessing Authorities—Subclass 186 Visa) Instrument 2024</w:t>
      </w:r>
      <w:bookmarkEnd w:id="1"/>
      <w:r w:rsidRPr="0065763C">
        <w:rPr>
          <w:sz w:val="24"/>
          <w:szCs w:val="24"/>
        </w:rPr>
        <w:t>.</w:t>
      </w:r>
    </w:p>
    <w:p w:rsidR="0065763C" w:rsidRDefault="0065763C" w:rsidP="0065763C">
      <w:pPr>
        <w:pStyle w:val="ESPara"/>
        <w:numPr>
          <w:ilvl w:val="0"/>
          <w:numId w:val="0"/>
        </w:numPr>
        <w:rPr>
          <w:sz w:val="24"/>
          <w:szCs w:val="24"/>
        </w:rPr>
      </w:pPr>
      <w:r>
        <w:rPr>
          <w:sz w:val="24"/>
          <w:szCs w:val="24"/>
        </w:rPr>
        <w:t>Item 1 inserts reference to new caveat item 16 in item 47 of the table under subsection 7(1). This has the effect of applying the caveat</w:t>
      </w:r>
      <w:r w:rsidR="003F6238">
        <w:rPr>
          <w:sz w:val="24"/>
          <w:szCs w:val="24"/>
        </w:rPr>
        <w:t>,</w:t>
      </w:r>
      <w:r>
        <w:rPr>
          <w:sz w:val="24"/>
          <w:szCs w:val="24"/>
        </w:rPr>
        <w:t xml:space="preserve"> </w:t>
      </w:r>
      <w:r w:rsidR="003F6238">
        <w:rPr>
          <w:sz w:val="24"/>
          <w:szCs w:val="24"/>
        </w:rPr>
        <w:t xml:space="preserve">inserted by item 2, </w:t>
      </w:r>
      <w:r>
        <w:rPr>
          <w:sz w:val="24"/>
          <w:szCs w:val="24"/>
        </w:rPr>
        <w:t xml:space="preserve">in relation to the position “brothel keeper” in relation to the occupation </w:t>
      </w:r>
      <w:r w:rsidRPr="0065763C">
        <w:rPr>
          <w:sz w:val="24"/>
          <w:szCs w:val="24"/>
        </w:rPr>
        <w:t>“Hospitality, Retail and Service Managers nec”</w:t>
      </w:r>
      <w:r>
        <w:rPr>
          <w:sz w:val="24"/>
          <w:szCs w:val="24"/>
        </w:rPr>
        <w:t>.</w:t>
      </w:r>
    </w:p>
    <w:p w:rsidR="0065763C" w:rsidRDefault="0065763C" w:rsidP="0065763C">
      <w:pPr>
        <w:pStyle w:val="ESPara"/>
        <w:numPr>
          <w:ilvl w:val="0"/>
          <w:numId w:val="0"/>
        </w:numPr>
        <w:rPr>
          <w:sz w:val="24"/>
          <w:szCs w:val="24"/>
        </w:rPr>
      </w:pPr>
      <w:r>
        <w:rPr>
          <w:sz w:val="24"/>
          <w:szCs w:val="24"/>
        </w:rPr>
        <w:t xml:space="preserve">Item 2 adds </w:t>
      </w:r>
      <w:r w:rsidR="00E51C62">
        <w:rPr>
          <w:sz w:val="24"/>
          <w:szCs w:val="24"/>
        </w:rPr>
        <w:t>the</w:t>
      </w:r>
      <w:r>
        <w:rPr>
          <w:sz w:val="24"/>
          <w:szCs w:val="24"/>
        </w:rPr>
        <w:t xml:space="preserve"> new caveat “The position is a brothel keeper” at the end of the table under section 8 of the instrument.</w:t>
      </w:r>
    </w:p>
    <w:p w:rsidR="0065763C" w:rsidRDefault="0065763C" w:rsidP="0065763C">
      <w:pPr>
        <w:pStyle w:val="ESPara"/>
        <w:numPr>
          <w:ilvl w:val="0"/>
          <w:numId w:val="0"/>
        </w:numPr>
        <w:rPr>
          <w:sz w:val="24"/>
          <w:szCs w:val="24"/>
        </w:rPr>
      </w:pPr>
      <w:r>
        <w:rPr>
          <w:sz w:val="24"/>
          <w:szCs w:val="24"/>
        </w:rPr>
        <w:t xml:space="preserve">The effect of these amendments is to make clear </w:t>
      </w:r>
      <w:r w:rsidR="00D37C23">
        <w:rPr>
          <w:sz w:val="24"/>
          <w:szCs w:val="24"/>
        </w:rPr>
        <w:t xml:space="preserve">that if a position is </w:t>
      </w:r>
      <w:r w:rsidR="00E51C62">
        <w:rPr>
          <w:sz w:val="24"/>
          <w:szCs w:val="24"/>
        </w:rPr>
        <w:t xml:space="preserve">a </w:t>
      </w:r>
      <w:r w:rsidR="00D37C23">
        <w:rPr>
          <w:sz w:val="24"/>
          <w:szCs w:val="24"/>
        </w:rPr>
        <w:t>“brothel keeper”, it is not covered by the occupation “</w:t>
      </w:r>
      <w:r w:rsidR="00D37C23" w:rsidRPr="00D37C23">
        <w:rPr>
          <w:sz w:val="24"/>
          <w:szCs w:val="24"/>
        </w:rPr>
        <w:t>Hospitality, Retail and Service Managers nec”</w:t>
      </w:r>
      <w:r w:rsidR="00D37C23">
        <w:rPr>
          <w:sz w:val="24"/>
          <w:szCs w:val="24"/>
        </w:rPr>
        <w:t xml:space="preserve"> for the purposes of </w:t>
      </w:r>
      <w:r w:rsidR="003F6238" w:rsidRPr="003F6238">
        <w:rPr>
          <w:sz w:val="24"/>
          <w:szCs w:val="24"/>
        </w:rPr>
        <w:t>LIN</w:t>
      </w:r>
      <w:r w:rsidR="00E51C62">
        <w:rPr>
          <w:sz w:val="24"/>
          <w:szCs w:val="24"/>
        </w:rPr>
        <w:t> </w:t>
      </w:r>
      <w:r w:rsidR="003F6238" w:rsidRPr="003F6238">
        <w:rPr>
          <w:sz w:val="24"/>
          <w:szCs w:val="24"/>
        </w:rPr>
        <w:t>24/093</w:t>
      </w:r>
      <w:r w:rsidR="00D37C23">
        <w:rPr>
          <w:sz w:val="24"/>
          <w:szCs w:val="24"/>
        </w:rPr>
        <w:t xml:space="preserve"> and the related provisions of the Migration Regulations.</w:t>
      </w:r>
    </w:p>
    <w:p w:rsidR="00D37C23" w:rsidRPr="00D37C23" w:rsidRDefault="00D37C23" w:rsidP="00D37C23">
      <w:pPr>
        <w:pStyle w:val="ESPara"/>
        <w:numPr>
          <w:ilvl w:val="0"/>
          <w:numId w:val="0"/>
        </w:numPr>
        <w:rPr>
          <w:b/>
          <w:sz w:val="24"/>
          <w:szCs w:val="24"/>
          <w:u w:val="single"/>
        </w:rPr>
      </w:pPr>
      <w:r w:rsidRPr="00D37C23">
        <w:rPr>
          <w:b/>
          <w:sz w:val="24"/>
          <w:szCs w:val="24"/>
          <w:u w:val="single"/>
        </w:rPr>
        <w:t xml:space="preserve">Schedule </w:t>
      </w:r>
      <w:r>
        <w:rPr>
          <w:b/>
          <w:sz w:val="24"/>
          <w:szCs w:val="24"/>
          <w:u w:val="single"/>
        </w:rPr>
        <w:t>2</w:t>
      </w:r>
      <w:r w:rsidRPr="00D37C23">
        <w:rPr>
          <w:b/>
          <w:sz w:val="24"/>
          <w:szCs w:val="24"/>
          <w:u w:val="single"/>
        </w:rPr>
        <w:t>—Amendments of LIN 24/0</w:t>
      </w:r>
      <w:r>
        <w:rPr>
          <w:b/>
          <w:sz w:val="24"/>
          <w:szCs w:val="24"/>
          <w:u w:val="single"/>
        </w:rPr>
        <w:t>89</w:t>
      </w:r>
    </w:p>
    <w:p w:rsidR="00D37C23" w:rsidRPr="00D37C23" w:rsidRDefault="00D37C23" w:rsidP="00D37C23">
      <w:pPr>
        <w:pStyle w:val="ESPara"/>
        <w:numPr>
          <w:ilvl w:val="0"/>
          <w:numId w:val="0"/>
        </w:numPr>
        <w:rPr>
          <w:sz w:val="24"/>
          <w:szCs w:val="24"/>
        </w:rPr>
      </w:pPr>
      <w:r w:rsidRPr="00D37C23">
        <w:rPr>
          <w:sz w:val="24"/>
          <w:szCs w:val="24"/>
        </w:rPr>
        <w:t xml:space="preserve">Schedule </w:t>
      </w:r>
      <w:r>
        <w:rPr>
          <w:sz w:val="24"/>
          <w:szCs w:val="24"/>
        </w:rPr>
        <w:t>2</w:t>
      </w:r>
      <w:r w:rsidRPr="00D37C23">
        <w:rPr>
          <w:sz w:val="24"/>
          <w:szCs w:val="24"/>
        </w:rPr>
        <w:t xml:space="preserve"> to the instrument amends</w:t>
      </w:r>
      <w:r w:rsidR="00DE447C">
        <w:rPr>
          <w:sz w:val="24"/>
          <w:szCs w:val="24"/>
        </w:rPr>
        <w:t xml:space="preserve"> the</w:t>
      </w:r>
      <w:r w:rsidRPr="00D37C23">
        <w:rPr>
          <w:sz w:val="24"/>
          <w:szCs w:val="24"/>
        </w:rPr>
        <w:t xml:space="preserve"> </w:t>
      </w:r>
      <w:bookmarkStart w:id="2" w:name="_Toc184399329"/>
      <w:r w:rsidRPr="00D37C23">
        <w:rPr>
          <w:i/>
          <w:sz w:val="24"/>
          <w:szCs w:val="24"/>
        </w:rPr>
        <w:t>Migration (Specification of Occupations—Subclass 482 Visa) Instrument 2024</w:t>
      </w:r>
      <w:bookmarkEnd w:id="2"/>
      <w:r w:rsidRPr="00D37C23">
        <w:rPr>
          <w:sz w:val="24"/>
          <w:szCs w:val="24"/>
        </w:rPr>
        <w:t>.</w:t>
      </w:r>
    </w:p>
    <w:p w:rsidR="00D37C23" w:rsidRPr="00D37C23" w:rsidRDefault="00D37C23" w:rsidP="00D37C23">
      <w:pPr>
        <w:pStyle w:val="ESPara"/>
        <w:numPr>
          <w:ilvl w:val="0"/>
          <w:numId w:val="0"/>
        </w:numPr>
        <w:rPr>
          <w:sz w:val="24"/>
          <w:szCs w:val="24"/>
        </w:rPr>
      </w:pPr>
      <w:r w:rsidRPr="00D37C23">
        <w:rPr>
          <w:sz w:val="24"/>
          <w:szCs w:val="24"/>
        </w:rPr>
        <w:t xml:space="preserve">Item 1 inserts reference to new caveat item 16 in item 47 of the table under subsection </w:t>
      </w:r>
      <w:r w:rsidR="00EA2346">
        <w:rPr>
          <w:sz w:val="24"/>
          <w:szCs w:val="24"/>
        </w:rPr>
        <w:t>6</w:t>
      </w:r>
      <w:r w:rsidRPr="00D37C23">
        <w:rPr>
          <w:sz w:val="24"/>
          <w:szCs w:val="24"/>
        </w:rPr>
        <w:t>(</w:t>
      </w:r>
      <w:r w:rsidR="00EA2346">
        <w:rPr>
          <w:sz w:val="24"/>
          <w:szCs w:val="24"/>
        </w:rPr>
        <w:t>3</w:t>
      </w:r>
      <w:r w:rsidRPr="00D37C23">
        <w:rPr>
          <w:sz w:val="24"/>
          <w:szCs w:val="24"/>
        </w:rPr>
        <w:t>). This has the effect of applying the caveat</w:t>
      </w:r>
      <w:r w:rsidR="003F6238">
        <w:rPr>
          <w:sz w:val="24"/>
          <w:szCs w:val="24"/>
        </w:rPr>
        <w:t>, inserted by item 2,</w:t>
      </w:r>
      <w:r w:rsidRPr="00D37C23">
        <w:rPr>
          <w:sz w:val="24"/>
          <w:szCs w:val="24"/>
        </w:rPr>
        <w:t xml:space="preserve"> in relation to the position “brothel keeper” in relation to the occupation “Hospitality, Retail and Service Managers nec”.</w:t>
      </w:r>
    </w:p>
    <w:p w:rsidR="00D37C23" w:rsidRPr="00D37C23" w:rsidRDefault="00D37C23" w:rsidP="00D37C23">
      <w:pPr>
        <w:pStyle w:val="ESPara"/>
        <w:numPr>
          <w:ilvl w:val="0"/>
          <w:numId w:val="0"/>
        </w:numPr>
        <w:rPr>
          <w:sz w:val="24"/>
          <w:szCs w:val="24"/>
        </w:rPr>
      </w:pPr>
      <w:r w:rsidRPr="00D37C23">
        <w:rPr>
          <w:sz w:val="24"/>
          <w:szCs w:val="24"/>
        </w:rPr>
        <w:t xml:space="preserve">Item 2 adds </w:t>
      </w:r>
      <w:r w:rsidR="00E51C62">
        <w:rPr>
          <w:sz w:val="24"/>
          <w:szCs w:val="24"/>
        </w:rPr>
        <w:t>the</w:t>
      </w:r>
      <w:r w:rsidRPr="00D37C23">
        <w:rPr>
          <w:sz w:val="24"/>
          <w:szCs w:val="24"/>
        </w:rPr>
        <w:t xml:space="preserve"> new caveat “The position is a brothel keeper” at the end of the table under </w:t>
      </w:r>
      <w:r>
        <w:rPr>
          <w:sz w:val="24"/>
          <w:szCs w:val="24"/>
        </w:rPr>
        <w:t>sub</w:t>
      </w:r>
      <w:r w:rsidRPr="00D37C23">
        <w:rPr>
          <w:sz w:val="24"/>
          <w:szCs w:val="24"/>
        </w:rPr>
        <w:t>section</w:t>
      </w:r>
      <w:r>
        <w:rPr>
          <w:sz w:val="24"/>
          <w:szCs w:val="24"/>
        </w:rPr>
        <w:t> 7(2)</w:t>
      </w:r>
      <w:r w:rsidRPr="00D37C23">
        <w:rPr>
          <w:sz w:val="24"/>
          <w:szCs w:val="24"/>
        </w:rPr>
        <w:t xml:space="preserve"> of the instrument.</w:t>
      </w:r>
    </w:p>
    <w:p w:rsidR="00D37C23" w:rsidRPr="001901E3" w:rsidRDefault="00D37C23" w:rsidP="00D37C23">
      <w:pPr>
        <w:pStyle w:val="ESPara"/>
        <w:numPr>
          <w:ilvl w:val="0"/>
          <w:numId w:val="0"/>
        </w:numPr>
        <w:rPr>
          <w:sz w:val="24"/>
          <w:szCs w:val="24"/>
        </w:rPr>
      </w:pPr>
      <w:r w:rsidRPr="00D37C23">
        <w:rPr>
          <w:sz w:val="24"/>
          <w:szCs w:val="24"/>
        </w:rPr>
        <w:t xml:space="preserve">The effect of these amendments is to make clear that if a position is </w:t>
      </w:r>
      <w:r w:rsidR="00E51C62">
        <w:rPr>
          <w:sz w:val="24"/>
          <w:szCs w:val="24"/>
        </w:rPr>
        <w:t xml:space="preserve">a </w:t>
      </w:r>
      <w:r w:rsidRPr="00D37C23">
        <w:rPr>
          <w:sz w:val="24"/>
          <w:szCs w:val="24"/>
        </w:rPr>
        <w:t xml:space="preserve">“brothel keeper”, it is not covered by the occupation “Hospitality, Retail and Service Managers nec” for the purposes of </w:t>
      </w:r>
      <w:r w:rsidR="003F6238" w:rsidRPr="003F6238">
        <w:rPr>
          <w:sz w:val="24"/>
          <w:szCs w:val="24"/>
        </w:rPr>
        <w:t>LIN</w:t>
      </w:r>
      <w:r w:rsidR="00EA2346">
        <w:rPr>
          <w:sz w:val="24"/>
          <w:szCs w:val="24"/>
        </w:rPr>
        <w:t> </w:t>
      </w:r>
      <w:r w:rsidR="003F6238" w:rsidRPr="003F6238">
        <w:rPr>
          <w:sz w:val="24"/>
          <w:szCs w:val="24"/>
        </w:rPr>
        <w:t>24/089</w:t>
      </w:r>
      <w:r w:rsidRPr="00D37C23">
        <w:rPr>
          <w:sz w:val="24"/>
          <w:szCs w:val="24"/>
        </w:rPr>
        <w:t xml:space="preserve"> and the related provisions of the Migration Regulations.</w:t>
      </w:r>
    </w:p>
    <w:p w:rsidR="00AA4557" w:rsidRPr="001901E3" w:rsidRDefault="00AA4557" w:rsidP="001901E3">
      <w:pPr>
        <w:pStyle w:val="ESHeading"/>
        <w:rPr>
          <w:sz w:val="24"/>
          <w:szCs w:val="24"/>
        </w:rPr>
      </w:pPr>
      <w:r w:rsidRPr="001901E3">
        <w:rPr>
          <w:sz w:val="24"/>
          <w:szCs w:val="24"/>
        </w:rPr>
        <w:t>P</w:t>
      </w:r>
      <w:r w:rsidR="00BB2DB2" w:rsidRPr="001901E3">
        <w:rPr>
          <w:sz w:val="24"/>
          <w:szCs w:val="24"/>
        </w:rPr>
        <w:t>arliamentary scrutiny etc.</w:t>
      </w:r>
    </w:p>
    <w:p w:rsidR="00E03DCC" w:rsidRPr="001901E3" w:rsidRDefault="00E03DCC" w:rsidP="001901E3">
      <w:pPr>
        <w:pStyle w:val="ESPara"/>
        <w:numPr>
          <w:ilvl w:val="0"/>
          <w:numId w:val="0"/>
        </w:numPr>
        <w:rPr>
          <w:sz w:val="24"/>
          <w:szCs w:val="24"/>
        </w:rPr>
      </w:pPr>
      <w:r w:rsidRPr="001901E3">
        <w:rPr>
          <w:sz w:val="24"/>
          <w:szCs w:val="24"/>
        </w:rPr>
        <w:t>The instrument is exempt from disallowance under sect</w:t>
      </w:r>
      <w:r w:rsidR="00BB2DB2" w:rsidRPr="001901E3">
        <w:rPr>
          <w:sz w:val="24"/>
          <w:szCs w:val="24"/>
        </w:rPr>
        <w:t>ion 42 of the Legislation Act</w:t>
      </w:r>
      <w:r w:rsidR="00D37C23">
        <w:rPr>
          <w:sz w:val="24"/>
          <w:szCs w:val="24"/>
        </w:rPr>
        <w:t xml:space="preserve"> to the extent that it is made under subregulation 5.19(11) and paragraph 186.234(2)(a) of Schedule 2 to the Migration Regulations</w:t>
      </w:r>
      <w:r w:rsidR="00BB2DB2" w:rsidRPr="001901E3">
        <w:rPr>
          <w:sz w:val="24"/>
          <w:szCs w:val="24"/>
        </w:rPr>
        <w:t xml:space="preserve">. </w:t>
      </w:r>
      <w:r w:rsidRPr="001901E3">
        <w:rPr>
          <w:sz w:val="24"/>
          <w:szCs w:val="24"/>
        </w:rPr>
        <w:t xml:space="preserve">This is because </w:t>
      </w:r>
      <w:r w:rsidR="00D37C23">
        <w:rPr>
          <w:sz w:val="24"/>
          <w:szCs w:val="24"/>
        </w:rPr>
        <w:t xml:space="preserve">the powers to make a legislative instrument under these </w:t>
      </w:r>
      <w:r w:rsidR="00D37C23">
        <w:rPr>
          <w:sz w:val="24"/>
          <w:szCs w:val="24"/>
        </w:rPr>
        <w:lastRenderedPageBreak/>
        <w:t xml:space="preserve">provisions are covered by the exemption provided for in table </w:t>
      </w:r>
      <w:r w:rsidR="00BB2DB2" w:rsidRPr="001901E3">
        <w:rPr>
          <w:sz w:val="24"/>
          <w:szCs w:val="24"/>
        </w:rPr>
        <w:t>item 20(b)</w:t>
      </w:r>
      <w:r w:rsidRPr="001901E3">
        <w:rPr>
          <w:sz w:val="24"/>
          <w:szCs w:val="24"/>
        </w:rPr>
        <w:t xml:space="preserve"> of</w:t>
      </w:r>
      <w:r w:rsidR="00D37C23">
        <w:rPr>
          <w:sz w:val="24"/>
          <w:szCs w:val="24"/>
        </w:rPr>
        <w:t xml:space="preserve"> section 10 of</w:t>
      </w:r>
      <w:r w:rsidRPr="001901E3">
        <w:rPr>
          <w:sz w:val="24"/>
          <w:szCs w:val="24"/>
        </w:rPr>
        <w:t xml:space="preserve"> the </w:t>
      </w:r>
      <w:r w:rsidRPr="001901E3">
        <w:rPr>
          <w:i/>
          <w:sz w:val="24"/>
          <w:szCs w:val="24"/>
        </w:rPr>
        <w:t>Legislation (Exemptions and Other Matters) Regulation 2015</w:t>
      </w:r>
      <w:r w:rsidR="00D37C23">
        <w:rPr>
          <w:i/>
          <w:sz w:val="24"/>
          <w:szCs w:val="24"/>
        </w:rPr>
        <w:t xml:space="preserve"> </w:t>
      </w:r>
      <w:r w:rsidR="00D37C23" w:rsidRPr="00D37C23">
        <w:rPr>
          <w:sz w:val="24"/>
          <w:szCs w:val="24"/>
        </w:rPr>
        <w:t>(LEOMR)</w:t>
      </w:r>
      <w:r w:rsidR="00BB2DB2" w:rsidRPr="001901E3">
        <w:rPr>
          <w:sz w:val="24"/>
          <w:szCs w:val="24"/>
        </w:rPr>
        <w:t>.</w:t>
      </w:r>
      <w:r w:rsidR="00D37C23">
        <w:rPr>
          <w:sz w:val="24"/>
          <w:szCs w:val="24"/>
        </w:rPr>
        <w:t xml:space="preserve"> To the extent that the instrument amends LIN 24/089, the instrument is disallowable as it relies on the power under subregulation 2.</w:t>
      </w:r>
      <w:r w:rsidR="005C73DA">
        <w:rPr>
          <w:sz w:val="24"/>
          <w:szCs w:val="24"/>
        </w:rPr>
        <w:t>72</w:t>
      </w:r>
      <w:r w:rsidR="00D37C23">
        <w:rPr>
          <w:sz w:val="24"/>
          <w:szCs w:val="24"/>
        </w:rPr>
        <w:t>(</w:t>
      </w:r>
      <w:r w:rsidR="005C73DA">
        <w:rPr>
          <w:sz w:val="24"/>
          <w:szCs w:val="24"/>
        </w:rPr>
        <w:t>9</w:t>
      </w:r>
      <w:r w:rsidR="00D37C23">
        <w:rPr>
          <w:sz w:val="24"/>
          <w:szCs w:val="24"/>
        </w:rPr>
        <w:t>) of the Migration Regulations, which is not covered by an exemption provided for in the LEOMR.</w:t>
      </w:r>
    </w:p>
    <w:p w:rsidR="00B75478" w:rsidRPr="001901E3" w:rsidRDefault="00B75478" w:rsidP="001901E3">
      <w:pPr>
        <w:pStyle w:val="ESPara"/>
        <w:numPr>
          <w:ilvl w:val="0"/>
          <w:numId w:val="0"/>
        </w:numPr>
        <w:rPr>
          <w:sz w:val="24"/>
          <w:szCs w:val="24"/>
        </w:rPr>
      </w:pPr>
      <w:r w:rsidRPr="001901E3">
        <w:rPr>
          <w:sz w:val="24"/>
          <w:szCs w:val="24"/>
        </w:rPr>
        <w:t xml:space="preserve">The </w:t>
      </w:r>
      <w:r w:rsidR="00BB2DB2" w:rsidRPr="001901E3">
        <w:rPr>
          <w:sz w:val="24"/>
          <w:szCs w:val="24"/>
        </w:rPr>
        <w:t xml:space="preserve">instrument was made by the </w:t>
      </w:r>
      <w:r w:rsidR="00AD2778">
        <w:rPr>
          <w:sz w:val="24"/>
          <w:szCs w:val="24"/>
        </w:rPr>
        <w:t xml:space="preserve">Assistant </w:t>
      </w:r>
      <w:r w:rsidR="00BB2DB2" w:rsidRPr="001901E3">
        <w:rPr>
          <w:sz w:val="24"/>
          <w:szCs w:val="24"/>
        </w:rPr>
        <w:t xml:space="preserve">Minister </w:t>
      </w:r>
      <w:r w:rsidR="0065763C">
        <w:rPr>
          <w:sz w:val="24"/>
          <w:szCs w:val="24"/>
        </w:rPr>
        <w:t xml:space="preserve">for </w:t>
      </w:r>
      <w:r w:rsidR="00AD2778">
        <w:rPr>
          <w:sz w:val="24"/>
          <w:szCs w:val="24"/>
        </w:rPr>
        <w:t xml:space="preserve">Citizenship </w:t>
      </w:r>
      <w:r w:rsidR="0065763C">
        <w:rPr>
          <w:sz w:val="24"/>
          <w:szCs w:val="24"/>
        </w:rPr>
        <w:t>and</w:t>
      </w:r>
      <w:r w:rsidR="00BB2DB2" w:rsidRPr="001901E3">
        <w:rPr>
          <w:sz w:val="24"/>
          <w:szCs w:val="24"/>
        </w:rPr>
        <w:t xml:space="preserve"> </w:t>
      </w:r>
      <w:r w:rsidR="00DB0ED8" w:rsidRPr="001901E3">
        <w:rPr>
          <w:sz w:val="24"/>
          <w:szCs w:val="24"/>
        </w:rPr>
        <w:t xml:space="preserve">Multicultural </w:t>
      </w:r>
      <w:r w:rsidR="00BB2DB2" w:rsidRPr="001901E3">
        <w:rPr>
          <w:sz w:val="24"/>
          <w:szCs w:val="24"/>
        </w:rPr>
        <w:t>Affairs in accordance the Migration Regulations.</w:t>
      </w:r>
    </w:p>
    <w:sectPr w:rsidR="00B75478" w:rsidRPr="001901E3" w:rsidSect="004F5CE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4B0" w:rsidRDefault="002904B0" w:rsidP="00C508DB">
      <w:pPr>
        <w:spacing w:after="0" w:line="240" w:lineRule="auto"/>
      </w:pPr>
      <w:r>
        <w:separator/>
      </w:r>
    </w:p>
  </w:endnote>
  <w:endnote w:type="continuationSeparator" w:id="0">
    <w:p w:rsidR="002904B0" w:rsidRDefault="002904B0" w:rsidP="00C50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3B" w:rsidRDefault="003C5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527188"/>
      <w:docPartObj>
        <w:docPartGallery w:val="Page Numbers (Bottom of Page)"/>
        <w:docPartUnique/>
      </w:docPartObj>
    </w:sdtPr>
    <w:sdtEndPr>
      <w:rPr>
        <w:rFonts w:ascii="Times New Roman" w:hAnsi="Times New Roman" w:cs="Times New Roman"/>
        <w:noProof/>
      </w:rPr>
    </w:sdtEndPr>
    <w:sdtContent>
      <w:p w:rsidR="00C508DB" w:rsidRPr="00A645E1" w:rsidRDefault="00C508DB" w:rsidP="00C508DB">
        <w:pPr>
          <w:pStyle w:val="Footer"/>
          <w:jc w:val="center"/>
          <w:rPr>
            <w:rFonts w:ascii="Times New Roman" w:hAnsi="Times New Roman" w:cs="Times New Roman"/>
          </w:rPr>
        </w:pPr>
        <w:r w:rsidRPr="00A645E1">
          <w:rPr>
            <w:rFonts w:ascii="Times New Roman" w:hAnsi="Times New Roman" w:cs="Times New Roman"/>
          </w:rPr>
          <w:fldChar w:fldCharType="begin"/>
        </w:r>
        <w:r w:rsidRPr="00A645E1">
          <w:rPr>
            <w:rFonts w:ascii="Times New Roman" w:hAnsi="Times New Roman" w:cs="Times New Roman"/>
          </w:rPr>
          <w:instrText xml:space="preserve"> PAGE   \* MERGEFORMAT </w:instrText>
        </w:r>
        <w:r w:rsidRPr="00A645E1">
          <w:rPr>
            <w:rFonts w:ascii="Times New Roman" w:hAnsi="Times New Roman" w:cs="Times New Roman"/>
          </w:rPr>
          <w:fldChar w:fldCharType="separate"/>
        </w:r>
        <w:r w:rsidR="00DE7F35">
          <w:rPr>
            <w:rFonts w:ascii="Times New Roman" w:hAnsi="Times New Roman" w:cs="Times New Roman"/>
            <w:noProof/>
          </w:rPr>
          <w:t>3</w:t>
        </w:r>
        <w:r w:rsidRPr="00A645E1">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3B" w:rsidRDefault="003C5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4B0" w:rsidRDefault="002904B0" w:rsidP="00C508DB">
      <w:pPr>
        <w:spacing w:after="0" w:line="240" w:lineRule="auto"/>
      </w:pPr>
      <w:r>
        <w:separator/>
      </w:r>
    </w:p>
  </w:footnote>
  <w:footnote w:type="continuationSeparator" w:id="0">
    <w:p w:rsidR="002904B0" w:rsidRDefault="002904B0" w:rsidP="00C50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3B" w:rsidRDefault="003C5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3B" w:rsidRDefault="003C5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3B" w:rsidRDefault="003C5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0B30"/>
    <w:multiLevelType w:val="hybridMultilevel"/>
    <w:tmpl w:val="D2A8FBD8"/>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 w15:restartNumberingAfterBreak="0">
    <w:nsid w:val="148269CD"/>
    <w:multiLevelType w:val="hybridMultilevel"/>
    <w:tmpl w:val="6DFCFB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154D15"/>
    <w:multiLevelType w:val="hybridMultilevel"/>
    <w:tmpl w:val="CDBEA3A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E532A9"/>
    <w:multiLevelType w:val="hybridMultilevel"/>
    <w:tmpl w:val="09E60A86"/>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801B21"/>
    <w:multiLevelType w:val="hybridMultilevel"/>
    <w:tmpl w:val="EF94B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8CF7AFA"/>
    <w:multiLevelType w:val="hybridMultilevel"/>
    <w:tmpl w:val="132496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BB6F02"/>
    <w:multiLevelType w:val="hybridMultilevel"/>
    <w:tmpl w:val="EB801BBE"/>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8" w15:restartNumberingAfterBreak="0">
    <w:nsid w:val="5D071AE4"/>
    <w:multiLevelType w:val="hybridMultilevel"/>
    <w:tmpl w:val="64A0EA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F15597D"/>
    <w:multiLevelType w:val="hybridMultilevel"/>
    <w:tmpl w:val="B0DA1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704D6C"/>
    <w:multiLevelType w:val="hybridMultilevel"/>
    <w:tmpl w:val="D03067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6"/>
  </w:num>
  <w:num w:numId="4">
    <w:abstractNumId w:val="6"/>
  </w:num>
  <w:num w:numId="5">
    <w:abstractNumId w:val="9"/>
  </w:num>
  <w:num w:numId="6">
    <w:abstractNumId w:val="7"/>
  </w:num>
  <w:num w:numId="7">
    <w:abstractNumId w:val="8"/>
  </w:num>
  <w:num w:numId="8">
    <w:abstractNumId w:val="2"/>
  </w:num>
  <w:num w:numId="9">
    <w:abstractNumId w:val="4"/>
  </w:num>
  <w:num w:numId="10">
    <w:abstractNumId w:val="1"/>
  </w:num>
  <w:num w:numId="11">
    <w:abstractNumId w:val="5"/>
  </w:num>
  <w:num w:numId="12">
    <w:abstractNumId w:val="10"/>
  </w:num>
  <w:num w:numId="13">
    <w:abstractNumId w:val="0"/>
  </w:num>
  <w:num w:numId="14">
    <w:abstractNumId w:val="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ocumentProtection w:edit="trackedChange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5E"/>
    <w:rsid w:val="000A0A2A"/>
    <w:rsid w:val="000B1E3E"/>
    <w:rsid w:val="000C2DC3"/>
    <w:rsid w:val="000D014F"/>
    <w:rsid w:val="00100DFC"/>
    <w:rsid w:val="00120937"/>
    <w:rsid w:val="001305CD"/>
    <w:rsid w:val="00130958"/>
    <w:rsid w:val="00154D99"/>
    <w:rsid w:val="00163770"/>
    <w:rsid w:val="00165919"/>
    <w:rsid w:val="00171FEA"/>
    <w:rsid w:val="00175B1E"/>
    <w:rsid w:val="001839C6"/>
    <w:rsid w:val="001901E3"/>
    <w:rsid w:val="0019164E"/>
    <w:rsid w:val="001B2A2A"/>
    <w:rsid w:val="001C6E65"/>
    <w:rsid w:val="001F5C2B"/>
    <w:rsid w:val="00206761"/>
    <w:rsid w:val="00213826"/>
    <w:rsid w:val="00221B64"/>
    <w:rsid w:val="002402E0"/>
    <w:rsid w:val="002619A8"/>
    <w:rsid w:val="00265E58"/>
    <w:rsid w:val="00267A98"/>
    <w:rsid w:val="002761F2"/>
    <w:rsid w:val="002904B0"/>
    <w:rsid w:val="002D167E"/>
    <w:rsid w:val="00322005"/>
    <w:rsid w:val="00345A93"/>
    <w:rsid w:val="0035494F"/>
    <w:rsid w:val="003A1304"/>
    <w:rsid w:val="003C5D3B"/>
    <w:rsid w:val="003E3EE7"/>
    <w:rsid w:val="003F6238"/>
    <w:rsid w:val="003F6A5E"/>
    <w:rsid w:val="004146B3"/>
    <w:rsid w:val="0045176D"/>
    <w:rsid w:val="00451A32"/>
    <w:rsid w:val="00457D4A"/>
    <w:rsid w:val="00464080"/>
    <w:rsid w:val="004E0CAF"/>
    <w:rsid w:val="004E2C6C"/>
    <w:rsid w:val="004F5743"/>
    <w:rsid w:val="004F5CE4"/>
    <w:rsid w:val="005532F6"/>
    <w:rsid w:val="00560B24"/>
    <w:rsid w:val="005636B1"/>
    <w:rsid w:val="0057002B"/>
    <w:rsid w:val="00575847"/>
    <w:rsid w:val="00591F73"/>
    <w:rsid w:val="005A3733"/>
    <w:rsid w:val="005A5959"/>
    <w:rsid w:val="005C73DA"/>
    <w:rsid w:val="00604E06"/>
    <w:rsid w:val="0065763C"/>
    <w:rsid w:val="00660DA8"/>
    <w:rsid w:val="00682296"/>
    <w:rsid w:val="00687977"/>
    <w:rsid w:val="006A1AFE"/>
    <w:rsid w:val="006B463C"/>
    <w:rsid w:val="006E000F"/>
    <w:rsid w:val="007176DA"/>
    <w:rsid w:val="00726019"/>
    <w:rsid w:val="0074348C"/>
    <w:rsid w:val="00743943"/>
    <w:rsid w:val="007663A3"/>
    <w:rsid w:val="007B70AE"/>
    <w:rsid w:val="007E4691"/>
    <w:rsid w:val="00820299"/>
    <w:rsid w:val="00837938"/>
    <w:rsid w:val="0085718A"/>
    <w:rsid w:val="0088407D"/>
    <w:rsid w:val="008A6107"/>
    <w:rsid w:val="008B24C8"/>
    <w:rsid w:val="008C228D"/>
    <w:rsid w:val="00915032"/>
    <w:rsid w:val="00916CEB"/>
    <w:rsid w:val="0092614E"/>
    <w:rsid w:val="00941B74"/>
    <w:rsid w:val="00967473"/>
    <w:rsid w:val="009A4346"/>
    <w:rsid w:val="009C2D02"/>
    <w:rsid w:val="00A05061"/>
    <w:rsid w:val="00A11841"/>
    <w:rsid w:val="00A175B0"/>
    <w:rsid w:val="00A36032"/>
    <w:rsid w:val="00A645E1"/>
    <w:rsid w:val="00AA4557"/>
    <w:rsid w:val="00AA4F77"/>
    <w:rsid w:val="00AB2A54"/>
    <w:rsid w:val="00AD2778"/>
    <w:rsid w:val="00AD4F0D"/>
    <w:rsid w:val="00B405D0"/>
    <w:rsid w:val="00B445D9"/>
    <w:rsid w:val="00B65A06"/>
    <w:rsid w:val="00B75478"/>
    <w:rsid w:val="00BA02FF"/>
    <w:rsid w:val="00BB0CF2"/>
    <w:rsid w:val="00BB2DB2"/>
    <w:rsid w:val="00BD598E"/>
    <w:rsid w:val="00BE3E7F"/>
    <w:rsid w:val="00BE5D52"/>
    <w:rsid w:val="00C203EF"/>
    <w:rsid w:val="00C46737"/>
    <w:rsid w:val="00C508DB"/>
    <w:rsid w:val="00C53D21"/>
    <w:rsid w:val="00C81A5E"/>
    <w:rsid w:val="00C930F2"/>
    <w:rsid w:val="00CD3B51"/>
    <w:rsid w:val="00CE6335"/>
    <w:rsid w:val="00D37C23"/>
    <w:rsid w:val="00D40E1E"/>
    <w:rsid w:val="00D55815"/>
    <w:rsid w:val="00DA51C2"/>
    <w:rsid w:val="00DB0ED8"/>
    <w:rsid w:val="00DB3CF0"/>
    <w:rsid w:val="00DB6A92"/>
    <w:rsid w:val="00DC16E1"/>
    <w:rsid w:val="00DE2761"/>
    <w:rsid w:val="00DE447C"/>
    <w:rsid w:val="00DE46C0"/>
    <w:rsid w:val="00DE7F35"/>
    <w:rsid w:val="00DF1CB4"/>
    <w:rsid w:val="00E00825"/>
    <w:rsid w:val="00E03DCC"/>
    <w:rsid w:val="00E45FE2"/>
    <w:rsid w:val="00E51C62"/>
    <w:rsid w:val="00E6680C"/>
    <w:rsid w:val="00EA12C9"/>
    <w:rsid w:val="00EA2346"/>
    <w:rsid w:val="00EE5208"/>
    <w:rsid w:val="00F703DE"/>
    <w:rsid w:val="00FA35AD"/>
    <w:rsid w:val="00FB0EBE"/>
    <w:rsid w:val="00FE0FEE"/>
    <w:rsid w:val="00FE3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5712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DC16E1"/>
    <w:rPr>
      <w:sz w:val="16"/>
      <w:szCs w:val="16"/>
    </w:rPr>
  </w:style>
  <w:style w:type="paragraph" w:styleId="CommentText">
    <w:name w:val="annotation text"/>
    <w:basedOn w:val="Normal"/>
    <w:link w:val="CommentTextChar"/>
    <w:uiPriority w:val="99"/>
    <w:semiHidden/>
    <w:unhideWhenUsed/>
    <w:rsid w:val="00DC16E1"/>
    <w:pPr>
      <w:spacing w:line="240" w:lineRule="auto"/>
    </w:pPr>
    <w:rPr>
      <w:sz w:val="20"/>
      <w:szCs w:val="20"/>
    </w:rPr>
  </w:style>
  <w:style w:type="character" w:customStyle="1" w:styleId="CommentTextChar">
    <w:name w:val="Comment Text Char"/>
    <w:basedOn w:val="DefaultParagraphFont"/>
    <w:link w:val="CommentText"/>
    <w:uiPriority w:val="99"/>
    <w:semiHidden/>
    <w:rsid w:val="00DC16E1"/>
    <w:rPr>
      <w:sz w:val="20"/>
      <w:szCs w:val="20"/>
    </w:rPr>
  </w:style>
  <w:style w:type="paragraph" w:styleId="CommentSubject">
    <w:name w:val="annotation subject"/>
    <w:basedOn w:val="CommentText"/>
    <w:next w:val="CommentText"/>
    <w:link w:val="CommentSubjectChar"/>
    <w:uiPriority w:val="99"/>
    <w:semiHidden/>
    <w:unhideWhenUsed/>
    <w:rsid w:val="00DC16E1"/>
    <w:rPr>
      <w:b/>
      <w:bCs/>
    </w:rPr>
  </w:style>
  <w:style w:type="character" w:customStyle="1" w:styleId="CommentSubjectChar">
    <w:name w:val="Comment Subject Char"/>
    <w:basedOn w:val="CommentTextChar"/>
    <w:link w:val="CommentSubject"/>
    <w:uiPriority w:val="99"/>
    <w:semiHidden/>
    <w:rsid w:val="00DC16E1"/>
    <w:rPr>
      <w:b/>
      <w:bCs/>
      <w:sz w:val="20"/>
      <w:szCs w:val="20"/>
    </w:rPr>
  </w:style>
  <w:style w:type="paragraph" w:styleId="BalloonText">
    <w:name w:val="Balloon Text"/>
    <w:basedOn w:val="Normal"/>
    <w:link w:val="BalloonTextChar"/>
    <w:uiPriority w:val="99"/>
    <w:semiHidden/>
    <w:unhideWhenUsed/>
    <w:rsid w:val="00DC1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6E1"/>
    <w:rPr>
      <w:rFonts w:ascii="Segoe UI" w:hAnsi="Segoe UI" w:cs="Segoe UI"/>
      <w:sz w:val="18"/>
      <w:szCs w:val="18"/>
    </w:rPr>
  </w:style>
  <w:style w:type="character" w:styleId="Hyperlink">
    <w:name w:val="Hyperlink"/>
    <w:basedOn w:val="DefaultParagraphFont"/>
    <w:uiPriority w:val="99"/>
    <w:semiHidden/>
    <w:unhideWhenUsed/>
    <w:rsid w:val="005A5959"/>
    <w:rPr>
      <w:color w:val="0000FF"/>
      <w:u w:val="single"/>
    </w:rPr>
  </w:style>
  <w:style w:type="paragraph" w:styleId="Header">
    <w:name w:val="header"/>
    <w:basedOn w:val="Normal"/>
    <w:link w:val="HeaderChar"/>
    <w:uiPriority w:val="99"/>
    <w:unhideWhenUsed/>
    <w:rsid w:val="00C50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8DB"/>
  </w:style>
  <w:style w:type="paragraph" w:styleId="Footer">
    <w:name w:val="footer"/>
    <w:basedOn w:val="Normal"/>
    <w:link w:val="FooterChar"/>
    <w:uiPriority w:val="99"/>
    <w:unhideWhenUsed/>
    <w:rsid w:val="00C50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8DB"/>
  </w:style>
  <w:style w:type="character" w:customStyle="1" w:styleId="CharAmSchText">
    <w:name w:val="CharAmSchText"/>
    <w:basedOn w:val="DefaultParagraphFont"/>
    <w:uiPriority w:val="1"/>
    <w:qFormat/>
    <w:rsid w:val="00657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86270">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4556</Characters>
  <Application>Microsoft Office Word</Application>
  <DocSecurity>0</DocSecurity>
  <Lines>71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2024-12-06T10:12:00Z</dcterms:created>
  <dcterms:modified xsi:type="dcterms:W3CDTF">2024-12-06T10:22:00Z</dcterms:modified>
</cp:coreProperties>
</file>