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D0D7" w14:textId="77777777" w:rsidR="00937177" w:rsidRPr="00B07F27" w:rsidRDefault="00C67152" w:rsidP="00C67152">
      <w:pPr>
        <w:spacing w:after="0" w:line="240" w:lineRule="auto"/>
        <w:jc w:val="center"/>
        <w:rPr>
          <w:rFonts w:ascii="Times New Roman" w:hAnsi="Times New Roman" w:cs="Times New Roman"/>
          <w:b/>
          <w:sz w:val="28"/>
          <w:lang w:val="en-US"/>
        </w:rPr>
      </w:pPr>
      <w:bookmarkStart w:id="0" w:name="_GoBack"/>
      <w:bookmarkEnd w:id="0"/>
      <w:r w:rsidRPr="00B07F27">
        <w:rPr>
          <w:rFonts w:ascii="Times New Roman" w:hAnsi="Times New Roman" w:cs="Times New Roman"/>
          <w:b/>
          <w:sz w:val="28"/>
          <w:lang w:val="en-US"/>
        </w:rPr>
        <w:t>Explanatory Statement</w:t>
      </w:r>
    </w:p>
    <w:p w14:paraId="4D69BA72" w14:textId="77777777" w:rsidR="00C67152" w:rsidRPr="00B07F27" w:rsidRDefault="00C67152" w:rsidP="00C67152">
      <w:pPr>
        <w:spacing w:after="0" w:line="240" w:lineRule="auto"/>
        <w:jc w:val="center"/>
        <w:rPr>
          <w:rFonts w:ascii="Times New Roman" w:hAnsi="Times New Roman" w:cs="Times New Roman"/>
          <w:i/>
          <w:sz w:val="24"/>
          <w:lang w:val="en-US"/>
        </w:rPr>
      </w:pPr>
    </w:p>
    <w:p w14:paraId="6C228872" w14:textId="77777777" w:rsidR="00853DB7" w:rsidRPr="00B07F27" w:rsidRDefault="00853DB7" w:rsidP="00853DB7">
      <w:pPr>
        <w:spacing w:after="0" w:line="240" w:lineRule="auto"/>
        <w:jc w:val="center"/>
        <w:rPr>
          <w:rFonts w:ascii="Times New Roman" w:hAnsi="Times New Roman" w:cs="Times New Roman"/>
          <w:sz w:val="24"/>
          <w:lang w:val="en-US"/>
        </w:rPr>
      </w:pPr>
      <w:r w:rsidRPr="00B07F27">
        <w:rPr>
          <w:rFonts w:ascii="Times New Roman" w:hAnsi="Times New Roman" w:cs="Times New Roman"/>
          <w:sz w:val="24"/>
          <w:lang w:val="en-US"/>
        </w:rPr>
        <w:t>Issued by the authority of the Minister for Communications</w:t>
      </w:r>
    </w:p>
    <w:p w14:paraId="03D95FE0" w14:textId="77777777" w:rsidR="00853DB7" w:rsidRPr="00B07F27" w:rsidRDefault="00853DB7" w:rsidP="00C67152">
      <w:pPr>
        <w:spacing w:after="0" w:line="240" w:lineRule="auto"/>
        <w:jc w:val="center"/>
        <w:rPr>
          <w:rFonts w:ascii="Times New Roman" w:hAnsi="Times New Roman" w:cs="Times New Roman"/>
          <w:i/>
          <w:sz w:val="24"/>
          <w:lang w:val="en-US"/>
        </w:rPr>
      </w:pPr>
    </w:p>
    <w:p w14:paraId="453FBB90" w14:textId="77777777" w:rsidR="00C67152" w:rsidRPr="00B07F27" w:rsidRDefault="00C67152" w:rsidP="00C67152">
      <w:pPr>
        <w:spacing w:after="0" w:line="240" w:lineRule="auto"/>
        <w:jc w:val="center"/>
        <w:rPr>
          <w:rFonts w:ascii="Times New Roman" w:hAnsi="Times New Roman" w:cs="Times New Roman"/>
          <w:i/>
          <w:sz w:val="24"/>
          <w:lang w:val="en-US"/>
        </w:rPr>
      </w:pPr>
      <w:r w:rsidRPr="00B07F27">
        <w:rPr>
          <w:rFonts w:ascii="Times New Roman" w:hAnsi="Times New Roman" w:cs="Times New Roman"/>
          <w:i/>
          <w:sz w:val="24"/>
          <w:lang w:val="en-US"/>
        </w:rPr>
        <w:t>Telecommunications Act 1997</w:t>
      </w:r>
    </w:p>
    <w:p w14:paraId="390B5D14" w14:textId="77777777" w:rsidR="00C67152" w:rsidRPr="00B07F27" w:rsidRDefault="00C67152" w:rsidP="00C67152">
      <w:pPr>
        <w:spacing w:after="0" w:line="240" w:lineRule="auto"/>
        <w:jc w:val="center"/>
        <w:rPr>
          <w:rFonts w:ascii="Times New Roman" w:hAnsi="Times New Roman" w:cs="Times New Roman"/>
          <w:sz w:val="24"/>
          <w:lang w:val="en-US"/>
        </w:rPr>
      </w:pPr>
    </w:p>
    <w:p w14:paraId="03FE92F9" w14:textId="5C3B5BDD" w:rsidR="005D0515" w:rsidRPr="005D0515" w:rsidRDefault="00C67152" w:rsidP="005D0515">
      <w:pPr>
        <w:pStyle w:val="ShortT"/>
        <w:jc w:val="center"/>
        <w:rPr>
          <w:i/>
          <w:sz w:val="24"/>
          <w:lang w:val="en-US"/>
        </w:rPr>
      </w:pPr>
      <w:r w:rsidRPr="00B07F27">
        <w:rPr>
          <w:i/>
          <w:sz w:val="24"/>
          <w:lang w:val="en-US"/>
        </w:rPr>
        <w:t>Telecommunications</w:t>
      </w:r>
      <w:r w:rsidR="005D0515" w:rsidRPr="005D0515">
        <w:rPr>
          <w:i/>
          <w:sz w:val="24"/>
          <w:lang w:val="en-US"/>
        </w:rPr>
        <w:t xml:space="preserve"> </w:t>
      </w:r>
      <w:r w:rsidR="00215140">
        <w:rPr>
          <w:i/>
          <w:sz w:val="24"/>
          <w:lang w:val="en-US"/>
        </w:rPr>
        <w:t>(</w:t>
      </w:r>
      <w:bookmarkStart w:id="1" w:name="_Hlk168039897"/>
      <w:r w:rsidR="00215140">
        <w:rPr>
          <w:i/>
          <w:sz w:val="24"/>
          <w:lang w:val="en-US"/>
        </w:rPr>
        <w:t>Domestic</w:t>
      </w:r>
      <w:r w:rsidR="008E52C5">
        <w:rPr>
          <w:i/>
          <w:sz w:val="24"/>
          <w:lang w:val="en-US"/>
        </w:rPr>
        <w:t>,</w:t>
      </w:r>
      <w:r w:rsidR="002E20EC">
        <w:rPr>
          <w:i/>
          <w:sz w:val="24"/>
          <w:lang w:val="en-US"/>
        </w:rPr>
        <w:t xml:space="preserve"> </w:t>
      </w:r>
      <w:r w:rsidR="00215140">
        <w:rPr>
          <w:i/>
          <w:sz w:val="24"/>
          <w:lang w:val="en-US"/>
        </w:rPr>
        <w:t>Family</w:t>
      </w:r>
      <w:r w:rsidR="008E52C5">
        <w:rPr>
          <w:i/>
          <w:sz w:val="24"/>
          <w:lang w:val="en-US"/>
        </w:rPr>
        <w:t xml:space="preserve"> and Sexual</w:t>
      </w:r>
      <w:r w:rsidR="00215140">
        <w:rPr>
          <w:i/>
          <w:sz w:val="24"/>
          <w:lang w:val="en-US"/>
        </w:rPr>
        <w:t xml:space="preserve"> Violence </w:t>
      </w:r>
      <w:r w:rsidR="009F1E0B" w:rsidRPr="009F1E0B">
        <w:rPr>
          <w:i/>
          <w:sz w:val="24"/>
          <w:lang w:val="en-US"/>
        </w:rPr>
        <w:t>Consumer</w:t>
      </w:r>
      <w:r w:rsidR="00215140">
        <w:rPr>
          <w:i/>
          <w:sz w:val="24"/>
          <w:lang w:val="en-US"/>
        </w:rPr>
        <w:t xml:space="preserve"> Protections</w:t>
      </w:r>
      <w:r w:rsidR="005D0515" w:rsidRPr="005D0515">
        <w:rPr>
          <w:i/>
          <w:sz w:val="24"/>
          <w:lang w:val="en-US"/>
        </w:rPr>
        <w:t xml:space="preserve"> Industry Standard</w:t>
      </w:r>
      <w:bookmarkEnd w:id="1"/>
      <w:r w:rsidR="005D0515" w:rsidRPr="005D0515">
        <w:rPr>
          <w:i/>
          <w:sz w:val="24"/>
          <w:lang w:val="en-US"/>
        </w:rPr>
        <w:t>)</w:t>
      </w:r>
      <w:r w:rsidR="005D0515">
        <w:rPr>
          <w:i/>
          <w:sz w:val="24"/>
          <w:lang w:val="en-US"/>
        </w:rPr>
        <w:t xml:space="preserve"> </w:t>
      </w:r>
      <w:r w:rsidR="005D0515" w:rsidRPr="005D0515">
        <w:rPr>
          <w:i/>
          <w:sz w:val="24"/>
          <w:lang w:val="en-US"/>
        </w:rPr>
        <w:t>Direction</w:t>
      </w:r>
      <w:r w:rsidR="005D0515">
        <w:rPr>
          <w:i/>
          <w:sz w:val="24"/>
          <w:lang w:val="en-US"/>
        </w:rPr>
        <w:t> </w:t>
      </w:r>
      <w:r w:rsidR="005D0515" w:rsidRPr="005D0515">
        <w:rPr>
          <w:i/>
          <w:sz w:val="24"/>
          <w:lang w:val="en-US"/>
        </w:rPr>
        <w:t>2024</w:t>
      </w:r>
    </w:p>
    <w:p w14:paraId="5859119A" w14:textId="77777777" w:rsidR="00C67152" w:rsidRPr="00B07F27" w:rsidRDefault="00C67152" w:rsidP="00C67152">
      <w:pPr>
        <w:spacing w:after="0" w:line="240" w:lineRule="auto"/>
        <w:jc w:val="center"/>
        <w:rPr>
          <w:rFonts w:ascii="Times New Roman" w:hAnsi="Times New Roman" w:cs="Times New Roman"/>
          <w:sz w:val="24"/>
          <w:lang w:val="en-US"/>
        </w:rPr>
      </w:pPr>
    </w:p>
    <w:p w14:paraId="6C053528" w14:textId="77777777" w:rsidR="00C67152" w:rsidRPr="00B07F27" w:rsidRDefault="00C67152" w:rsidP="00C67152">
      <w:pPr>
        <w:spacing w:after="0" w:line="240" w:lineRule="auto"/>
        <w:jc w:val="center"/>
        <w:rPr>
          <w:rFonts w:ascii="Times New Roman" w:hAnsi="Times New Roman" w:cs="Times New Roman"/>
          <w:sz w:val="24"/>
          <w:lang w:val="en-US"/>
        </w:rPr>
      </w:pPr>
    </w:p>
    <w:p w14:paraId="1ED5352C" w14:textId="77777777" w:rsidR="00853DB7" w:rsidRPr="00B07F27" w:rsidRDefault="00853DB7" w:rsidP="00C67152">
      <w:pPr>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Authority</w:t>
      </w:r>
    </w:p>
    <w:p w14:paraId="7465935A" w14:textId="77777777" w:rsidR="00C444B5" w:rsidRPr="00B07F27" w:rsidRDefault="00C444B5" w:rsidP="00C67152">
      <w:pPr>
        <w:spacing w:after="0" w:line="240" w:lineRule="auto"/>
        <w:rPr>
          <w:rFonts w:ascii="Times New Roman" w:hAnsi="Times New Roman" w:cs="Times New Roman"/>
          <w:b/>
          <w:sz w:val="24"/>
          <w:lang w:val="en-US"/>
        </w:rPr>
      </w:pPr>
    </w:p>
    <w:p w14:paraId="77D2D0A3" w14:textId="6C401582" w:rsidR="00853DB7" w:rsidRPr="00B07F27" w:rsidRDefault="00853DB7" w:rsidP="00853DB7">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 xml:space="preserve">The </w:t>
      </w:r>
      <w:r w:rsidRPr="00B07F27">
        <w:rPr>
          <w:rFonts w:ascii="Times New Roman" w:hAnsi="Times New Roman" w:cs="Times New Roman"/>
          <w:i/>
          <w:sz w:val="24"/>
          <w:lang w:val="en-US"/>
        </w:rPr>
        <w:t>Telecommunications (</w:t>
      </w:r>
      <w:r w:rsidR="00215140">
        <w:rPr>
          <w:rFonts w:ascii="Times New Roman" w:hAnsi="Times New Roman" w:cs="Times New Roman"/>
          <w:i/>
          <w:sz w:val="24"/>
          <w:lang w:val="en-US"/>
        </w:rPr>
        <w:t>Domestic</w:t>
      </w:r>
      <w:r w:rsidR="002E20EC">
        <w:rPr>
          <w:rFonts w:ascii="Times New Roman" w:hAnsi="Times New Roman" w:cs="Times New Roman"/>
          <w:i/>
          <w:sz w:val="24"/>
          <w:lang w:val="en-US"/>
        </w:rPr>
        <w:t>,</w:t>
      </w:r>
      <w:r w:rsidR="00215140">
        <w:rPr>
          <w:rFonts w:ascii="Times New Roman" w:hAnsi="Times New Roman" w:cs="Times New Roman"/>
          <w:i/>
          <w:sz w:val="24"/>
          <w:lang w:val="en-US"/>
        </w:rPr>
        <w:t xml:space="preserve"> Family</w:t>
      </w:r>
      <w:r w:rsidR="002E20EC">
        <w:rPr>
          <w:rFonts w:ascii="Times New Roman" w:hAnsi="Times New Roman" w:cs="Times New Roman"/>
          <w:i/>
          <w:sz w:val="24"/>
          <w:lang w:val="en-US"/>
        </w:rPr>
        <w:t xml:space="preserve"> and Sexual</w:t>
      </w:r>
      <w:r w:rsidR="00215140">
        <w:rPr>
          <w:rFonts w:ascii="Times New Roman" w:hAnsi="Times New Roman" w:cs="Times New Roman"/>
          <w:i/>
          <w:sz w:val="24"/>
          <w:lang w:val="en-US"/>
        </w:rPr>
        <w:t xml:space="preserve"> Violence </w:t>
      </w:r>
      <w:r w:rsidR="009F1E0B">
        <w:rPr>
          <w:rFonts w:ascii="Times New Roman" w:hAnsi="Times New Roman" w:cs="Times New Roman"/>
          <w:i/>
          <w:sz w:val="24"/>
          <w:lang w:val="en-US"/>
        </w:rPr>
        <w:t>Consumer</w:t>
      </w:r>
      <w:r w:rsidR="00215140">
        <w:rPr>
          <w:rFonts w:ascii="Times New Roman" w:hAnsi="Times New Roman" w:cs="Times New Roman"/>
          <w:i/>
          <w:sz w:val="24"/>
          <w:lang w:val="en-US"/>
        </w:rPr>
        <w:t xml:space="preserve"> Protections</w:t>
      </w:r>
      <w:r w:rsidR="005D0515">
        <w:rPr>
          <w:rFonts w:ascii="Times New Roman" w:hAnsi="Times New Roman" w:cs="Times New Roman"/>
          <w:i/>
          <w:sz w:val="24"/>
          <w:lang w:val="en-US"/>
        </w:rPr>
        <w:t xml:space="preserve"> Industry Standard</w:t>
      </w:r>
      <w:r w:rsidRPr="00B07F27">
        <w:rPr>
          <w:rFonts w:ascii="Times New Roman" w:hAnsi="Times New Roman" w:cs="Times New Roman"/>
          <w:i/>
          <w:sz w:val="24"/>
          <w:lang w:val="en-US"/>
        </w:rPr>
        <w:t>) Direction 202</w:t>
      </w:r>
      <w:r w:rsidR="005D0515">
        <w:rPr>
          <w:rFonts w:ascii="Times New Roman" w:hAnsi="Times New Roman" w:cs="Times New Roman"/>
          <w:i/>
          <w:sz w:val="24"/>
          <w:lang w:val="en-US"/>
        </w:rPr>
        <w:t>4</w:t>
      </w:r>
      <w:r w:rsidRPr="00B07F27">
        <w:rPr>
          <w:rFonts w:ascii="Times New Roman" w:hAnsi="Times New Roman" w:cs="Times New Roman"/>
          <w:sz w:val="24"/>
          <w:lang w:val="en-US"/>
        </w:rPr>
        <w:t xml:space="preserve"> (the</w:t>
      </w:r>
      <w:r w:rsidR="002E0339" w:rsidRPr="00B07F27">
        <w:rPr>
          <w:rFonts w:ascii="Times New Roman" w:hAnsi="Times New Roman" w:cs="Times New Roman"/>
          <w:sz w:val="24"/>
          <w:lang w:val="en-US"/>
        </w:rPr>
        <w:t> </w:t>
      </w:r>
      <w:r w:rsidRPr="00B07F27">
        <w:rPr>
          <w:rFonts w:ascii="Times New Roman" w:hAnsi="Times New Roman" w:cs="Times New Roman"/>
          <w:sz w:val="24"/>
          <w:lang w:val="en-US"/>
        </w:rPr>
        <w:t>Direction) is made by the Minister for Communications (the Minister) under 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 xml:space="preserve">4) of the </w:t>
      </w:r>
      <w:r w:rsidRPr="00B07F27">
        <w:rPr>
          <w:rFonts w:ascii="Times New Roman" w:hAnsi="Times New Roman" w:cs="Times New Roman"/>
          <w:i/>
          <w:sz w:val="24"/>
          <w:lang w:val="en-US"/>
        </w:rPr>
        <w:t>Telecommunications Act 1997</w:t>
      </w:r>
      <w:r w:rsidRPr="00B07F27">
        <w:rPr>
          <w:rFonts w:ascii="Times New Roman" w:hAnsi="Times New Roman" w:cs="Times New Roman"/>
          <w:sz w:val="24"/>
          <w:lang w:val="en-US"/>
        </w:rPr>
        <w:t xml:space="preserve"> (the Act).</w:t>
      </w:r>
    </w:p>
    <w:p w14:paraId="6D9B019C" w14:textId="77777777" w:rsidR="003E2607" w:rsidRPr="00B07F27" w:rsidRDefault="003E2607" w:rsidP="00853DB7">
      <w:pPr>
        <w:spacing w:after="0" w:line="240" w:lineRule="auto"/>
        <w:rPr>
          <w:rFonts w:ascii="Times New Roman" w:hAnsi="Times New Roman" w:cs="Times New Roman"/>
          <w:sz w:val="24"/>
          <w:lang w:val="en-US"/>
        </w:rPr>
      </w:pPr>
    </w:p>
    <w:p w14:paraId="6E99BC60" w14:textId="77777777" w:rsidR="00EA43B3" w:rsidRPr="00B07F27" w:rsidRDefault="00EA43B3" w:rsidP="00853DB7">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Subs</w:t>
      </w:r>
      <w:r w:rsidR="003E2607" w:rsidRPr="00B07F27">
        <w:rPr>
          <w:rFonts w:ascii="Times New Roman" w:hAnsi="Times New Roman" w:cs="Times New Roman"/>
          <w:sz w:val="24"/>
          <w:lang w:val="en-US"/>
        </w:rPr>
        <w:t>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4)</w:t>
      </w:r>
      <w:r w:rsidR="003E2607" w:rsidRPr="00B07F27">
        <w:rPr>
          <w:rFonts w:ascii="Times New Roman" w:hAnsi="Times New Roman" w:cs="Times New Roman"/>
          <w:sz w:val="24"/>
          <w:lang w:val="en-US"/>
        </w:rPr>
        <w:t xml:space="preserve"> of the Act </w:t>
      </w:r>
      <w:r w:rsidRPr="00B07F27">
        <w:rPr>
          <w:rFonts w:ascii="Times New Roman" w:hAnsi="Times New Roman" w:cs="Times New Roman"/>
          <w:sz w:val="24"/>
          <w:lang w:val="en-US"/>
        </w:rPr>
        <w:t>enables</w:t>
      </w:r>
      <w:r w:rsidR="003E2607" w:rsidRPr="00B07F27">
        <w:rPr>
          <w:rFonts w:ascii="Times New Roman" w:hAnsi="Times New Roman" w:cs="Times New Roman"/>
          <w:sz w:val="24"/>
          <w:lang w:val="en-US"/>
        </w:rPr>
        <w:t xml:space="preserve"> the Minister to direct </w:t>
      </w:r>
      <w:r w:rsidR="00EE7223" w:rsidRPr="00B07F27">
        <w:rPr>
          <w:rFonts w:ascii="Times New Roman" w:hAnsi="Times New Roman" w:cs="Times New Roman"/>
          <w:sz w:val="24"/>
          <w:lang w:val="en-US"/>
        </w:rPr>
        <w:t>the Australian Communications and Media Authority (</w:t>
      </w:r>
      <w:r w:rsidR="003E2607" w:rsidRPr="00B07F27">
        <w:rPr>
          <w:rFonts w:ascii="Times New Roman" w:hAnsi="Times New Roman" w:cs="Times New Roman"/>
          <w:sz w:val="24"/>
          <w:lang w:val="en-US"/>
        </w:rPr>
        <w:t>ACMA</w:t>
      </w:r>
      <w:r w:rsidR="00EE7223" w:rsidRPr="00B07F27">
        <w:rPr>
          <w:rFonts w:ascii="Times New Roman" w:hAnsi="Times New Roman" w:cs="Times New Roman"/>
          <w:sz w:val="24"/>
          <w:lang w:val="en-US"/>
        </w:rPr>
        <w:t>)</w:t>
      </w:r>
      <w:r w:rsidR="003E2607" w:rsidRPr="00B07F27">
        <w:rPr>
          <w:rFonts w:ascii="Times New Roman" w:hAnsi="Times New Roman" w:cs="Times New Roman"/>
          <w:sz w:val="24"/>
          <w:lang w:val="en-US"/>
        </w:rPr>
        <w:t xml:space="preserve"> to determine an industry standard that applies to participants in a </w:t>
      </w:r>
      <w:r w:rsidR="00590036" w:rsidRPr="00B07F27">
        <w:rPr>
          <w:rFonts w:ascii="Times New Roman" w:hAnsi="Times New Roman" w:cs="Times New Roman"/>
          <w:sz w:val="24"/>
          <w:lang w:val="en-US"/>
        </w:rPr>
        <w:t xml:space="preserve">specified </w:t>
      </w:r>
      <w:r w:rsidR="003E2607" w:rsidRPr="00B07F27">
        <w:rPr>
          <w:rFonts w:ascii="Times New Roman" w:hAnsi="Times New Roman" w:cs="Times New Roman"/>
          <w:sz w:val="24"/>
          <w:lang w:val="en-US"/>
        </w:rPr>
        <w:t>section of the telecommunications industry, and deals with one or more matters relating to the telecommunications activities of those participants</w:t>
      </w:r>
      <w:r w:rsidRPr="00B07F27">
        <w:rPr>
          <w:rFonts w:ascii="Times New Roman" w:hAnsi="Times New Roman" w:cs="Times New Roman"/>
          <w:sz w:val="24"/>
          <w:lang w:val="en-US"/>
        </w:rPr>
        <w:t xml:space="preserve">. </w:t>
      </w:r>
    </w:p>
    <w:p w14:paraId="1ADC8EB6" w14:textId="77777777" w:rsidR="00EA43B3" w:rsidRPr="00B07F27" w:rsidRDefault="00EA43B3" w:rsidP="00853DB7">
      <w:pPr>
        <w:spacing w:after="0" w:line="240" w:lineRule="auto"/>
        <w:rPr>
          <w:rFonts w:ascii="Times New Roman" w:hAnsi="Times New Roman" w:cs="Times New Roman"/>
          <w:sz w:val="24"/>
          <w:lang w:val="en-US"/>
        </w:rPr>
      </w:pPr>
    </w:p>
    <w:p w14:paraId="1A5B9BE2" w14:textId="77777777" w:rsidR="00AC34E6" w:rsidRDefault="00EA43B3" w:rsidP="00853DB7">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1) of the Act provides that the ACMA may</w:t>
      </w:r>
      <w:r w:rsidR="00101F61" w:rsidRPr="00B07F27">
        <w:rPr>
          <w:rFonts w:ascii="Times New Roman" w:hAnsi="Times New Roman" w:cs="Times New Roman"/>
          <w:sz w:val="24"/>
          <w:lang w:val="en-US"/>
        </w:rPr>
        <w:t>, by legislative instrument,</w:t>
      </w:r>
      <w:r w:rsidRPr="00B07F27">
        <w:rPr>
          <w:rFonts w:ascii="Times New Roman" w:hAnsi="Times New Roman" w:cs="Times New Roman"/>
          <w:sz w:val="24"/>
          <w:lang w:val="en-US"/>
        </w:rPr>
        <w:t xml:space="preserve"> determine an industry standard that applies to participants in a </w:t>
      </w:r>
      <w:r w:rsidR="00590036" w:rsidRPr="00B07F27">
        <w:rPr>
          <w:rFonts w:ascii="Times New Roman" w:hAnsi="Times New Roman" w:cs="Times New Roman"/>
          <w:sz w:val="24"/>
          <w:lang w:val="en-US"/>
        </w:rPr>
        <w:t xml:space="preserve">particular </w:t>
      </w:r>
      <w:r w:rsidRPr="00B07F27">
        <w:rPr>
          <w:rFonts w:ascii="Times New Roman" w:hAnsi="Times New Roman" w:cs="Times New Roman"/>
          <w:sz w:val="24"/>
          <w:lang w:val="en-US"/>
        </w:rPr>
        <w:t>section of the telecommunications industry, and deals with one or more matters relating to the telecommunications activities of those participants. 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5) of the Act provides that the ACMA can only determine an industry standard under subsection 125</w:t>
      </w:r>
      <w:r w:rsidR="000D0B72" w:rsidRPr="00B07F27">
        <w:rPr>
          <w:rFonts w:ascii="Times New Roman" w:hAnsi="Times New Roman" w:cs="Times New Roman"/>
          <w:sz w:val="24"/>
          <w:lang w:val="en-US"/>
        </w:rPr>
        <w:t>AA(</w:t>
      </w:r>
      <w:r w:rsidRPr="00B07F27">
        <w:rPr>
          <w:rFonts w:ascii="Times New Roman" w:hAnsi="Times New Roman" w:cs="Times New Roman"/>
          <w:sz w:val="24"/>
          <w:lang w:val="en-US"/>
        </w:rPr>
        <w:t>1) if directed to do so by the Minister.</w:t>
      </w:r>
    </w:p>
    <w:p w14:paraId="4777F6AE" w14:textId="77777777" w:rsidR="00AC34E6" w:rsidRDefault="00AC34E6" w:rsidP="00853DB7">
      <w:pPr>
        <w:spacing w:after="0" w:line="240" w:lineRule="auto"/>
        <w:rPr>
          <w:rFonts w:ascii="Times New Roman" w:hAnsi="Times New Roman" w:cs="Times New Roman"/>
          <w:sz w:val="24"/>
          <w:lang w:val="en-US"/>
        </w:rPr>
      </w:pPr>
    </w:p>
    <w:p w14:paraId="603F5949" w14:textId="77777777" w:rsidR="00C67152" w:rsidRPr="00B07F27" w:rsidRDefault="00C67152" w:rsidP="00C67152">
      <w:pPr>
        <w:spacing w:after="0" w:line="240" w:lineRule="auto"/>
        <w:rPr>
          <w:rFonts w:ascii="Times New Roman" w:hAnsi="Times New Roman" w:cs="Times New Roman"/>
          <w:b/>
          <w:sz w:val="24"/>
          <w:lang w:val="en-US"/>
        </w:rPr>
      </w:pPr>
      <w:r w:rsidRPr="00442368">
        <w:rPr>
          <w:rFonts w:ascii="Times New Roman" w:hAnsi="Times New Roman" w:cs="Times New Roman"/>
          <w:b/>
          <w:sz w:val="24"/>
          <w:lang w:val="en-US"/>
        </w:rPr>
        <w:t>Purpose</w:t>
      </w:r>
      <w:r w:rsidR="004F7112" w:rsidRPr="00442368">
        <w:rPr>
          <w:rFonts w:ascii="Times New Roman" w:hAnsi="Times New Roman" w:cs="Times New Roman"/>
          <w:b/>
          <w:sz w:val="24"/>
          <w:lang w:val="en-US"/>
        </w:rPr>
        <w:t xml:space="preserve"> and operation</w:t>
      </w:r>
    </w:p>
    <w:p w14:paraId="79512AD2" w14:textId="77777777" w:rsidR="00C67152" w:rsidRPr="00B07F27" w:rsidRDefault="00C67152" w:rsidP="00C67152">
      <w:pPr>
        <w:spacing w:after="0" w:line="240" w:lineRule="auto"/>
        <w:rPr>
          <w:rFonts w:ascii="Times New Roman" w:hAnsi="Times New Roman" w:cs="Times New Roman"/>
          <w:sz w:val="24"/>
          <w:lang w:val="en-US"/>
        </w:rPr>
      </w:pPr>
    </w:p>
    <w:p w14:paraId="39E4AA4F" w14:textId="77777777" w:rsidR="00E2040D" w:rsidRDefault="00C67152" w:rsidP="00C67152">
      <w:pPr>
        <w:spacing w:after="0" w:line="240" w:lineRule="auto"/>
        <w:rPr>
          <w:rFonts w:ascii="Times New Roman" w:hAnsi="Times New Roman" w:cs="Times New Roman"/>
          <w:sz w:val="24"/>
          <w:szCs w:val="24"/>
          <w:lang w:val="en-US"/>
        </w:rPr>
      </w:pPr>
      <w:r w:rsidRPr="00FA52AA">
        <w:rPr>
          <w:rFonts w:ascii="Times New Roman" w:hAnsi="Times New Roman" w:cs="Times New Roman"/>
          <w:sz w:val="24"/>
          <w:szCs w:val="24"/>
          <w:lang w:val="en-US"/>
        </w:rPr>
        <w:t>Th</w:t>
      </w:r>
      <w:r w:rsidR="00EE7223" w:rsidRPr="00FA52AA">
        <w:rPr>
          <w:rFonts w:ascii="Times New Roman" w:hAnsi="Times New Roman" w:cs="Times New Roman"/>
          <w:sz w:val="24"/>
          <w:szCs w:val="24"/>
          <w:lang w:val="en-US"/>
        </w:rPr>
        <w:t>is</w:t>
      </w:r>
      <w:r w:rsidRPr="00FA52AA">
        <w:rPr>
          <w:rFonts w:ascii="Times New Roman" w:hAnsi="Times New Roman" w:cs="Times New Roman"/>
          <w:sz w:val="24"/>
          <w:szCs w:val="24"/>
          <w:lang w:val="en-US"/>
        </w:rPr>
        <w:t xml:space="preserve"> instrument directs the ACMA to </w:t>
      </w:r>
      <w:r w:rsidR="00215140">
        <w:rPr>
          <w:rFonts w:ascii="Times New Roman" w:hAnsi="Times New Roman" w:cs="Times New Roman"/>
          <w:sz w:val="24"/>
          <w:szCs w:val="24"/>
          <w:lang w:val="en-US"/>
        </w:rPr>
        <w:t>make an industry standard that</w:t>
      </w:r>
      <w:r w:rsidR="00EE3BC6">
        <w:rPr>
          <w:rFonts w:ascii="Times New Roman" w:hAnsi="Times New Roman" w:cs="Times New Roman"/>
          <w:sz w:val="24"/>
          <w:szCs w:val="24"/>
          <w:lang w:val="en-US"/>
        </w:rPr>
        <w:t xml:space="preserve"> deals with </w:t>
      </w:r>
      <w:r w:rsidR="00EE3BC6" w:rsidRPr="00EE3BC6">
        <w:rPr>
          <w:rFonts w:ascii="Times New Roman" w:hAnsi="Times New Roman" w:cs="Times New Roman"/>
          <w:sz w:val="24"/>
          <w:szCs w:val="24"/>
          <w:lang w:val="en-US"/>
        </w:rPr>
        <w:t>safeguarding telecommunications consumers who are</w:t>
      </w:r>
      <w:r w:rsidR="00EE3BC6" w:rsidRPr="00B6214A">
        <w:rPr>
          <w:rFonts w:ascii="Times New Roman" w:hAnsi="Times New Roman" w:cs="Times New Roman"/>
          <w:sz w:val="24"/>
          <w:szCs w:val="24"/>
          <w:lang w:val="en-US"/>
        </w:rPr>
        <w:t>, or may be</w:t>
      </w:r>
      <w:r w:rsidR="00EE3BC6" w:rsidRPr="00EE3BC6">
        <w:rPr>
          <w:rFonts w:ascii="Times New Roman" w:hAnsi="Times New Roman" w:cs="Times New Roman"/>
          <w:sz w:val="24"/>
          <w:szCs w:val="24"/>
          <w:lang w:val="en-US"/>
        </w:rPr>
        <w:t>, affected by domestic</w:t>
      </w:r>
      <w:r w:rsidR="00D4790F">
        <w:rPr>
          <w:rFonts w:ascii="Times New Roman" w:hAnsi="Times New Roman" w:cs="Times New Roman"/>
          <w:sz w:val="24"/>
          <w:szCs w:val="24"/>
          <w:lang w:val="en-US"/>
        </w:rPr>
        <w:t xml:space="preserve"> and</w:t>
      </w:r>
      <w:r w:rsidR="00EE3BC6" w:rsidRPr="00EE3BC6">
        <w:rPr>
          <w:rFonts w:ascii="Times New Roman" w:hAnsi="Times New Roman" w:cs="Times New Roman"/>
          <w:sz w:val="24"/>
          <w:szCs w:val="24"/>
          <w:lang w:val="en-US"/>
        </w:rPr>
        <w:t xml:space="preserve"> family</w:t>
      </w:r>
      <w:r w:rsidR="008E52C5">
        <w:rPr>
          <w:rFonts w:ascii="Times New Roman" w:hAnsi="Times New Roman" w:cs="Times New Roman"/>
          <w:sz w:val="24"/>
          <w:szCs w:val="24"/>
          <w:lang w:val="en-US"/>
        </w:rPr>
        <w:t xml:space="preserve"> violence</w:t>
      </w:r>
      <w:r w:rsidR="00D4790F">
        <w:rPr>
          <w:rFonts w:ascii="Times New Roman" w:hAnsi="Times New Roman" w:cs="Times New Roman"/>
          <w:sz w:val="24"/>
          <w:szCs w:val="24"/>
          <w:lang w:val="en-US"/>
        </w:rPr>
        <w:t>,</w:t>
      </w:r>
      <w:r w:rsidR="00EE3BC6" w:rsidRPr="00EE3BC6">
        <w:rPr>
          <w:rFonts w:ascii="Times New Roman" w:hAnsi="Times New Roman" w:cs="Times New Roman"/>
          <w:sz w:val="24"/>
          <w:szCs w:val="24"/>
          <w:lang w:val="en-US"/>
        </w:rPr>
        <w:t xml:space="preserve"> and</w:t>
      </w:r>
      <w:r w:rsidR="00D4790F">
        <w:rPr>
          <w:rFonts w:ascii="Times New Roman" w:hAnsi="Times New Roman" w:cs="Times New Roman"/>
          <w:sz w:val="24"/>
          <w:szCs w:val="24"/>
          <w:lang w:val="en-US"/>
        </w:rPr>
        <w:t xml:space="preserve"> where relevant,</w:t>
      </w:r>
      <w:r w:rsidR="00EE3BC6" w:rsidRPr="00EE3BC6">
        <w:rPr>
          <w:rFonts w:ascii="Times New Roman" w:hAnsi="Times New Roman" w:cs="Times New Roman"/>
          <w:sz w:val="24"/>
          <w:szCs w:val="24"/>
          <w:lang w:val="en-US"/>
        </w:rPr>
        <w:t xml:space="preserve"> sexual violence. </w:t>
      </w:r>
    </w:p>
    <w:p w14:paraId="2E2870AE" w14:textId="77777777" w:rsidR="00C67152" w:rsidRPr="00B07F27" w:rsidRDefault="00C67152" w:rsidP="00C67152">
      <w:pPr>
        <w:spacing w:after="0" w:line="240" w:lineRule="auto"/>
        <w:rPr>
          <w:rFonts w:ascii="Times New Roman" w:hAnsi="Times New Roman" w:cs="Times New Roman"/>
          <w:sz w:val="24"/>
          <w:lang w:val="en-US"/>
        </w:rPr>
      </w:pPr>
    </w:p>
    <w:p w14:paraId="6077824D" w14:textId="77777777" w:rsidR="0040686F" w:rsidRDefault="0013409C" w:rsidP="00C67152">
      <w:pPr>
        <w:spacing w:after="0" w:line="240" w:lineRule="auto"/>
        <w:rPr>
          <w:rFonts w:ascii="Times New Roman" w:hAnsi="Times New Roman" w:cs="Times New Roman"/>
          <w:sz w:val="24"/>
          <w:lang w:val="en-US"/>
        </w:rPr>
      </w:pPr>
      <w:bookmarkStart w:id="2" w:name="_Hlk142163480"/>
      <w:r w:rsidRPr="00B07F27">
        <w:rPr>
          <w:rFonts w:ascii="Times New Roman" w:hAnsi="Times New Roman" w:cs="Times New Roman"/>
          <w:sz w:val="24"/>
          <w:lang w:val="en-US"/>
        </w:rPr>
        <w:t xml:space="preserve">This instrument is a legislative instrument for the purpose of the </w:t>
      </w:r>
      <w:r w:rsidRPr="00B07F27">
        <w:rPr>
          <w:rFonts w:ascii="Times New Roman" w:hAnsi="Times New Roman" w:cs="Times New Roman"/>
          <w:i/>
          <w:sz w:val="24"/>
          <w:lang w:val="en-US"/>
        </w:rPr>
        <w:t>Legislation Act 2003.</w:t>
      </w:r>
      <w:r w:rsidRPr="00B07F27">
        <w:rPr>
          <w:rFonts w:ascii="Times New Roman" w:hAnsi="Times New Roman" w:cs="Times New Roman"/>
          <w:sz w:val="24"/>
          <w:lang w:val="en-US"/>
        </w:rPr>
        <w:t xml:space="preserve"> However, this instrument is not subject to disallowance</w:t>
      </w:r>
      <w:r>
        <w:rPr>
          <w:rFonts w:ascii="Times New Roman" w:hAnsi="Times New Roman" w:cs="Times New Roman"/>
          <w:sz w:val="24"/>
          <w:lang w:val="en-US"/>
        </w:rPr>
        <w:t xml:space="preserve"> or sunsetting</w:t>
      </w:r>
      <w:r w:rsidRPr="00B07F27">
        <w:rPr>
          <w:rFonts w:ascii="Times New Roman" w:hAnsi="Times New Roman" w:cs="Times New Roman"/>
          <w:sz w:val="24"/>
          <w:lang w:val="en-US"/>
        </w:rPr>
        <w:t xml:space="preserve">, as it is a </w:t>
      </w:r>
      <w:r w:rsidR="00AC34E6">
        <w:rPr>
          <w:rFonts w:ascii="Times New Roman" w:hAnsi="Times New Roman" w:cs="Times New Roman"/>
          <w:sz w:val="24"/>
          <w:lang w:val="en-US"/>
        </w:rPr>
        <w:t>d</w:t>
      </w:r>
      <w:r w:rsidRPr="00B07F27">
        <w:rPr>
          <w:rFonts w:ascii="Times New Roman" w:hAnsi="Times New Roman" w:cs="Times New Roman"/>
          <w:sz w:val="24"/>
          <w:lang w:val="en-US"/>
        </w:rPr>
        <w:t>irection by a Minister to a person or body (see item 2 of the table in section 9</w:t>
      </w:r>
      <w:r>
        <w:rPr>
          <w:rFonts w:ascii="Times New Roman" w:hAnsi="Times New Roman" w:cs="Times New Roman"/>
          <w:sz w:val="24"/>
          <w:lang w:val="en-US"/>
        </w:rPr>
        <w:t xml:space="preserve"> and item 3 in the table in section 11 </w:t>
      </w:r>
      <w:r w:rsidRPr="00B07F27">
        <w:rPr>
          <w:rFonts w:ascii="Times New Roman" w:hAnsi="Times New Roman" w:cs="Times New Roman"/>
          <w:sz w:val="24"/>
          <w:lang w:val="en-US"/>
        </w:rPr>
        <w:t xml:space="preserve">of the </w:t>
      </w:r>
      <w:r w:rsidRPr="00B07F27">
        <w:rPr>
          <w:rFonts w:ascii="Times New Roman" w:hAnsi="Times New Roman" w:cs="Times New Roman"/>
          <w:i/>
          <w:sz w:val="24"/>
          <w:lang w:val="en-US"/>
        </w:rPr>
        <w:t>Legislation (Exemptions and Other Matters) Regulation 2015</w:t>
      </w:r>
      <w:r w:rsidRPr="00B07F27">
        <w:rPr>
          <w:rFonts w:ascii="Times New Roman" w:hAnsi="Times New Roman" w:cs="Times New Roman"/>
          <w:sz w:val="24"/>
          <w:lang w:val="en-US"/>
        </w:rPr>
        <w:t>).</w:t>
      </w:r>
      <w:bookmarkEnd w:id="2"/>
    </w:p>
    <w:p w14:paraId="63CE9B90" w14:textId="77777777" w:rsidR="0013409C" w:rsidRPr="00B07F27" w:rsidRDefault="0013409C" w:rsidP="00C67152">
      <w:pPr>
        <w:spacing w:after="0" w:line="240" w:lineRule="auto"/>
        <w:rPr>
          <w:rFonts w:ascii="Times New Roman" w:hAnsi="Times New Roman" w:cs="Times New Roman"/>
          <w:sz w:val="24"/>
          <w:lang w:val="en-US"/>
        </w:rPr>
      </w:pPr>
    </w:p>
    <w:p w14:paraId="0832CA1E" w14:textId="77777777" w:rsidR="0040686F" w:rsidRPr="00B07F27" w:rsidRDefault="0040686F" w:rsidP="00C37B6C">
      <w:pPr>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 xml:space="preserve">Details of the Direction are set out in </w:t>
      </w:r>
      <w:r w:rsidRPr="00B07F27">
        <w:rPr>
          <w:rFonts w:ascii="Times New Roman" w:hAnsi="Times New Roman" w:cs="Times New Roman"/>
          <w:sz w:val="24"/>
          <w:u w:val="single"/>
          <w:lang w:val="en-US"/>
        </w:rPr>
        <w:t>Attachment A</w:t>
      </w:r>
      <w:r w:rsidRPr="00B07F27">
        <w:rPr>
          <w:rFonts w:ascii="Times New Roman" w:hAnsi="Times New Roman" w:cs="Times New Roman"/>
          <w:sz w:val="24"/>
          <w:lang w:val="en-US"/>
        </w:rPr>
        <w:t>.</w:t>
      </w:r>
    </w:p>
    <w:p w14:paraId="1F809C78" w14:textId="77777777" w:rsidR="005536CB" w:rsidRDefault="005536CB" w:rsidP="00C37B6C">
      <w:pPr>
        <w:spacing w:after="0" w:line="240" w:lineRule="auto"/>
        <w:rPr>
          <w:rFonts w:ascii="Times New Roman" w:hAnsi="Times New Roman" w:cs="Times New Roman"/>
          <w:sz w:val="24"/>
          <w:lang w:val="en-US"/>
        </w:rPr>
      </w:pPr>
    </w:p>
    <w:p w14:paraId="23FF6A95" w14:textId="2BEFD4DD" w:rsidR="00C67152" w:rsidRPr="005536CB" w:rsidRDefault="00001A25" w:rsidP="00C37B6C">
      <w:pPr>
        <w:spacing w:after="0" w:line="240" w:lineRule="auto"/>
        <w:rPr>
          <w:rFonts w:ascii="Times New Roman" w:hAnsi="Times New Roman" w:cs="Times New Roman"/>
          <w:sz w:val="24"/>
          <w:lang w:val="en-US"/>
        </w:rPr>
      </w:pPr>
      <w:r>
        <w:rPr>
          <w:rFonts w:ascii="Times New Roman" w:hAnsi="Times New Roman" w:cs="Times New Roman"/>
          <w:b/>
          <w:sz w:val="24"/>
          <w:lang w:val="en-US"/>
        </w:rPr>
        <w:br w:type="column"/>
      </w:r>
      <w:r w:rsidR="00C67152" w:rsidRPr="00C37B6C">
        <w:rPr>
          <w:rFonts w:ascii="Times New Roman" w:hAnsi="Times New Roman" w:cs="Times New Roman"/>
          <w:b/>
          <w:sz w:val="24"/>
          <w:lang w:val="en-US"/>
        </w:rPr>
        <w:lastRenderedPageBreak/>
        <w:t>Background</w:t>
      </w:r>
    </w:p>
    <w:p w14:paraId="18A89871" w14:textId="77777777" w:rsidR="00305616" w:rsidRDefault="00305616" w:rsidP="00A51411">
      <w:pPr>
        <w:widowControl w:val="0"/>
        <w:spacing w:after="0" w:line="240" w:lineRule="auto"/>
        <w:rPr>
          <w:rFonts w:ascii="Times New Roman" w:hAnsi="Times New Roman" w:cs="Times New Roman"/>
          <w:sz w:val="24"/>
          <w:szCs w:val="24"/>
          <w:lang w:val="en-US"/>
        </w:rPr>
      </w:pPr>
    </w:p>
    <w:p w14:paraId="16ECF760" w14:textId="77777777" w:rsidR="0002385A" w:rsidRDefault="00C257E6" w:rsidP="006148B5">
      <w:pPr>
        <w:pStyle w:val="NoSpacing"/>
        <w:widowControl w:val="0"/>
        <w:rPr>
          <w:rFonts w:ascii="Times New Roman" w:hAnsi="Times New Roman" w:cs="Times New Roman"/>
          <w:sz w:val="24"/>
          <w:szCs w:val="24"/>
          <w:lang w:val="en-US"/>
        </w:rPr>
      </w:pPr>
      <w:r w:rsidRPr="00573159">
        <w:rPr>
          <w:rFonts w:ascii="Times New Roman" w:hAnsi="Times New Roman" w:cs="Times New Roman"/>
          <w:sz w:val="24"/>
          <w:szCs w:val="24"/>
          <w:lang w:val="en-US"/>
        </w:rPr>
        <w:t>The harms of domestic</w:t>
      </w:r>
      <w:r w:rsidR="00FF4797">
        <w:rPr>
          <w:rFonts w:ascii="Times New Roman" w:hAnsi="Times New Roman" w:cs="Times New Roman"/>
          <w:sz w:val="24"/>
          <w:szCs w:val="24"/>
          <w:lang w:val="en-US"/>
        </w:rPr>
        <w:t xml:space="preserve">, </w:t>
      </w:r>
      <w:r w:rsidRPr="00573159">
        <w:rPr>
          <w:rFonts w:ascii="Times New Roman" w:hAnsi="Times New Roman" w:cs="Times New Roman"/>
          <w:sz w:val="24"/>
          <w:szCs w:val="24"/>
          <w:lang w:val="en-US"/>
        </w:rPr>
        <w:t xml:space="preserve">family and sexual violence </w:t>
      </w:r>
      <w:r w:rsidR="00122E47" w:rsidRPr="00573159">
        <w:rPr>
          <w:rFonts w:ascii="Times New Roman" w:hAnsi="Times New Roman" w:cs="Times New Roman"/>
          <w:sz w:val="24"/>
          <w:szCs w:val="24"/>
          <w:lang w:val="en-US"/>
        </w:rPr>
        <w:t>are</w:t>
      </w:r>
      <w:r w:rsidRPr="00573159">
        <w:rPr>
          <w:rFonts w:ascii="Times New Roman" w:hAnsi="Times New Roman" w:cs="Times New Roman"/>
          <w:sz w:val="24"/>
          <w:szCs w:val="24"/>
          <w:lang w:val="en-US"/>
        </w:rPr>
        <w:t xml:space="preserve"> profound and pervasive in Australian society. </w:t>
      </w:r>
      <w:r w:rsidR="009E0DD1" w:rsidRPr="00573159">
        <w:rPr>
          <w:rFonts w:ascii="Times New Roman" w:hAnsi="Times New Roman" w:cs="Times New Roman"/>
          <w:sz w:val="24"/>
          <w:szCs w:val="24"/>
          <w:lang w:val="en-US"/>
        </w:rPr>
        <w:t>Violence against women and children</w:t>
      </w:r>
      <w:r w:rsidRPr="00573159">
        <w:rPr>
          <w:rFonts w:ascii="Times New Roman" w:hAnsi="Times New Roman" w:cs="Times New Roman"/>
          <w:sz w:val="24"/>
          <w:szCs w:val="24"/>
          <w:lang w:val="en-US"/>
        </w:rPr>
        <w:t xml:space="preserve"> is a problem of epidemic proportions</w:t>
      </w:r>
      <w:r w:rsidR="00960E7A">
        <w:rPr>
          <w:rFonts w:ascii="Times New Roman" w:hAnsi="Times New Roman" w:cs="Times New Roman"/>
          <w:sz w:val="24"/>
          <w:szCs w:val="24"/>
          <w:lang w:val="en-US"/>
        </w:rPr>
        <w:t>,</w:t>
      </w:r>
      <w:r w:rsidRPr="00573159">
        <w:rPr>
          <w:rFonts w:ascii="Times New Roman" w:hAnsi="Times New Roman" w:cs="Times New Roman"/>
          <w:sz w:val="24"/>
          <w:szCs w:val="24"/>
          <w:lang w:val="en-US"/>
        </w:rPr>
        <w:t xml:space="preserve"> </w:t>
      </w:r>
      <w:r w:rsidR="00960E7A">
        <w:rPr>
          <w:rFonts w:ascii="Times New Roman" w:hAnsi="Times New Roman" w:cs="Times New Roman"/>
          <w:sz w:val="24"/>
          <w:szCs w:val="24"/>
          <w:lang w:val="en-US"/>
        </w:rPr>
        <w:t>o</w:t>
      </w:r>
      <w:r w:rsidRPr="00573159">
        <w:rPr>
          <w:rFonts w:ascii="Times New Roman" w:hAnsi="Times New Roman" w:cs="Times New Roman"/>
          <w:sz w:val="24"/>
          <w:szCs w:val="24"/>
          <w:lang w:val="en-US"/>
        </w:rPr>
        <w:t xml:space="preserve">ne in three women </w:t>
      </w:r>
      <w:r w:rsidR="00FF4797">
        <w:rPr>
          <w:rFonts w:ascii="Times New Roman" w:hAnsi="Times New Roman" w:cs="Times New Roman"/>
          <w:sz w:val="24"/>
          <w:szCs w:val="24"/>
          <w:lang w:val="en-US"/>
        </w:rPr>
        <w:t>has experienced</w:t>
      </w:r>
      <w:r w:rsidRPr="00573159">
        <w:rPr>
          <w:rFonts w:ascii="Times New Roman" w:hAnsi="Times New Roman" w:cs="Times New Roman"/>
          <w:sz w:val="24"/>
          <w:szCs w:val="24"/>
          <w:lang w:val="en-US"/>
        </w:rPr>
        <w:t xml:space="preserve"> physical violence since the age of 15, and one in five has experienced sexual violence.</w:t>
      </w:r>
      <w:r w:rsidR="00AA6253" w:rsidRPr="00573159">
        <w:rPr>
          <w:rFonts w:ascii="Times New Roman" w:hAnsi="Times New Roman" w:cs="Times New Roman"/>
          <w:sz w:val="24"/>
          <w:szCs w:val="24"/>
          <w:lang w:val="en-US"/>
        </w:rPr>
        <w:t xml:space="preserve"> </w:t>
      </w:r>
    </w:p>
    <w:p w14:paraId="1BDAECED" w14:textId="77777777" w:rsidR="00C257E6" w:rsidRDefault="00C257E6" w:rsidP="006148B5">
      <w:pPr>
        <w:pStyle w:val="NoSpacing"/>
        <w:widowControl w:val="0"/>
        <w:rPr>
          <w:rFonts w:ascii="Times New Roman" w:hAnsi="Times New Roman" w:cs="Times New Roman"/>
          <w:sz w:val="24"/>
          <w:szCs w:val="24"/>
          <w:lang w:val="en-US"/>
        </w:rPr>
      </w:pPr>
    </w:p>
    <w:p w14:paraId="38C00BC7" w14:textId="77777777" w:rsidR="00C257E6" w:rsidRDefault="00C257E6" w:rsidP="006148B5">
      <w:pPr>
        <w:pStyle w:val="NoSpacing"/>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 xml:space="preserve">National Plan to End Violence against Women and Children 2022-2032 </w:t>
      </w:r>
      <w:r>
        <w:rPr>
          <w:rFonts w:ascii="Times New Roman" w:hAnsi="Times New Roman" w:cs="Times New Roman"/>
          <w:sz w:val="24"/>
          <w:szCs w:val="24"/>
          <w:lang w:val="en-US"/>
        </w:rPr>
        <w:t>(the National Plan) is a 10-year commitment seeking to end violence against women and children within one generation. The National Plan recognises that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addressing violence against women and children requires the support of the whole community, with businesses and the corporate sector playing a vital role. </w:t>
      </w:r>
    </w:p>
    <w:p w14:paraId="3A90964D" w14:textId="77777777" w:rsidR="00C257E6" w:rsidRDefault="00C257E6" w:rsidP="006148B5">
      <w:pPr>
        <w:pStyle w:val="NoSpacing"/>
        <w:widowControl w:val="0"/>
        <w:rPr>
          <w:rFonts w:ascii="Times New Roman" w:hAnsi="Times New Roman" w:cs="Times New Roman"/>
          <w:sz w:val="24"/>
          <w:szCs w:val="24"/>
          <w:lang w:val="en-US"/>
        </w:rPr>
      </w:pPr>
    </w:p>
    <w:p w14:paraId="57E2ECFA" w14:textId="77777777" w:rsidR="00C257E6" w:rsidRPr="00573159" w:rsidRDefault="00C257E6" w:rsidP="006148B5">
      <w:pPr>
        <w:pStyle w:val="NoSpacing"/>
        <w:widowControl w:val="0"/>
        <w:rPr>
          <w:rFonts w:ascii="Times New Roman" w:hAnsi="Times New Roman" w:cs="Times New Roman"/>
          <w:sz w:val="24"/>
          <w:szCs w:val="24"/>
          <w:lang w:val="en-US"/>
        </w:rPr>
      </w:pPr>
      <w:r w:rsidRPr="00573159">
        <w:rPr>
          <w:rFonts w:ascii="Times New Roman" w:hAnsi="Times New Roman" w:cs="Times New Roman"/>
          <w:sz w:val="24"/>
          <w:szCs w:val="24"/>
          <w:lang w:val="en-US"/>
        </w:rPr>
        <w:t xml:space="preserve">Telecommunications services are essential for participation in modern life. Consumers rely on telecommunications services to support work, education, healthcare, banking, </w:t>
      </w:r>
      <w:r w:rsidR="00122E47" w:rsidRPr="00573159">
        <w:rPr>
          <w:rFonts w:ascii="Times New Roman" w:hAnsi="Times New Roman" w:cs="Times New Roman"/>
          <w:sz w:val="24"/>
          <w:szCs w:val="24"/>
          <w:lang w:val="en-US"/>
        </w:rPr>
        <w:t>entertainment</w:t>
      </w:r>
      <w:r w:rsidRPr="00573159">
        <w:rPr>
          <w:rFonts w:ascii="Times New Roman" w:hAnsi="Times New Roman" w:cs="Times New Roman"/>
          <w:sz w:val="24"/>
          <w:szCs w:val="24"/>
          <w:lang w:val="en-US"/>
        </w:rPr>
        <w:t xml:space="preserve"> and community and government services. </w:t>
      </w:r>
    </w:p>
    <w:p w14:paraId="37AA06F7" w14:textId="77777777" w:rsidR="00C257E6" w:rsidRPr="00573159" w:rsidRDefault="00C257E6" w:rsidP="006148B5">
      <w:pPr>
        <w:pStyle w:val="NoSpacing"/>
        <w:widowControl w:val="0"/>
        <w:rPr>
          <w:rFonts w:ascii="Times New Roman" w:hAnsi="Times New Roman" w:cs="Times New Roman"/>
          <w:sz w:val="24"/>
          <w:szCs w:val="24"/>
          <w:lang w:val="en-US"/>
        </w:rPr>
      </w:pPr>
    </w:p>
    <w:p w14:paraId="10DA0AE6" w14:textId="178E35CA" w:rsidR="00C257E6" w:rsidRPr="00573159" w:rsidRDefault="00C257E6" w:rsidP="006148B5">
      <w:pPr>
        <w:pStyle w:val="NoSpacing"/>
        <w:widowControl w:val="0"/>
        <w:rPr>
          <w:rFonts w:ascii="Times New Roman" w:hAnsi="Times New Roman" w:cs="Times New Roman"/>
          <w:sz w:val="24"/>
          <w:szCs w:val="24"/>
          <w:lang w:val="en-US"/>
        </w:rPr>
      </w:pPr>
      <w:r w:rsidRPr="00573159">
        <w:rPr>
          <w:rFonts w:ascii="Times New Roman" w:hAnsi="Times New Roman" w:cs="Times New Roman"/>
          <w:sz w:val="24"/>
          <w:szCs w:val="24"/>
          <w:lang w:val="en-US"/>
        </w:rPr>
        <w:t>In that regard, it</w:t>
      </w:r>
      <w:r w:rsidR="00E302A2">
        <w:rPr>
          <w:rFonts w:ascii="Times New Roman" w:hAnsi="Times New Roman" w:cs="Times New Roman"/>
          <w:sz w:val="24"/>
          <w:szCs w:val="24"/>
          <w:lang w:val="en-US"/>
        </w:rPr>
        <w:t xml:space="preserve"> i</w:t>
      </w:r>
      <w:r w:rsidRPr="00573159">
        <w:rPr>
          <w:rFonts w:ascii="Times New Roman" w:hAnsi="Times New Roman" w:cs="Times New Roman"/>
          <w:sz w:val="24"/>
          <w:szCs w:val="24"/>
          <w:lang w:val="en-US"/>
        </w:rPr>
        <w:t xml:space="preserve">s important that the telecommunications sector is at the forefront of efforts to assist those experiencing domestic, family and sexual violence and to ensure that it is able to better respond to and support victim-survivors. </w:t>
      </w:r>
    </w:p>
    <w:p w14:paraId="17E0D2E1" w14:textId="77777777" w:rsidR="00C257E6" w:rsidRPr="00573159" w:rsidRDefault="00C257E6" w:rsidP="006148B5">
      <w:pPr>
        <w:pStyle w:val="NoSpacing"/>
        <w:widowControl w:val="0"/>
        <w:rPr>
          <w:rFonts w:ascii="Times New Roman" w:hAnsi="Times New Roman" w:cs="Times New Roman"/>
          <w:sz w:val="24"/>
          <w:szCs w:val="24"/>
          <w:lang w:val="en-US"/>
        </w:rPr>
      </w:pPr>
    </w:p>
    <w:p w14:paraId="2706B37E" w14:textId="77777777" w:rsidR="00C257E6" w:rsidRPr="009E0DD1" w:rsidRDefault="00C257E6" w:rsidP="006148B5">
      <w:pPr>
        <w:pStyle w:val="NoSpacing"/>
        <w:widowControl w:val="0"/>
        <w:rPr>
          <w:rFonts w:ascii="Times New Roman" w:hAnsi="Times New Roman" w:cs="Times New Roman"/>
          <w:sz w:val="24"/>
          <w:szCs w:val="24"/>
          <w:lang w:val="en-US"/>
        </w:rPr>
      </w:pPr>
      <w:r w:rsidRPr="00573159">
        <w:rPr>
          <w:rFonts w:ascii="Times New Roman" w:hAnsi="Times New Roman" w:cs="Times New Roman"/>
          <w:sz w:val="24"/>
          <w:szCs w:val="24"/>
          <w:lang w:val="en-US"/>
        </w:rPr>
        <w:t>Telecommunication services need to be a safe, secure and reliable avenue for victim-survivors to access information, conduct critical safety planning and seek the support they need to leave a violent situation, as well as remain connected with family members, friends and important social support networks.</w:t>
      </w:r>
    </w:p>
    <w:p w14:paraId="4720B3A0" w14:textId="77777777" w:rsidR="009E0DD1" w:rsidRDefault="009E0DD1" w:rsidP="006148B5">
      <w:pPr>
        <w:pStyle w:val="NoSpacing"/>
        <w:widowControl w:val="0"/>
        <w:rPr>
          <w:rFonts w:ascii="Times New Roman" w:hAnsi="Times New Roman" w:cs="Times New Roman"/>
          <w:sz w:val="24"/>
          <w:szCs w:val="24"/>
          <w:lang w:val="en-US"/>
        </w:rPr>
      </w:pPr>
    </w:p>
    <w:p w14:paraId="4C97EC92" w14:textId="446EB0D8" w:rsidR="009A6AE3" w:rsidRDefault="00C37B6C" w:rsidP="006148B5">
      <w:pPr>
        <w:pStyle w:val="NoSpacing"/>
        <w:widowControl w:val="0"/>
        <w:rPr>
          <w:rFonts w:ascii="Times New Roman" w:hAnsi="Times New Roman" w:cs="Times New Roman"/>
          <w:sz w:val="24"/>
          <w:szCs w:val="24"/>
          <w:lang w:val="en-US"/>
        </w:rPr>
      </w:pPr>
      <w:r w:rsidRPr="00C37B6C">
        <w:rPr>
          <w:rFonts w:ascii="Times New Roman" w:hAnsi="Times New Roman" w:cs="Times New Roman"/>
          <w:sz w:val="24"/>
          <w:szCs w:val="24"/>
          <w:lang w:val="en-US"/>
        </w:rPr>
        <w:t xml:space="preserve">The </w:t>
      </w:r>
      <w:r>
        <w:rPr>
          <w:rFonts w:ascii="Times New Roman" w:hAnsi="Times New Roman" w:cs="Times New Roman"/>
          <w:sz w:val="24"/>
          <w:szCs w:val="24"/>
          <w:lang w:val="en-US"/>
        </w:rPr>
        <w:t>t</w:t>
      </w:r>
      <w:r w:rsidRPr="00C37B6C">
        <w:rPr>
          <w:rFonts w:ascii="Times New Roman" w:hAnsi="Times New Roman" w:cs="Times New Roman"/>
          <w:sz w:val="24"/>
          <w:szCs w:val="24"/>
          <w:lang w:val="en-US"/>
        </w:rPr>
        <w:t>elecommunications sector has done considerable work in understanding the needs of victim-survivors in developing its</w:t>
      </w:r>
      <w:r w:rsidR="00B6214A">
        <w:rPr>
          <w:rFonts w:ascii="Times New Roman" w:hAnsi="Times New Roman" w:cs="Times New Roman"/>
          <w:sz w:val="24"/>
          <w:szCs w:val="24"/>
          <w:lang w:val="en-US"/>
        </w:rPr>
        <w:t xml:space="preserve"> voluntary</w:t>
      </w:r>
      <w:r w:rsidRPr="00C37B6C">
        <w:rPr>
          <w:rFonts w:ascii="Times New Roman" w:hAnsi="Times New Roman" w:cs="Times New Roman"/>
          <w:sz w:val="24"/>
          <w:szCs w:val="24"/>
          <w:lang w:val="en-US"/>
        </w:rPr>
        <w:t xml:space="preserve"> Guideline, </w:t>
      </w:r>
      <w:r w:rsidRPr="00C37B6C">
        <w:rPr>
          <w:rFonts w:ascii="Times New Roman" w:hAnsi="Times New Roman" w:cs="Times New Roman"/>
          <w:i/>
          <w:sz w:val="24"/>
          <w:szCs w:val="24"/>
          <w:lang w:val="en-US"/>
        </w:rPr>
        <w:t>Assisting Consumers Affected by Domestic and Family Violence</w:t>
      </w:r>
      <w:r w:rsidRPr="00C37B6C">
        <w:rPr>
          <w:rFonts w:ascii="Times New Roman" w:hAnsi="Times New Roman" w:cs="Times New Roman"/>
          <w:sz w:val="24"/>
          <w:szCs w:val="24"/>
          <w:lang w:val="en-US"/>
        </w:rPr>
        <w:t xml:space="preserve">. This Guideline provides practical, operational-level guidance about the policies, training and supporting materials telecommunications providers should have in place to identify and appropriately support affected consumers. However, given the importance of this issue, </w:t>
      </w:r>
      <w:r w:rsidR="009A6AE3" w:rsidRPr="00C37B6C">
        <w:rPr>
          <w:rFonts w:ascii="Times New Roman" w:hAnsi="Times New Roman" w:cs="Times New Roman"/>
          <w:sz w:val="24"/>
          <w:szCs w:val="24"/>
          <w:lang w:val="en-US"/>
        </w:rPr>
        <w:t xml:space="preserve">consumers affected by domestic, family and sexual violence </w:t>
      </w:r>
      <w:r w:rsidR="009A6AE3">
        <w:rPr>
          <w:rFonts w:ascii="Times New Roman" w:hAnsi="Times New Roman" w:cs="Times New Roman"/>
          <w:sz w:val="24"/>
          <w:szCs w:val="24"/>
          <w:lang w:val="en-US"/>
        </w:rPr>
        <w:t>should have enforceable and consistent protections available through an industry standard. Compliance with industry standards is mandatory. A range of enforcement options apply to industry standards under the Act, including infringement notices and civil penalties.</w:t>
      </w:r>
    </w:p>
    <w:p w14:paraId="65831C8B" w14:textId="71EAE4AC" w:rsidR="00001A25" w:rsidRDefault="00001A25" w:rsidP="006148B5">
      <w:pPr>
        <w:pStyle w:val="NoSpacing"/>
        <w:widowControl w:val="0"/>
        <w:rPr>
          <w:rFonts w:ascii="Times New Roman" w:hAnsi="Times New Roman" w:cs="Times New Roman"/>
          <w:sz w:val="24"/>
          <w:szCs w:val="24"/>
          <w:lang w:val="en-US"/>
        </w:rPr>
      </w:pPr>
    </w:p>
    <w:p w14:paraId="308A8D4F" w14:textId="77777777" w:rsidR="00001A25" w:rsidRDefault="00001A25" w:rsidP="006148B5">
      <w:pPr>
        <w:pStyle w:val="NoSpacing"/>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The Direction takes a broad, objectives-based approach to give the ACMA flexibility to determine appropriate safeguards for affected consumers following a thorough and wide consultation and interrogation of the complexities at play. </w:t>
      </w:r>
    </w:p>
    <w:p w14:paraId="4E5BEB43" w14:textId="77777777" w:rsidR="00001A25" w:rsidRDefault="00001A25" w:rsidP="006148B5">
      <w:pPr>
        <w:pStyle w:val="NoSpacing"/>
        <w:widowControl w:val="0"/>
        <w:rPr>
          <w:rFonts w:ascii="Times New Roman" w:hAnsi="Times New Roman" w:cs="Times New Roman"/>
          <w:sz w:val="24"/>
          <w:szCs w:val="24"/>
          <w:lang w:val="en-US"/>
        </w:rPr>
      </w:pPr>
    </w:p>
    <w:p w14:paraId="375D41D5" w14:textId="77777777" w:rsidR="00001A25" w:rsidRDefault="00001A25" w:rsidP="006148B5">
      <w:pPr>
        <w:pStyle w:val="NoSpacing"/>
        <w:widowControl w:val="0"/>
        <w:rPr>
          <w:rFonts w:ascii="Times New Roman" w:hAnsi="Times New Roman" w:cs="Times New Roman"/>
          <w:sz w:val="24"/>
          <w:szCs w:val="24"/>
          <w:lang w:val="en-US"/>
        </w:rPr>
      </w:pPr>
      <w:r>
        <w:rPr>
          <w:rFonts w:ascii="Times New Roman" w:hAnsi="Times New Roman" w:cs="Times New Roman"/>
          <w:sz w:val="24"/>
          <w:szCs w:val="24"/>
          <w:lang w:val="en-US"/>
        </w:rPr>
        <w:t xml:space="preserve">Domestic, family and sexual violence is complex, what protects one might harm the other, and the ACMA should carefully balance relevant factors when determining appropriate safeguards - including where to apply specificity or flexibility, or objective and subjective standards. Victim-survivors can have a small window to communicate and some participants in consultation on the development of the Direction said the emphasis should be on safely supporting and assisting the consumer based on their circumstances, needs and preferences, rather than the carriage service provider focusing on ‘ticking boxes’. </w:t>
      </w:r>
    </w:p>
    <w:p w14:paraId="0FB34FB7" w14:textId="77777777" w:rsidR="00001A25" w:rsidRDefault="00001A25" w:rsidP="006148B5">
      <w:pPr>
        <w:pStyle w:val="NoSpacing"/>
        <w:widowControl w:val="0"/>
        <w:rPr>
          <w:rFonts w:ascii="Times New Roman" w:hAnsi="Times New Roman" w:cs="Times New Roman"/>
          <w:sz w:val="24"/>
          <w:szCs w:val="24"/>
          <w:lang w:val="en-US"/>
        </w:rPr>
      </w:pPr>
    </w:p>
    <w:p w14:paraId="6D05CFF5" w14:textId="77777777" w:rsidR="00001A25" w:rsidRDefault="00001A25" w:rsidP="006148B5">
      <w:pPr>
        <w:pStyle w:val="NoSpacing"/>
        <w:widowControl w:val="0"/>
        <w:rPr>
          <w:rFonts w:ascii="Times New Roman" w:hAnsi="Times New Roman" w:cs="Times New Roman"/>
          <w:sz w:val="24"/>
          <w:szCs w:val="24"/>
          <w:lang w:val="en-US"/>
        </w:rPr>
      </w:pPr>
      <w:r>
        <w:rPr>
          <w:rFonts w:ascii="Times New Roman" w:hAnsi="Times New Roman" w:cs="Times New Roman"/>
          <w:sz w:val="24"/>
          <w:szCs w:val="24"/>
          <w:lang w:val="en-US"/>
        </w:rPr>
        <w:t>The industry standard should be service type agnostic, that is, the rules are designed and written to be applicable to and workable for all service types, including fixed and satellite.</w:t>
      </w:r>
    </w:p>
    <w:p w14:paraId="1307D7DA" w14:textId="77777777" w:rsidR="00001A25" w:rsidRDefault="00001A25" w:rsidP="006148B5">
      <w:pPr>
        <w:pStyle w:val="NoSpacing"/>
        <w:widowControl w:val="0"/>
        <w:rPr>
          <w:rFonts w:ascii="Times New Roman" w:hAnsi="Times New Roman" w:cs="Times New Roman"/>
          <w:sz w:val="24"/>
          <w:szCs w:val="24"/>
          <w:lang w:val="en-US"/>
        </w:rPr>
      </w:pPr>
    </w:p>
    <w:p w14:paraId="2EF084C3" w14:textId="77777777" w:rsidR="00001A25" w:rsidRPr="0000160A" w:rsidRDefault="00001A25" w:rsidP="003C64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Further, the ACMA should work with relevant stakeholders and expert organisations through its review and compliance mechanisms to ensure that obligations in the industry standard are working as intended and victim-survivors are appropriately supported and assisted. </w:t>
      </w:r>
      <w:r w:rsidRPr="0000160A">
        <w:rPr>
          <w:rFonts w:ascii="Times New Roman" w:hAnsi="Times New Roman" w:cs="Times New Roman"/>
          <w:sz w:val="24"/>
          <w:szCs w:val="24"/>
          <w:lang w:val="en-US"/>
        </w:rPr>
        <w:t xml:space="preserve">An agile and dynamic approach should be taken to the industry standard and its review over time, so that it can evolve as awareness grows about issues facing victim-survivors. </w:t>
      </w:r>
    </w:p>
    <w:p w14:paraId="1BB24084" w14:textId="77777777" w:rsidR="006148B5" w:rsidRDefault="006148B5" w:rsidP="006148B5">
      <w:pPr>
        <w:spacing w:after="0" w:line="240" w:lineRule="auto"/>
        <w:rPr>
          <w:rFonts w:ascii="Times New Roman" w:hAnsi="Times New Roman" w:cs="Times New Roman"/>
          <w:sz w:val="24"/>
          <w:szCs w:val="24"/>
          <w:lang w:val="en-US"/>
        </w:rPr>
      </w:pPr>
    </w:p>
    <w:p w14:paraId="5C21FA04" w14:textId="7604772D" w:rsidR="00001A25" w:rsidRDefault="00001A25" w:rsidP="006148B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consideration should be given to how the industry standard operates with respect to other existing regulatory instruments, such as the </w:t>
      </w:r>
      <w:r>
        <w:rPr>
          <w:rFonts w:ascii="Times New Roman" w:hAnsi="Times New Roman" w:cs="Times New Roman"/>
          <w:i/>
          <w:sz w:val="24"/>
          <w:szCs w:val="24"/>
          <w:lang w:val="en-US"/>
        </w:rPr>
        <w:t>Telecommunications (Financial Hardship) Industry Standard 2024</w:t>
      </w:r>
      <w:r>
        <w:rPr>
          <w:rFonts w:ascii="Times New Roman" w:hAnsi="Times New Roman" w:cs="Times New Roman"/>
          <w:sz w:val="24"/>
          <w:szCs w:val="24"/>
          <w:lang w:val="en-US"/>
        </w:rPr>
        <w:t xml:space="preserve"> to avoid inappropriate conflicts or unintended consequences. Consumers affected by domestic, family and sexual violence should also have access to accessible complaints pathways, as their issues can</w:t>
      </w:r>
      <w:r w:rsidR="00EB0F15">
        <w:rPr>
          <w:rFonts w:ascii="Times New Roman" w:hAnsi="Times New Roman" w:cs="Times New Roman"/>
          <w:sz w:val="24"/>
          <w:szCs w:val="24"/>
          <w:lang w:val="en-US"/>
        </w:rPr>
        <w:t xml:space="preserve"> often</w:t>
      </w:r>
      <w:r>
        <w:rPr>
          <w:rFonts w:ascii="Times New Roman" w:hAnsi="Times New Roman" w:cs="Times New Roman"/>
          <w:sz w:val="24"/>
          <w:szCs w:val="24"/>
          <w:lang w:val="en-US"/>
        </w:rPr>
        <w:t xml:space="preserve"> be time critical to their safety. </w:t>
      </w:r>
    </w:p>
    <w:p w14:paraId="1E8148BE" w14:textId="77777777" w:rsidR="00001A25" w:rsidRDefault="00001A25" w:rsidP="006148B5">
      <w:pPr>
        <w:spacing w:after="0" w:line="240" w:lineRule="auto"/>
        <w:rPr>
          <w:rFonts w:ascii="Times New Roman" w:hAnsi="Times New Roman" w:cs="Times New Roman"/>
          <w:sz w:val="24"/>
          <w:szCs w:val="24"/>
          <w:lang w:val="en-US"/>
        </w:rPr>
      </w:pPr>
    </w:p>
    <w:p w14:paraId="60D059F8" w14:textId="77777777" w:rsidR="00001A25" w:rsidRPr="005536CB" w:rsidRDefault="00001A25" w:rsidP="003C642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Guidance to accompany the industry standard would be beneficial to carriage service providers in understanding the required obligations and how they flow through into practice. </w:t>
      </w:r>
    </w:p>
    <w:p w14:paraId="5B539511" w14:textId="77777777" w:rsidR="00001A25" w:rsidRPr="00C37B6C" w:rsidRDefault="00001A25" w:rsidP="00C57B2E">
      <w:pPr>
        <w:pStyle w:val="NoSpacing"/>
        <w:widowControl w:val="0"/>
        <w:rPr>
          <w:rFonts w:ascii="Times New Roman" w:hAnsi="Times New Roman" w:cs="Times New Roman"/>
          <w:sz w:val="24"/>
          <w:szCs w:val="24"/>
          <w:lang w:val="en-US"/>
        </w:rPr>
      </w:pPr>
    </w:p>
    <w:p w14:paraId="01A4081E" w14:textId="77777777" w:rsidR="00C67152" w:rsidRPr="00B07F27" w:rsidRDefault="00C67152" w:rsidP="002C09F9">
      <w:pPr>
        <w:keepNext/>
        <w:widowControl w:val="0"/>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Impact Analysis</w:t>
      </w:r>
    </w:p>
    <w:p w14:paraId="0CD81A14" w14:textId="77777777" w:rsidR="00C67152" w:rsidRPr="00B07F27" w:rsidRDefault="00C67152" w:rsidP="002C09F9">
      <w:pPr>
        <w:keepNext/>
        <w:widowControl w:val="0"/>
        <w:spacing w:after="0" w:line="240" w:lineRule="auto"/>
        <w:rPr>
          <w:rFonts w:ascii="Times New Roman" w:hAnsi="Times New Roman" w:cs="Times New Roman"/>
          <w:b/>
          <w:sz w:val="24"/>
          <w:u w:val="single"/>
          <w:lang w:val="en-US"/>
        </w:rPr>
      </w:pPr>
    </w:p>
    <w:p w14:paraId="596D2710" w14:textId="77777777" w:rsidR="006D34BB" w:rsidRPr="00B07F27" w:rsidRDefault="006D34BB" w:rsidP="002C09F9">
      <w:pPr>
        <w:keepNext/>
        <w:widowControl w:val="0"/>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The Office of Impact Analysis advised that an Impact Analysis was not required for the Direction </w:t>
      </w:r>
      <w:r w:rsidRPr="00E80D0E">
        <w:rPr>
          <w:rFonts w:ascii="Times New Roman" w:hAnsi="Times New Roman" w:cs="Times New Roman"/>
          <w:sz w:val="24"/>
          <w:lang w:val="en-US"/>
        </w:rPr>
        <w:t>(OIA reference:</w:t>
      </w:r>
      <w:r w:rsidRPr="00E80D0E">
        <w:t xml:space="preserve"> </w:t>
      </w:r>
      <w:r w:rsidRPr="00E80D0E">
        <w:rPr>
          <w:rFonts w:ascii="Times New Roman" w:hAnsi="Times New Roman" w:cs="Times New Roman"/>
          <w:sz w:val="24"/>
          <w:lang w:val="en-US"/>
        </w:rPr>
        <w:t>OIA24-0</w:t>
      </w:r>
      <w:r w:rsidR="00C57B2E">
        <w:rPr>
          <w:rFonts w:ascii="Times New Roman" w:hAnsi="Times New Roman" w:cs="Times New Roman"/>
          <w:sz w:val="24"/>
          <w:lang w:val="en-US"/>
        </w:rPr>
        <w:t>8331</w:t>
      </w:r>
      <w:r w:rsidRPr="00E80D0E">
        <w:rPr>
          <w:rFonts w:ascii="Times New Roman" w:hAnsi="Times New Roman" w:cs="Times New Roman"/>
          <w:sz w:val="24"/>
          <w:lang w:val="en-US"/>
        </w:rPr>
        <w:t>)</w:t>
      </w:r>
      <w:r>
        <w:rPr>
          <w:rFonts w:ascii="Times New Roman" w:hAnsi="Times New Roman" w:cs="Times New Roman"/>
          <w:sz w:val="24"/>
          <w:lang w:val="en-US"/>
        </w:rPr>
        <w:t xml:space="preserve">. The Office of Impact </w:t>
      </w:r>
      <w:r w:rsidRPr="00B07F27">
        <w:rPr>
          <w:rFonts w:ascii="Times New Roman" w:hAnsi="Times New Roman" w:cs="Times New Roman"/>
          <w:sz w:val="24"/>
          <w:lang w:val="en-US"/>
        </w:rPr>
        <w:t>An</w:t>
      </w:r>
      <w:r>
        <w:rPr>
          <w:rFonts w:ascii="Times New Roman" w:hAnsi="Times New Roman" w:cs="Times New Roman"/>
          <w:sz w:val="24"/>
          <w:lang w:val="en-US"/>
        </w:rPr>
        <w:t xml:space="preserve">alysis will consider the appropriate requirements for </w:t>
      </w:r>
      <w:r w:rsidRPr="00B07F27">
        <w:rPr>
          <w:rFonts w:ascii="Times New Roman" w:hAnsi="Times New Roman" w:cs="Times New Roman"/>
          <w:sz w:val="24"/>
          <w:lang w:val="en-US"/>
        </w:rPr>
        <w:t>the industry standard</w:t>
      </w:r>
      <w:r>
        <w:rPr>
          <w:rFonts w:ascii="Times New Roman" w:hAnsi="Times New Roman" w:cs="Times New Roman"/>
          <w:sz w:val="24"/>
          <w:lang w:val="en-US"/>
        </w:rPr>
        <w:t xml:space="preserve"> made in accordance with the Direction,</w:t>
      </w:r>
      <w:r w:rsidRPr="00B07F27">
        <w:rPr>
          <w:rFonts w:ascii="Times New Roman" w:hAnsi="Times New Roman" w:cs="Times New Roman"/>
          <w:sz w:val="24"/>
          <w:lang w:val="en-US"/>
        </w:rPr>
        <w:t xml:space="preserve"> in </w:t>
      </w:r>
      <w:r>
        <w:rPr>
          <w:rFonts w:ascii="Times New Roman" w:hAnsi="Times New Roman" w:cs="Times New Roman"/>
          <w:sz w:val="24"/>
          <w:lang w:val="en-US"/>
        </w:rPr>
        <w:t>due course</w:t>
      </w:r>
      <w:r w:rsidRPr="00E80D0E">
        <w:rPr>
          <w:rFonts w:ascii="Times New Roman" w:hAnsi="Times New Roman" w:cs="Times New Roman"/>
          <w:sz w:val="24"/>
          <w:lang w:val="en-US"/>
        </w:rPr>
        <w:t>.</w:t>
      </w:r>
    </w:p>
    <w:p w14:paraId="4B808630" w14:textId="77777777" w:rsidR="00105408" w:rsidRPr="00B07F27" w:rsidRDefault="00105408" w:rsidP="00A51411">
      <w:pPr>
        <w:widowControl w:val="0"/>
        <w:spacing w:after="0" w:line="240" w:lineRule="auto"/>
        <w:rPr>
          <w:rFonts w:ascii="Times New Roman" w:hAnsi="Times New Roman" w:cs="Times New Roman"/>
          <w:sz w:val="24"/>
          <w:lang w:val="en-US"/>
        </w:rPr>
      </w:pPr>
    </w:p>
    <w:p w14:paraId="1CA8BADA" w14:textId="77777777" w:rsidR="00105408" w:rsidRPr="00B07F27" w:rsidRDefault="00105408" w:rsidP="00A51411">
      <w:pPr>
        <w:widowControl w:val="0"/>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Consultation</w:t>
      </w:r>
    </w:p>
    <w:p w14:paraId="101507C1" w14:textId="77777777" w:rsidR="00105408" w:rsidRPr="00B07F27" w:rsidRDefault="00105408" w:rsidP="00A51411">
      <w:pPr>
        <w:widowControl w:val="0"/>
        <w:spacing w:after="0" w:line="240" w:lineRule="auto"/>
        <w:rPr>
          <w:rFonts w:ascii="Times New Roman" w:hAnsi="Times New Roman" w:cs="Times New Roman"/>
          <w:sz w:val="24"/>
          <w:lang w:val="en-US"/>
        </w:rPr>
      </w:pPr>
    </w:p>
    <w:p w14:paraId="11D72054" w14:textId="32FE8DB8" w:rsidR="006D34BB" w:rsidRPr="00B07F27" w:rsidRDefault="006D34BB" w:rsidP="006D34BB">
      <w:pPr>
        <w:keepNext/>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Consultation on the proposed Direction was undertaken with the</w:t>
      </w:r>
      <w:r w:rsidR="002C3132">
        <w:rPr>
          <w:rFonts w:ascii="Times New Roman" w:hAnsi="Times New Roman" w:cs="Times New Roman"/>
          <w:sz w:val="24"/>
          <w:lang w:val="en-US"/>
        </w:rPr>
        <w:t xml:space="preserve"> Department of Social Services, the</w:t>
      </w:r>
      <w:r w:rsidRPr="00B07F27">
        <w:rPr>
          <w:rFonts w:ascii="Times New Roman" w:hAnsi="Times New Roman" w:cs="Times New Roman"/>
          <w:sz w:val="24"/>
          <w:lang w:val="en-US"/>
        </w:rPr>
        <w:t xml:space="preserve"> </w:t>
      </w:r>
      <w:r w:rsidR="0067585F">
        <w:rPr>
          <w:rFonts w:ascii="Times New Roman" w:hAnsi="Times New Roman" w:cs="Times New Roman"/>
          <w:sz w:val="24"/>
          <w:lang w:val="en-US"/>
        </w:rPr>
        <w:t>ACMA</w:t>
      </w:r>
      <w:r w:rsidRPr="00B07F27">
        <w:rPr>
          <w:rFonts w:ascii="Times New Roman" w:hAnsi="Times New Roman" w:cs="Times New Roman"/>
          <w:sz w:val="24"/>
          <w:lang w:val="en-US"/>
        </w:rPr>
        <w:t>,</w:t>
      </w:r>
      <w:r w:rsidR="002C3132">
        <w:rPr>
          <w:rFonts w:ascii="Times New Roman" w:hAnsi="Times New Roman" w:cs="Times New Roman"/>
          <w:sz w:val="24"/>
          <w:lang w:val="en-US"/>
        </w:rPr>
        <w:t xml:space="preserve"> the Essential Services Commission Victoria,</w:t>
      </w:r>
      <w:r w:rsidRPr="00B07F27">
        <w:rPr>
          <w:rFonts w:ascii="Times New Roman" w:hAnsi="Times New Roman" w:cs="Times New Roman"/>
          <w:sz w:val="24"/>
          <w:lang w:val="en-US"/>
        </w:rPr>
        <w:t xml:space="preserve"> the </w:t>
      </w:r>
      <w:r w:rsidR="009C01D7">
        <w:rPr>
          <w:rFonts w:ascii="Times New Roman" w:hAnsi="Times New Roman" w:cs="Times New Roman"/>
          <w:sz w:val="24"/>
          <w:lang w:val="en-US"/>
        </w:rPr>
        <w:t>T</w:t>
      </w:r>
      <w:r w:rsidR="005308A2">
        <w:rPr>
          <w:rFonts w:ascii="Times New Roman" w:hAnsi="Times New Roman" w:cs="Times New Roman"/>
          <w:sz w:val="24"/>
          <w:lang w:val="en-US"/>
        </w:rPr>
        <w:t xml:space="preserve">elecommunications </w:t>
      </w:r>
      <w:r w:rsidR="009C01D7">
        <w:rPr>
          <w:rFonts w:ascii="Times New Roman" w:hAnsi="Times New Roman" w:cs="Times New Roman"/>
          <w:sz w:val="24"/>
          <w:lang w:val="en-US"/>
        </w:rPr>
        <w:t>I</w:t>
      </w:r>
      <w:r w:rsidR="005308A2">
        <w:rPr>
          <w:rFonts w:ascii="Times New Roman" w:hAnsi="Times New Roman" w:cs="Times New Roman"/>
          <w:sz w:val="24"/>
          <w:lang w:val="en-US"/>
        </w:rPr>
        <w:t xml:space="preserve">ndustry </w:t>
      </w:r>
      <w:r w:rsidR="009C01D7">
        <w:rPr>
          <w:rFonts w:ascii="Times New Roman" w:hAnsi="Times New Roman" w:cs="Times New Roman"/>
          <w:sz w:val="24"/>
          <w:lang w:val="en-US"/>
        </w:rPr>
        <w:t>O</w:t>
      </w:r>
      <w:r w:rsidR="005308A2">
        <w:rPr>
          <w:rFonts w:ascii="Times New Roman" w:hAnsi="Times New Roman" w:cs="Times New Roman"/>
          <w:sz w:val="24"/>
          <w:lang w:val="en-US"/>
        </w:rPr>
        <w:t>mbudsman</w:t>
      </w:r>
      <w:r w:rsidRPr="00B07F27">
        <w:rPr>
          <w:rFonts w:ascii="Times New Roman" w:hAnsi="Times New Roman" w:cs="Times New Roman"/>
          <w:sz w:val="24"/>
          <w:lang w:val="en-US"/>
        </w:rPr>
        <w:t>, the Australian Communications Consumer Action Network,</w:t>
      </w:r>
      <w:r w:rsidR="00C57B2E">
        <w:rPr>
          <w:rFonts w:ascii="Times New Roman" w:hAnsi="Times New Roman" w:cs="Times New Roman"/>
          <w:sz w:val="24"/>
          <w:lang w:val="en-US"/>
        </w:rPr>
        <w:t xml:space="preserve"> Consumer Action Law Centre,</w:t>
      </w:r>
      <w:r w:rsidRPr="00B07F27">
        <w:rPr>
          <w:rFonts w:ascii="Times New Roman" w:hAnsi="Times New Roman" w:cs="Times New Roman"/>
          <w:sz w:val="24"/>
          <w:lang w:val="en-US"/>
        </w:rPr>
        <w:t xml:space="preserve"> Communications Alliance and members of the telecommunications industry</w:t>
      </w:r>
      <w:r w:rsidR="00C57B2E">
        <w:rPr>
          <w:rFonts w:ascii="Times New Roman" w:hAnsi="Times New Roman" w:cs="Times New Roman"/>
          <w:sz w:val="24"/>
          <w:lang w:val="en-US"/>
        </w:rPr>
        <w:t>,</w:t>
      </w:r>
      <w:r w:rsidR="003D7B89">
        <w:rPr>
          <w:rFonts w:ascii="Times New Roman" w:hAnsi="Times New Roman" w:cs="Times New Roman"/>
          <w:sz w:val="24"/>
          <w:lang w:val="en-US"/>
        </w:rPr>
        <w:t xml:space="preserve"> Energy Australia and a range of</w:t>
      </w:r>
      <w:r w:rsidR="002C3132">
        <w:rPr>
          <w:rFonts w:ascii="Times New Roman" w:hAnsi="Times New Roman" w:cs="Times New Roman"/>
          <w:sz w:val="24"/>
          <w:lang w:val="en-US"/>
        </w:rPr>
        <w:t xml:space="preserve"> organisations and experts with specific domestic, family and sexual violence experience (with verbal or written input received from Flequity Ventures, </w:t>
      </w:r>
      <w:r w:rsidR="005308A2">
        <w:rPr>
          <w:rFonts w:ascii="Times New Roman" w:hAnsi="Times New Roman" w:cs="Times New Roman"/>
          <w:sz w:val="24"/>
          <w:lang w:val="en-US"/>
        </w:rPr>
        <w:t>Relationships Australia, Thriving Communities Australia</w:t>
      </w:r>
      <w:r w:rsidR="003D7B89">
        <w:rPr>
          <w:rFonts w:ascii="Times New Roman" w:hAnsi="Times New Roman" w:cs="Times New Roman"/>
          <w:sz w:val="24"/>
          <w:lang w:val="en-US"/>
        </w:rPr>
        <w:t xml:space="preserve"> and</w:t>
      </w:r>
      <w:r w:rsidR="005308A2">
        <w:rPr>
          <w:rFonts w:ascii="Times New Roman" w:hAnsi="Times New Roman" w:cs="Times New Roman"/>
          <w:sz w:val="24"/>
          <w:lang w:val="en-US"/>
        </w:rPr>
        <w:t xml:space="preserve"> Settlement Services International</w:t>
      </w:r>
      <w:r w:rsidR="002C3132">
        <w:rPr>
          <w:rFonts w:ascii="Times New Roman" w:hAnsi="Times New Roman" w:cs="Times New Roman"/>
          <w:sz w:val="24"/>
          <w:lang w:val="en-US"/>
        </w:rPr>
        <w:t>)</w:t>
      </w:r>
      <w:r w:rsidR="003D7B89">
        <w:rPr>
          <w:rFonts w:ascii="Times New Roman" w:hAnsi="Times New Roman" w:cs="Times New Roman"/>
          <w:sz w:val="24"/>
          <w:lang w:val="en-US"/>
        </w:rPr>
        <w:t>.</w:t>
      </w:r>
      <w:r w:rsidR="005308A2">
        <w:rPr>
          <w:rFonts w:ascii="Times New Roman" w:hAnsi="Times New Roman" w:cs="Times New Roman"/>
          <w:sz w:val="24"/>
          <w:lang w:val="en-US"/>
        </w:rPr>
        <w:t xml:space="preserve"> </w:t>
      </w:r>
    </w:p>
    <w:p w14:paraId="04FFE640" w14:textId="77777777" w:rsidR="008E6170" w:rsidRPr="00B07F27" w:rsidRDefault="008E6170" w:rsidP="00105408">
      <w:pPr>
        <w:spacing w:after="0" w:line="240" w:lineRule="auto"/>
        <w:rPr>
          <w:rFonts w:ascii="Times New Roman" w:hAnsi="Times New Roman" w:cs="Times New Roman"/>
          <w:sz w:val="24"/>
          <w:lang w:val="en-US"/>
        </w:rPr>
      </w:pPr>
    </w:p>
    <w:p w14:paraId="6830CD69" w14:textId="77777777" w:rsidR="008E6170" w:rsidRPr="00B07F27" w:rsidRDefault="008E6170" w:rsidP="008E6170">
      <w:pPr>
        <w:shd w:val="clear" w:color="auto" w:fill="FFFFFF"/>
        <w:spacing w:after="240" w:line="240" w:lineRule="auto"/>
        <w:rPr>
          <w:rFonts w:ascii="Calibri" w:eastAsia="Times New Roman" w:hAnsi="Calibri" w:cs="Calibri"/>
          <w:color w:val="000000"/>
          <w:sz w:val="24"/>
          <w:szCs w:val="24"/>
          <w:lang w:eastAsia="en-AU"/>
        </w:rPr>
      </w:pPr>
      <w:r w:rsidRPr="00B07F27">
        <w:rPr>
          <w:rFonts w:ascii="Times New Roman" w:eastAsia="Times New Roman" w:hAnsi="Times New Roman" w:cs="Times New Roman"/>
          <w:b/>
          <w:bCs/>
          <w:color w:val="000000"/>
          <w:sz w:val="24"/>
          <w:szCs w:val="24"/>
          <w:lang w:eastAsia="en-AU"/>
        </w:rPr>
        <w:t>Statement of compatibility with human rights</w:t>
      </w:r>
    </w:p>
    <w:p w14:paraId="33451CC5" w14:textId="77777777" w:rsidR="008E6170" w:rsidRPr="00B07F27" w:rsidRDefault="00A22E71" w:rsidP="003C6427">
      <w:pPr>
        <w:shd w:val="clear" w:color="auto" w:fill="FFFFFF"/>
        <w:spacing w:after="0" w:line="240" w:lineRule="auto"/>
        <w:rPr>
          <w:rFonts w:ascii="Calibri" w:eastAsia="Times New Roman" w:hAnsi="Calibri" w:cs="Calibri"/>
          <w:color w:val="000000"/>
          <w:sz w:val="24"/>
          <w:szCs w:val="24"/>
          <w:lang w:eastAsia="en-AU"/>
        </w:rPr>
      </w:pPr>
      <w:r w:rsidRPr="00B07F27">
        <w:rPr>
          <w:rFonts w:ascii="Times New Roman" w:eastAsia="Times New Roman" w:hAnsi="Times New Roman" w:cs="Times New Roman"/>
          <w:color w:val="000000"/>
          <w:sz w:val="24"/>
          <w:szCs w:val="24"/>
          <w:lang w:eastAsia="en-AU"/>
        </w:rPr>
        <w:t>A</w:t>
      </w:r>
      <w:r w:rsidR="009A1705" w:rsidRPr="00B07F27">
        <w:rPr>
          <w:rFonts w:ascii="Times New Roman" w:eastAsia="Times New Roman" w:hAnsi="Times New Roman" w:cs="Times New Roman"/>
          <w:color w:val="000000"/>
          <w:sz w:val="24"/>
          <w:szCs w:val="24"/>
          <w:lang w:eastAsia="en-AU"/>
        </w:rPr>
        <w:t xml:space="preserve">s section 42 of the </w:t>
      </w:r>
      <w:r w:rsidR="009A1705" w:rsidRPr="00B07F27">
        <w:rPr>
          <w:rFonts w:ascii="Times New Roman" w:eastAsia="Times New Roman" w:hAnsi="Times New Roman" w:cs="Times New Roman"/>
          <w:i/>
          <w:color w:val="000000"/>
          <w:sz w:val="24"/>
          <w:szCs w:val="24"/>
          <w:lang w:eastAsia="en-AU"/>
        </w:rPr>
        <w:t xml:space="preserve">Legislation Act 2003 </w:t>
      </w:r>
      <w:r w:rsidR="009A1705" w:rsidRPr="00B07F27">
        <w:rPr>
          <w:rFonts w:ascii="Times New Roman" w:eastAsia="Times New Roman" w:hAnsi="Times New Roman" w:cs="Times New Roman"/>
          <w:color w:val="000000"/>
          <w:sz w:val="24"/>
          <w:szCs w:val="24"/>
          <w:lang w:eastAsia="en-AU"/>
        </w:rPr>
        <w:t xml:space="preserve">does not apply to this instrument, being exempted under Part 4 of the </w:t>
      </w:r>
      <w:r w:rsidR="009A1705" w:rsidRPr="00B07F27">
        <w:rPr>
          <w:rFonts w:ascii="Times New Roman" w:eastAsia="Times New Roman" w:hAnsi="Times New Roman" w:cs="Times New Roman"/>
          <w:i/>
          <w:color w:val="000000"/>
          <w:sz w:val="24"/>
          <w:szCs w:val="24"/>
          <w:lang w:eastAsia="en-AU"/>
        </w:rPr>
        <w:t>Legislation (Exemption and Other Matters) Regulation 2015</w:t>
      </w:r>
      <w:r w:rsidR="009A1705" w:rsidRPr="00B07F27">
        <w:rPr>
          <w:rFonts w:ascii="Times New Roman" w:eastAsia="Times New Roman" w:hAnsi="Times New Roman" w:cs="Times New Roman"/>
          <w:color w:val="000000"/>
          <w:sz w:val="24"/>
          <w:szCs w:val="24"/>
          <w:lang w:eastAsia="en-AU"/>
        </w:rPr>
        <w:t>, a</w:t>
      </w:r>
      <w:r w:rsidRPr="00B07F27">
        <w:rPr>
          <w:rFonts w:ascii="Times New Roman" w:eastAsia="Times New Roman" w:hAnsi="Times New Roman" w:cs="Times New Roman"/>
          <w:color w:val="000000"/>
          <w:sz w:val="24"/>
          <w:szCs w:val="24"/>
          <w:lang w:eastAsia="en-AU"/>
        </w:rPr>
        <w:t xml:space="preserve"> statement of compatibility with human rights </w:t>
      </w:r>
      <w:r w:rsidR="009A1705" w:rsidRPr="00B07F27">
        <w:rPr>
          <w:rFonts w:ascii="Times New Roman" w:eastAsia="Times New Roman" w:hAnsi="Times New Roman" w:cs="Times New Roman"/>
          <w:color w:val="000000"/>
          <w:sz w:val="24"/>
          <w:szCs w:val="24"/>
          <w:lang w:eastAsia="en-AU"/>
        </w:rPr>
        <w:t xml:space="preserve">is not required under section 9 </w:t>
      </w:r>
      <w:r w:rsidR="00BD6023" w:rsidRPr="00B07F27">
        <w:rPr>
          <w:rFonts w:ascii="Times New Roman" w:eastAsia="Times New Roman" w:hAnsi="Times New Roman" w:cs="Times New Roman"/>
          <w:color w:val="000000"/>
          <w:sz w:val="24"/>
          <w:szCs w:val="24"/>
          <w:lang w:eastAsia="en-AU"/>
        </w:rPr>
        <w:t>of the </w:t>
      </w:r>
      <w:r w:rsidR="00BD6023" w:rsidRPr="00B07F27">
        <w:rPr>
          <w:rFonts w:ascii="Times New Roman" w:eastAsia="Times New Roman" w:hAnsi="Times New Roman" w:cs="Times New Roman"/>
          <w:i/>
          <w:iCs/>
          <w:color w:val="000000"/>
          <w:sz w:val="24"/>
          <w:szCs w:val="24"/>
          <w:lang w:eastAsia="en-AU"/>
        </w:rPr>
        <w:t>Human Rights (Parliamentary Scrutiny) Act 2011</w:t>
      </w:r>
      <w:r w:rsidR="00BD6023" w:rsidRPr="00B07F27">
        <w:rPr>
          <w:rFonts w:ascii="Times New Roman" w:eastAsia="Times New Roman" w:hAnsi="Times New Roman" w:cs="Times New Roman"/>
          <w:color w:val="000000"/>
          <w:sz w:val="24"/>
          <w:szCs w:val="24"/>
          <w:lang w:eastAsia="en-AU"/>
        </w:rPr>
        <w:t>.</w:t>
      </w:r>
      <w:r w:rsidR="00BD6023" w:rsidRPr="00B07F27">
        <w:rPr>
          <w:rFonts w:ascii="Times New Roman" w:eastAsia="Times New Roman" w:hAnsi="Times New Roman" w:cs="Times New Roman"/>
          <w:i/>
          <w:color w:val="000000"/>
          <w:sz w:val="24"/>
          <w:szCs w:val="24"/>
          <w:lang w:eastAsia="en-AU"/>
        </w:rPr>
        <w:t xml:space="preserve"> </w:t>
      </w:r>
    </w:p>
    <w:p w14:paraId="7D6D936B" w14:textId="77777777" w:rsidR="00C67152" w:rsidRPr="00B07F27" w:rsidRDefault="00630CC4" w:rsidP="00630CC4">
      <w:pPr>
        <w:spacing w:after="0" w:line="240" w:lineRule="auto"/>
        <w:jc w:val="right"/>
        <w:rPr>
          <w:rFonts w:ascii="Times New Roman" w:hAnsi="Times New Roman" w:cs="Times New Roman"/>
          <w:b/>
          <w:sz w:val="28"/>
          <w:lang w:val="en-US"/>
        </w:rPr>
      </w:pPr>
      <w:r w:rsidRPr="00B07F27">
        <w:rPr>
          <w:rFonts w:ascii="Times New Roman" w:hAnsi="Times New Roman" w:cs="Times New Roman"/>
          <w:b/>
          <w:sz w:val="24"/>
          <w:u w:val="single"/>
          <w:lang w:val="en-US"/>
        </w:rPr>
        <w:br w:type="column"/>
      </w:r>
      <w:r w:rsidRPr="00B07F27">
        <w:rPr>
          <w:rFonts w:ascii="Times New Roman" w:hAnsi="Times New Roman" w:cs="Times New Roman"/>
          <w:b/>
          <w:sz w:val="28"/>
          <w:lang w:val="en-US"/>
        </w:rPr>
        <w:lastRenderedPageBreak/>
        <w:t>Attachment A</w:t>
      </w:r>
    </w:p>
    <w:p w14:paraId="6FBD789D" w14:textId="77777777" w:rsidR="00630CC4" w:rsidRPr="00B07F27" w:rsidRDefault="00630CC4" w:rsidP="005D0515">
      <w:pPr>
        <w:spacing w:after="0" w:line="240" w:lineRule="auto"/>
        <w:jc w:val="center"/>
        <w:rPr>
          <w:rFonts w:ascii="Times New Roman" w:hAnsi="Times New Roman" w:cs="Times New Roman"/>
          <w:b/>
          <w:sz w:val="28"/>
          <w:lang w:val="en-US"/>
        </w:rPr>
      </w:pPr>
    </w:p>
    <w:p w14:paraId="52C90BE8" w14:textId="77777777" w:rsidR="00630CC4" w:rsidRPr="00B07F27" w:rsidRDefault="00630CC4" w:rsidP="005D0515">
      <w:pPr>
        <w:spacing w:after="0" w:line="240" w:lineRule="auto"/>
        <w:jc w:val="center"/>
        <w:rPr>
          <w:rFonts w:ascii="Times New Roman" w:hAnsi="Times New Roman" w:cs="Times New Roman"/>
          <w:b/>
          <w:sz w:val="28"/>
          <w:lang w:val="en-US"/>
        </w:rPr>
      </w:pPr>
      <w:r w:rsidRPr="00B07F27">
        <w:rPr>
          <w:rFonts w:ascii="Times New Roman" w:hAnsi="Times New Roman" w:cs="Times New Roman"/>
          <w:b/>
          <w:sz w:val="28"/>
          <w:lang w:val="en-US"/>
        </w:rPr>
        <w:t xml:space="preserve">Details of the </w:t>
      </w:r>
      <w:r w:rsidR="002F562A" w:rsidRPr="002F562A">
        <w:rPr>
          <w:rFonts w:ascii="Times New Roman" w:hAnsi="Times New Roman" w:cs="Times New Roman"/>
          <w:b/>
          <w:i/>
          <w:sz w:val="28"/>
          <w:lang w:val="en-US"/>
        </w:rPr>
        <w:t>Telecommunications (</w:t>
      </w:r>
      <w:r w:rsidR="00C01961">
        <w:rPr>
          <w:rFonts w:ascii="Times New Roman" w:hAnsi="Times New Roman" w:cs="Times New Roman"/>
          <w:b/>
          <w:i/>
          <w:sz w:val="28"/>
          <w:lang w:val="en-US"/>
        </w:rPr>
        <w:t>Domestic</w:t>
      </w:r>
      <w:r w:rsidR="00AD73A8">
        <w:rPr>
          <w:rFonts w:ascii="Times New Roman" w:hAnsi="Times New Roman" w:cs="Times New Roman"/>
          <w:b/>
          <w:i/>
          <w:sz w:val="28"/>
          <w:lang w:val="en-US"/>
        </w:rPr>
        <w:t xml:space="preserve">, </w:t>
      </w:r>
      <w:r w:rsidR="00C01961">
        <w:rPr>
          <w:rFonts w:ascii="Times New Roman" w:hAnsi="Times New Roman" w:cs="Times New Roman"/>
          <w:b/>
          <w:i/>
          <w:sz w:val="28"/>
          <w:lang w:val="en-US"/>
        </w:rPr>
        <w:t>Family</w:t>
      </w:r>
      <w:r w:rsidR="00AD73A8">
        <w:rPr>
          <w:rFonts w:ascii="Times New Roman" w:hAnsi="Times New Roman" w:cs="Times New Roman"/>
          <w:b/>
          <w:i/>
          <w:sz w:val="28"/>
          <w:lang w:val="en-US"/>
        </w:rPr>
        <w:t xml:space="preserve"> and Sexual</w:t>
      </w:r>
      <w:r w:rsidR="00C01961">
        <w:rPr>
          <w:rFonts w:ascii="Times New Roman" w:hAnsi="Times New Roman" w:cs="Times New Roman"/>
          <w:b/>
          <w:i/>
          <w:sz w:val="28"/>
          <w:lang w:val="en-US"/>
        </w:rPr>
        <w:t xml:space="preserve"> Violence </w:t>
      </w:r>
      <w:r w:rsidR="00C37B6C" w:rsidRPr="00C37B6C">
        <w:rPr>
          <w:rFonts w:ascii="Times New Roman" w:hAnsi="Times New Roman" w:cs="Times New Roman"/>
          <w:b/>
          <w:i/>
          <w:sz w:val="28"/>
          <w:lang w:val="en-US"/>
        </w:rPr>
        <w:t>Consumer</w:t>
      </w:r>
      <w:r w:rsidR="00C01961">
        <w:rPr>
          <w:rFonts w:ascii="Times New Roman" w:hAnsi="Times New Roman" w:cs="Times New Roman"/>
          <w:b/>
          <w:i/>
          <w:sz w:val="28"/>
          <w:lang w:val="en-US"/>
        </w:rPr>
        <w:t xml:space="preserve"> Protections</w:t>
      </w:r>
      <w:r w:rsidR="002F562A" w:rsidRPr="002F562A">
        <w:rPr>
          <w:rFonts w:ascii="Times New Roman" w:hAnsi="Times New Roman" w:cs="Times New Roman"/>
          <w:b/>
          <w:i/>
          <w:sz w:val="28"/>
          <w:lang w:val="en-US"/>
        </w:rPr>
        <w:t xml:space="preserve"> Industry Standard) Direction 2024</w:t>
      </w:r>
    </w:p>
    <w:p w14:paraId="05DA9A47" w14:textId="77777777" w:rsidR="00630CC4" w:rsidRPr="008F27C1" w:rsidRDefault="00630CC4" w:rsidP="00630CC4">
      <w:pPr>
        <w:spacing w:after="0" w:line="240" w:lineRule="auto"/>
        <w:rPr>
          <w:rFonts w:ascii="Times New Roman" w:hAnsi="Times New Roman" w:cs="Times New Roman"/>
          <w:b/>
          <w:i/>
          <w:sz w:val="24"/>
          <w:szCs w:val="24"/>
          <w:lang w:val="en-US"/>
        </w:rPr>
      </w:pPr>
    </w:p>
    <w:p w14:paraId="2E5D44D9"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1 – Name</w:t>
      </w:r>
    </w:p>
    <w:p w14:paraId="4B27155E" w14:textId="77777777" w:rsidR="007723BD" w:rsidRPr="002C09F9" w:rsidRDefault="007723BD" w:rsidP="002C09F9">
      <w:pPr>
        <w:spacing w:after="0" w:line="240" w:lineRule="auto"/>
        <w:rPr>
          <w:rFonts w:ascii="Times New Roman" w:hAnsi="Times New Roman" w:cs="Times New Roman"/>
          <w:b/>
          <w:sz w:val="24"/>
          <w:szCs w:val="24"/>
          <w:lang w:val="en-US"/>
        </w:rPr>
      </w:pPr>
    </w:p>
    <w:p w14:paraId="356B9D80" w14:textId="77777777" w:rsidR="007723BD"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7723BD" w:rsidRPr="002C09F9">
        <w:rPr>
          <w:rFonts w:ascii="Times New Roman" w:hAnsi="Times New Roman" w:cs="Times New Roman"/>
          <w:sz w:val="24"/>
          <w:szCs w:val="24"/>
          <w:lang w:val="en-US"/>
        </w:rPr>
        <w:t xml:space="preserve"> provides that the name of the Direction is the </w:t>
      </w:r>
      <w:bookmarkStart w:id="3" w:name="_Hlk173141295"/>
      <w:r w:rsidR="007723BD" w:rsidRPr="002C09F9">
        <w:rPr>
          <w:rFonts w:ascii="Times New Roman" w:hAnsi="Times New Roman" w:cs="Times New Roman"/>
          <w:i/>
          <w:sz w:val="24"/>
          <w:szCs w:val="24"/>
          <w:lang w:val="en-US"/>
        </w:rPr>
        <w:t>Telecommunications (</w:t>
      </w:r>
      <w:r w:rsidR="00C01961">
        <w:rPr>
          <w:rFonts w:ascii="Times New Roman" w:hAnsi="Times New Roman" w:cs="Times New Roman"/>
          <w:i/>
          <w:sz w:val="24"/>
          <w:szCs w:val="24"/>
          <w:lang w:val="en-US"/>
        </w:rPr>
        <w:t>Domestic</w:t>
      </w:r>
      <w:r w:rsidR="00AD73A8">
        <w:rPr>
          <w:rFonts w:ascii="Times New Roman" w:hAnsi="Times New Roman" w:cs="Times New Roman"/>
          <w:i/>
          <w:sz w:val="24"/>
          <w:szCs w:val="24"/>
          <w:lang w:val="en-US"/>
        </w:rPr>
        <w:t xml:space="preserve">, </w:t>
      </w:r>
      <w:r w:rsidR="00C01961">
        <w:rPr>
          <w:rFonts w:ascii="Times New Roman" w:hAnsi="Times New Roman" w:cs="Times New Roman"/>
          <w:i/>
          <w:sz w:val="24"/>
          <w:szCs w:val="24"/>
          <w:lang w:val="en-US"/>
        </w:rPr>
        <w:t>Family</w:t>
      </w:r>
      <w:r w:rsidR="00AD73A8">
        <w:rPr>
          <w:rFonts w:ascii="Times New Roman" w:hAnsi="Times New Roman" w:cs="Times New Roman"/>
          <w:i/>
          <w:sz w:val="24"/>
          <w:szCs w:val="24"/>
          <w:lang w:val="en-US"/>
        </w:rPr>
        <w:t xml:space="preserve"> and Sexual</w:t>
      </w:r>
      <w:r w:rsidR="00C01961">
        <w:rPr>
          <w:rFonts w:ascii="Times New Roman" w:hAnsi="Times New Roman" w:cs="Times New Roman"/>
          <w:i/>
          <w:sz w:val="24"/>
          <w:szCs w:val="24"/>
          <w:lang w:val="en-US"/>
        </w:rPr>
        <w:t xml:space="preserve"> Violence </w:t>
      </w:r>
      <w:r w:rsidR="00C37B6C" w:rsidRPr="00C37B6C">
        <w:rPr>
          <w:rFonts w:ascii="Times New Roman" w:hAnsi="Times New Roman" w:cs="Times New Roman"/>
          <w:i/>
          <w:sz w:val="24"/>
          <w:szCs w:val="24"/>
          <w:lang w:val="en-US"/>
        </w:rPr>
        <w:t>Consumer</w:t>
      </w:r>
      <w:r w:rsidR="00C01961">
        <w:rPr>
          <w:rFonts w:ascii="Times New Roman" w:hAnsi="Times New Roman" w:cs="Times New Roman"/>
          <w:i/>
          <w:sz w:val="24"/>
          <w:szCs w:val="24"/>
          <w:lang w:val="en-US"/>
        </w:rPr>
        <w:t xml:space="preserve"> Protections</w:t>
      </w:r>
      <w:r w:rsidR="005D0515" w:rsidRPr="002C09F9">
        <w:rPr>
          <w:rFonts w:ascii="Times New Roman" w:hAnsi="Times New Roman" w:cs="Times New Roman"/>
          <w:i/>
          <w:sz w:val="24"/>
          <w:szCs w:val="24"/>
          <w:lang w:val="en-US"/>
        </w:rPr>
        <w:t xml:space="preserve"> </w:t>
      </w:r>
      <w:r w:rsidR="007723BD" w:rsidRPr="002C09F9">
        <w:rPr>
          <w:rFonts w:ascii="Times New Roman" w:hAnsi="Times New Roman" w:cs="Times New Roman"/>
          <w:i/>
          <w:sz w:val="24"/>
          <w:szCs w:val="24"/>
          <w:lang w:val="en-US"/>
        </w:rPr>
        <w:t>Industry Standard) Direction 202</w:t>
      </w:r>
      <w:r w:rsidR="005D0515" w:rsidRPr="002C09F9">
        <w:rPr>
          <w:rFonts w:ascii="Times New Roman" w:hAnsi="Times New Roman" w:cs="Times New Roman"/>
          <w:i/>
          <w:sz w:val="24"/>
          <w:szCs w:val="24"/>
          <w:lang w:val="en-US"/>
        </w:rPr>
        <w:t>4</w:t>
      </w:r>
      <w:bookmarkEnd w:id="3"/>
      <w:r w:rsidR="007723BD" w:rsidRPr="002C09F9">
        <w:rPr>
          <w:rFonts w:ascii="Times New Roman" w:hAnsi="Times New Roman" w:cs="Times New Roman"/>
          <w:sz w:val="24"/>
          <w:szCs w:val="24"/>
          <w:lang w:val="en-US"/>
        </w:rPr>
        <w:t>.</w:t>
      </w:r>
    </w:p>
    <w:p w14:paraId="7C8615FB" w14:textId="77777777" w:rsidR="00630CC4" w:rsidRPr="002C09F9" w:rsidRDefault="00630CC4" w:rsidP="002C09F9">
      <w:pPr>
        <w:spacing w:after="0" w:line="240" w:lineRule="auto"/>
        <w:rPr>
          <w:rFonts w:ascii="Times New Roman" w:hAnsi="Times New Roman" w:cs="Times New Roman"/>
          <w:b/>
          <w:sz w:val="24"/>
          <w:szCs w:val="24"/>
          <w:lang w:val="en-US"/>
        </w:rPr>
      </w:pPr>
    </w:p>
    <w:p w14:paraId="3F064042"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2 – Commencement</w:t>
      </w:r>
    </w:p>
    <w:p w14:paraId="6DDC0A67" w14:textId="77777777" w:rsidR="007723BD" w:rsidRPr="002C09F9" w:rsidRDefault="007723BD" w:rsidP="002C09F9">
      <w:pPr>
        <w:spacing w:after="0" w:line="240" w:lineRule="auto"/>
        <w:rPr>
          <w:rFonts w:ascii="Times New Roman" w:hAnsi="Times New Roman" w:cs="Times New Roman"/>
          <w:b/>
          <w:sz w:val="24"/>
          <w:szCs w:val="24"/>
          <w:lang w:val="en-US"/>
        </w:rPr>
      </w:pPr>
    </w:p>
    <w:p w14:paraId="2D87F6DF" w14:textId="77777777" w:rsidR="007723BD"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7723BD" w:rsidRPr="002C09F9">
        <w:rPr>
          <w:rFonts w:ascii="Times New Roman" w:hAnsi="Times New Roman" w:cs="Times New Roman"/>
          <w:sz w:val="24"/>
          <w:szCs w:val="24"/>
          <w:lang w:val="en-US"/>
        </w:rPr>
        <w:t xml:space="preserve"> provides that the </w:t>
      </w:r>
      <w:r w:rsidR="005B29A6" w:rsidRPr="002C09F9">
        <w:rPr>
          <w:rFonts w:ascii="Times New Roman" w:hAnsi="Times New Roman" w:cs="Times New Roman"/>
          <w:sz w:val="24"/>
          <w:szCs w:val="24"/>
          <w:lang w:val="en-US"/>
        </w:rPr>
        <w:t>Direction</w:t>
      </w:r>
      <w:r w:rsidR="007723BD" w:rsidRPr="002C09F9">
        <w:rPr>
          <w:rFonts w:ascii="Times New Roman" w:hAnsi="Times New Roman" w:cs="Times New Roman"/>
          <w:sz w:val="24"/>
          <w:szCs w:val="24"/>
          <w:lang w:val="en-US"/>
        </w:rPr>
        <w:t xml:space="preserve"> commence</w:t>
      </w:r>
      <w:r w:rsidR="00083E17" w:rsidRPr="002C09F9">
        <w:rPr>
          <w:rFonts w:ascii="Times New Roman" w:hAnsi="Times New Roman" w:cs="Times New Roman"/>
          <w:sz w:val="24"/>
          <w:szCs w:val="24"/>
          <w:lang w:val="en-US"/>
        </w:rPr>
        <w:t>s</w:t>
      </w:r>
      <w:r w:rsidR="007723BD" w:rsidRPr="002C09F9">
        <w:rPr>
          <w:rFonts w:ascii="Times New Roman" w:hAnsi="Times New Roman" w:cs="Times New Roman"/>
          <w:sz w:val="24"/>
          <w:szCs w:val="24"/>
          <w:lang w:val="en-US"/>
        </w:rPr>
        <w:t xml:space="preserve"> on the day after it is registered on the Federal Register of Legislation.</w:t>
      </w:r>
    </w:p>
    <w:p w14:paraId="5416A0C0" w14:textId="77777777" w:rsidR="00630CC4" w:rsidRPr="002C09F9" w:rsidRDefault="00630CC4" w:rsidP="002C09F9">
      <w:pPr>
        <w:spacing w:after="0" w:line="240" w:lineRule="auto"/>
        <w:rPr>
          <w:rFonts w:ascii="Times New Roman" w:hAnsi="Times New Roman" w:cs="Times New Roman"/>
          <w:b/>
          <w:sz w:val="24"/>
          <w:szCs w:val="24"/>
          <w:lang w:val="en-US"/>
        </w:rPr>
      </w:pPr>
    </w:p>
    <w:p w14:paraId="0321DA7E"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3 – Authority</w:t>
      </w:r>
    </w:p>
    <w:p w14:paraId="44C7C719" w14:textId="77777777" w:rsidR="003128F8" w:rsidRPr="002C09F9" w:rsidRDefault="003128F8" w:rsidP="002C09F9">
      <w:pPr>
        <w:spacing w:after="0" w:line="240" w:lineRule="auto"/>
        <w:rPr>
          <w:rFonts w:ascii="Times New Roman" w:hAnsi="Times New Roman" w:cs="Times New Roman"/>
          <w:b/>
          <w:sz w:val="24"/>
          <w:szCs w:val="24"/>
          <w:lang w:val="en-US"/>
        </w:rPr>
      </w:pPr>
    </w:p>
    <w:p w14:paraId="3F2DF42F" w14:textId="77777777" w:rsidR="003128F8"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3128F8" w:rsidRPr="002C09F9">
        <w:rPr>
          <w:rFonts w:ascii="Times New Roman" w:hAnsi="Times New Roman" w:cs="Times New Roman"/>
          <w:sz w:val="24"/>
          <w:szCs w:val="24"/>
          <w:lang w:val="en-US"/>
        </w:rPr>
        <w:t xml:space="preserve"> states that the </w:t>
      </w:r>
      <w:r w:rsidR="005B29A6" w:rsidRPr="002C09F9">
        <w:rPr>
          <w:rFonts w:ascii="Times New Roman" w:hAnsi="Times New Roman" w:cs="Times New Roman"/>
          <w:sz w:val="24"/>
          <w:szCs w:val="24"/>
          <w:lang w:val="en-US"/>
        </w:rPr>
        <w:t>Direction</w:t>
      </w:r>
      <w:r w:rsidR="003128F8" w:rsidRPr="002C09F9">
        <w:rPr>
          <w:rFonts w:ascii="Times New Roman" w:hAnsi="Times New Roman" w:cs="Times New Roman"/>
          <w:sz w:val="24"/>
          <w:szCs w:val="24"/>
          <w:lang w:val="en-US"/>
        </w:rPr>
        <w:t xml:space="preserve"> is made under subsection 125</w:t>
      </w:r>
      <w:r w:rsidR="000D0B72" w:rsidRPr="002C09F9">
        <w:rPr>
          <w:rFonts w:ascii="Times New Roman" w:hAnsi="Times New Roman" w:cs="Times New Roman"/>
          <w:sz w:val="24"/>
          <w:szCs w:val="24"/>
          <w:lang w:val="en-US"/>
        </w:rPr>
        <w:t>AA(</w:t>
      </w:r>
      <w:r w:rsidR="003128F8" w:rsidRPr="002C09F9">
        <w:rPr>
          <w:rFonts w:ascii="Times New Roman" w:hAnsi="Times New Roman" w:cs="Times New Roman"/>
          <w:sz w:val="24"/>
          <w:szCs w:val="24"/>
          <w:lang w:val="en-US"/>
        </w:rPr>
        <w:t xml:space="preserve">4) of the </w:t>
      </w:r>
      <w:r w:rsidR="003128F8" w:rsidRPr="002C09F9">
        <w:rPr>
          <w:rFonts w:ascii="Times New Roman" w:hAnsi="Times New Roman" w:cs="Times New Roman"/>
          <w:i/>
          <w:sz w:val="24"/>
          <w:szCs w:val="24"/>
          <w:lang w:val="en-US"/>
        </w:rPr>
        <w:t>Telecommunications Act 1997</w:t>
      </w:r>
      <w:r w:rsidR="003128F8" w:rsidRPr="002C09F9">
        <w:rPr>
          <w:rFonts w:ascii="Times New Roman" w:hAnsi="Times New Roman" w:cs="Times New Roman"/>
          <w:sz w:val="24"/>
          <w:szCs w:val="24"/>
          <w:lang w:val="en-US"/>
        </w:rPr>
        <w:t>.</w:t>
      </w:r>
    </w:p>
    <w:p w14:paraId="60FD8158" w14:textId="77777777" w:rsidR="00630CC4" w:rsidRPr="002C09F9" w:rsidRDefault="00630CC4" w:rsidP="002C09F9">
      <w:pPr>
        <w:spacing w:after="0" w:line="240" w:lineRule="auto"/>
        <w:rPr>
          <w:rFonts w:ascii="Times New Roman" w:hAnsi="Times New Roman" w:cs="Times New Roman"/>
          <w:b/>
          <w:sz w:val="24"/>
          <w:szCs w:val="24"/>
          <w:lang w:val="en-US"/>
        </w:rPr>
      </w:pPr>
    </w:p>
    <w:p w14:paraId="7857F7BD"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4 – Definitions</w:t>
      </w:r>
    </w:p>
    <w:p w14:paraId="61C807A4" w14:textId="77777777" w:rsidR="00630CC4" w:rsidRPr="002C09F9" w:rsidRDefault="00630CC4" w:rsidP="002C09F9">
      <w:pPr>
        <w:spacing w:after="0" w:line="240" w:lineRule="auto"/>
        <w:rPr>
          <w:rFonts w:ascii="Times New Roman" w:hAnsi="Times New Roman" w:cs="Times New Roman"/>
          <w:b/>
          <w:sz w:val="24"/>
          <w:szCs w:val="24"/>
          <w:lang w:val="en-US"/>
        </w:rPr>
      </w:pPr>
    </w:p>
    <w:p w14:paraId="51DA13B1" w14:textId="77777777" w:rsidR="004B3A08" w:rsidRPr="002C09F9" w:rsidRDefault="00937177"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This section</w:t>
      </w:r>
      <w:r w:rsidR="003128F8" w:rsidRPr="002C09F9">
        <w:rPr>
          <w:rFonts w:ascii="Times New Roman" w:hAnsi="Times New Roman" w:cs="Times New Roman"/>
          <w:sz w:val="24"/>
          <w:szCs w:val="24"/>
          <w:lang w:val="en-US"/>
        </w:rPr>
        <w:t xml:space="preserve"> sets out definitions for terms used in the Direction.</w:t>
      </w:r>
      <w:r w:rsidR="00147CFC" w:rsidRPr="002C09F9">
        <w:rPr>
          <w:rFonts w:ascii="Times New Roman" w:hAnsi="Times New Roman" w:cs="Times New Roman"/>
          <w:sz w:val="24"/>
          <w:szCs w:val="24"/>
          <w:lang w:val="en-US"/>
        </w:rPr>
        <w:t xml:space="preserve"> </w:t>
      </w:r>
    </w:p>
    <w:p w14:paraId="36324378" w14:textId="77777777" w:rsidR="003128F8" w:rsidRPr="002C09F9" w:rsidRDefault="003128F8" w:rsidP="002C09F9">
      <w:pPr>
        <w:spacing w:after="0" w:line="240" w:lineRule="auto"/>
        <w:rPr>
          <w:rFonts w:ascii="Times New Roman" w:hAnsi="Times New Roman" w:cs="Times New Roman"/>
          <w:sz w:val="24"/>
          <w:szCs w:val="24"/>
          <w:lang w:val="en-US"/>
        </w:rPr>
      </w:pPr>
    </w:p>
    <w:p w14:paraId="41532816" w14:textId="692A44D9" w:rsidR="00147CFC" w:rsidRDefault="003128F8" w:rsidP="002C09F9">
      <w:pPr>
        <w:spacing w:after="0" w:line="240" w:lineRule="auto"/>
        <w:rPr>
          <w:rFonts w:ascii="Times New Roman" w:hAnsi="Times New Roman" w:cs="Times New Roman"/>
          <w:sz w:val="24"/>
          <w:szCs w:val="24"/>
          <w:lang w:val="en-US"/>
        </w:rPr>
      </w:pPr>
      <w:r w:rsidRPr="002C09F9">
        <w:rPr>
          <w:rFonts w:ascii="Times New Roman" w:hAnsi="Times New Roman" w:cs="Times New Roman"/>
          <w:sz w:val="24"/>
          <w:szCs w:val="24"/>
          <w:lang w:val="en-US"/>
        </w:rPr>
        <w:t xml:space="preserve">The note to this section informs the reader that a number of expressions used in the instrument are defined in the </w:t>
      </w:r>
      <w:r w:rsidRPr="002C09F9">
        <w:rPr>
          <w:rFonts w:ascii="Times New Roman" w:hAnsi="Times New Roman" w:cs="Times New Roman"/>
          <w:i/>
          <w:sz w:val="24"/>
          <w:szCs w:val="24"/>
          <w:lang w:val="en-US"/>
        </w:rPr>
        <w:t>Telecommunications Act 1997</w:t>
      </w:r>
      <w:r w:rsidR="004B3A08" w:rsidRPr="002C09F9">
        <w:rPr>
          <w:rFonts w:ascii="Times New Roman" w:hAnsi="Times New Roman" w:cs="Times New Roman"/>
          <w:sz w:val="24"/>
          <w:szCs w:val="24"/>
          <w:lang w:val="en-US"/>
        </w:rPr>
        <w:t xml:space="preserve"> (the Act).</w:t>
      </w:r>
    </w:p>
    <w:p w14:paraId="15A02149" w14:textId="3B29A8F0" w:rsidR="003F47C6" w:rsidRDefault="003F47C6" w:rsidP="002C09F9">
      <w:pPr>
        <w:spacing w:after="0" w:line="240" w:lineRule="auto"/>
        <w:rPr>
          <w:rFonts w:ascii="Times New Roman" w:hAnsi="Times New Roman" w:cs="Times New Roman"/>
          <w:sz w:val="24"/>
          <w:szCs w:val="24"/>
          <w:lang w:val="en-US"/>
        </w:rPr>
      </w:pPr>
    </w:p>
    <w:p w14:paraId="7806AD2B" w14:textId="555AF640" w:rsidR="003F47C6" w:rsidRDefault="003F47C6" w:rsidP="003F47C6">
      <w:pPr>
        <w:spacing w:after="0" w:line="240" w:lineRule="auto"/>
        <w:rPr>
          <w:rFonts w:ascii="Times New Roman" w:hAnsi="Times New Roman" w:cs="Times New Roman"/>
          <w:sz w:val="24"/>
          <w:szCs w:val="24"/>
          <w:lang w:val="en-US"/>
        </w:rPr>
      </w:pPr>
      <w:r w:rsidRPr="002E20EC">
        <w:rPr>
          <w:rFonts w:ascii="Times New Roman" w:hAnsi="Times New Roman" w:cs="Times New Roman"/>
          <w:sz w:val="24"/>
          <w:szCs w:val="24"/>
          <w:lang w:val="en-US"/>
        </w:rPr>
        <w:t>Subsection 7(4)</w:t>
      </w:r>
      <w:r>
        <w:rPr>
          <w:rFonts w:ascii="Times New Roman" w:hAnsi="Times New Roman" w:cs="Times New Roman"/>
          <w:sz w:val="24"/>
          <w:szCs w:val="24"/>
          <w:lang w:val="en-US"/>
        </w:rPr>
        <w:t xml:space="preserve"> clarifies that in determining the standard, the ACMA may define any terms that it considers appropriate or necessary, including terms used in the instrument but not defined in section 4. </w:t>
      </w:r>
    </w:p>
    <w:p w14:paraId="2BB6A602" w14:textId="77777777" w:rsidR="00C01961" w:rsidRPr="002C09F9" w:rsidRDefault="00C01961" w:rsidP="002C09F9">
      <w:pPr>
        <w:spacing w:after="0" w:line="240" w:lineRule="auto"/>
        <w:rPr>
          <w:rFonts w:ascii="Times New Roman" w:hAnsi="Times New Roman" w:cs="Times New Roman"/>
          <w:b/>
          <w:sz w:val="24"/>
          <w:szCs w:val="24"/>
          <w:lang w:val="en-US"/>
        </w:rPr>
      </w:pPr>
    </w:p>
    <w:p w14:paraId="190B72EB" w14:textId="77777777" w:rsidR="00630CC4" w:rsidRPr="002C09F9" w:rsidRDefault="00630CC4" w:rsidP="002C09F9">
      <w:pPr>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Section 5 – Direction to the ACMA</w:t>
      </w:r>
      <w:r w:rsidR="00083E17" w:rsidRPr="002C09F9">
        <w:rPr>
          <w:rFonts w:ascii="Times New Roman" w:hAnsi="Times New Roman" w:cs="Times New Roman"/>
          <w:b/>
          <w:sz w:val="24"/>
          <w:szCs w:val="24"/>
          <w:lang w:val="en-US"/>
        </w:rPr>
        <w:t xml:space="preserve"> </w:t>
      </w:r>
    </w:p>
    <w:p w14:paraId="67447331" w14:textId="77777777" w:rsidR="00A93389" w:rsidRPr="002C09F9" w:rsidRDefault="00A93389" w:rsidP="002C09F9">
      <w:pPr>
        <w:shd w:val="clear" w:color="auto" w:fill="FFFFFF"/>
        <w:spacing w:after="0" w:line="240" w:lineRule="auto"/>
        <w:rPr>
          <w:rFonts w:ascii="Times New Roman" w:eastAsia="Times New Roman" w:hAnsi="Times New Roman" w:cs="Times New Roman"/>
          <w:color w:val="000000"/>
          <w:sz w:val="24"/>
          <w:szCs w:val="24"/>
          <w:lang w:eastAsia="en-AU"/>
        </w:rPr>
      </w:pPr>
    </w:p>
    <w:p w14:paraId="48040620" w14:textId="6FA6A445" w:rsidR="00F518AC" w:rsidRDefault="00A93389" w:rsidP="00F518AC">
      <w:pPr>
        <w:widowControl w:val="0"/>
        <w:spacing w:after="0" w:line="240" w:lineRule="auto"/>
        <w:rPr>
          <w:rFonts w:ascii="Times New Roman" w:hAnsi="Times New Roman" w:cs="Times New Roman"/>
          <w:sz w:val="24"/>
          <w:szCs w:val="24"/>
          <w:lang w:val="en-US"/>
        </w:rPr>
      </w:pPr>
      <w:r w:rsidRPr="002C09F9">
        <w:rPr>
          <w:rFonts w:ascii="Times New Roman" w:eastAsia="Times New Roman" w:hAnsi="Times New Roman" w:cs="Times New Roman"/>
          <w:color w:val="000000"/>
          <w:sz w:val="24"/>
          <w:szCs w:val="24"/>
          <w:lang w:eastAsia="en-AU"/>
        </w:rPr>
        <w:t xml:space="preserve">Subsection 5(1) of the instrument provides </w:t>
      </w:r>
      <w:r w:rsidRPr="002C09F9">
        <w:rPr>
          <w:rFonts w:ascii="Times New Roman" w:hAnsi="Times New Roman" w:cs="Times New Roman"/>
          <w:sz w:val="24"/>
          <w:szCs w:val="24"/>
          <w:lang w:val="en-US"/>
        </w:rPr>
        <w:t xml:space="preserve">that the Minister directs the ACMA to </w:t>
      </w:r>
      <w:r w:rsidR="00A61165">
        <w:rPr>
          <w:rFonts w:ascii="Times New Roman" w:hAnsi="Times New Roman" w:cs="Times New Roman"/>
          <w:sz w:val="24"/>
          <w:szCs w:val="24"/>
          <w:lang w:val="en-US"/>
        </w:rPr>
        <w:t xml:space="preserve">determine an industry standard under subsection 125AA(1) of the Act </w:t>
      </w:r>
      <w:r w:rsidR="00A61165" w:rsidRPr="00225B5D">
        <w:rPr>
          <w:rFonts w:ascii="Times New Roman" w:hAnsi="Times New Roman" w:cs="Times New Roman"/>
          <w:sz w:val="24"/>
          <w:szCs w:val="24"/>
          <w:lang w:val="en-US"/>
        </w:rPr>
        <w:t>that</w:t>
      </w:r>
      <w:r w:rsidR="00225B5D" w:rsidRPr="00225B5D">
        <w:rPr>
          <w:rFonts w:ascii="Times New Roman" w:hAnsi="Times New Roman" w:cs="Times New Roman"/>
          <w:sz w:val="24"/>
          <w:szCs w:val="24"/>
          <w:lang w:val="en-US"/>
        </w:rPr>
        <w:t xml:space="preserve"> </w:t>
      </w:r>
      <w:r w:rsidR="003F47C6">
        <w:rPr>
          <w:rFonts w:ascii="Times New Roman" w:hAnsi="Times New Roman" w:cs="Times New Roman"/>
          <w:sz w:val="24"/>
          <w:szCs w:val="24"/>
          <w:lang w:val="en-US"/>
        </w:rPr>
        <w:t xml:space="preserve">gives effect to the objectives set out in section 7 of the instrument. These objectives broadly relate to </w:t>
      </w:r>
      <w:r w:rsidR="003F47C6" w:rsidRPr="003F47C6">
        <w:rPr>
          <w:rFonts w:ascii="Times New Roman" w:hAnsi="Times New Roman" w:cs="Times New Roman"/>
          <w:sz w:val="24"/>
          <w:szCs w:val="24"/>
          <w:lang w:val="en-US"/>
        </w:rPr>
        <w:t>safeguarding telecommunications consumers who are, or may be, affected by domestic and family, and where relevant, sexual violence</w:t>
      </w:r>
      <w:r w:rsidR="003F47C6">
        <w:rPr>
          <w:rFonts w:ascii="Times New Roman" w:hAnsi="Times New Roman" w:cs="Times New Roman"/>
          <w:sz w:val="24"/>
          <w:szCs w:val="24"/>
          <w:lang w:val="en-US"/>
        </w:rPr>
        <w:t xml:space="preserve">. </w:t>
      </w:r>
    </w:p>
    <w:p w14:paraId="5D6BE5F8" w14:textId="77777777" w:rsidR="00DC63D7" w:rsidRDefault="00DC63D7" w:rsidP="00F518AC">
      <w:pPr>
        <w:widowControl w:val="0"/>
        <w:spacing w:after="0" w:line="240" w:lineRule="auto"/>
        <w:rPr>
          <w:rFonts w:ascii="Times New Roman" w:eastAsia="Times New Roman" w:hAnsi="Times New Roman" w:cs="Times New Roman"/>
          <w:color w:val="000000"/>
          <w:sz w:val="24"/>
          <w:szCs w:val="24"/>
          <w:lang w:eastAsia="en-AU"/>
        </w:rPr>
      </w:pPr>
    </w:p>
    <w:p w14:paraId="5606AC36" w14:textId="77777777" w:rsidR="00D82903" w:rsidRPr="002C09F9" w:rsidRDefault="00D82903" w:rsidP="002C09F9">
      <w:pPr>
        <w:shd w:val="clear" w:color="auto" w:fill="FFFFFF"/>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Under the Act, if the Minister directs the ACMA to make such a standard, the Minister may also direct that the ACMA is to do so within a specified period (paragraph 125AA(4)(b)).</w:t>
      </w:r>
    </w:p>
    <w:p w14:paraId="590984D5" w14:textId="77777777" w:rsidR="00D82903" w:rsidRPr="002C09F9" w:rsidRDefault="00D82903" w:rsidP="002C09F9">
      <w:pPr>
        <w:shd w:val="clear" w:color="auto" w:fill="FFFFFF"/>
        <w:spacing w:after="0" w:line="240" w:lineRule="auto"/>
        <w:rPr>
          <w:rFonts w:ascii="Times New Roman" w:eastAsia="Times New Roman" w:hAnsi="Times New Roman" w:cs="Times New Roman"/>
          <w:color w:val="000000"/>
          <w:sz w:val="24"/>
          <w:szCs w:val="24"/>
          <w:lang w:eastAsia="en-AU"/>
        </w:rPr>
      </w:pPr>
    </w:p>
    <w:p w14:paraId="5D39CAD3" w14:textId="23893F9C" w:rsidR="00790BAD" w:rsidRPr="002C09F9" w:rsidRDefault="000012A2" w:rsidP="002C09F9">
      <w:pPr>
        <w:shd w:val="clear" w:color="auto" w:fill="FFFFFF"/>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Subsection 5(2)</w:t>
      </w:r>
      <w:r w:rsidR="00C91727">
        <w:rPr>
          <w:rFonts w:ascii="Times New Roman" w:eastAsia="Times New Roman" w:hAnsi="Times New Roman" w:cs="Times New Roman"/>
          <w:color w:val="000000"/>
          <w:sz w:val="24"/>
          <w:szCs w:val="24"/>
          <w:lang w:eastAsia="en-AU"/>
        </w:rPr>
        <w:t xml:space="preserve"> </w:t>
      </w:r>
      <w:r w:rsidRPr="002C09F9">
        <w:rPr>
          <w:rFonts w:ascii="Times New Roman" w:eastAsia="Times New Roman" w:hAnsi="Times New Roman" w:cs="Times New Roman"/>
          <w:color w:val="000000"/>
          <w:sz w:val="24"/>
          <w:szCs w:val="24"/>
          <w:lang w:eastAsia="en-AU"/>
        </w:rPr>
        <w:t xml:space="preserve">provides that the </w:t>
      </w:r>
      <w:r w:rsidR="00A61165">
        <w:rPr>
          <w:rFonts w:ascii="Times New Roman" w:eastAsia="Times New Roman" w:hAnsi="Times New Roman" w:cs="Times New Roman"/>
          <w:color w:val="000000"/>
          <w:sz w:val="24"/>
          <w:szCs w:val="24"/>
          <w:lang w:eastAsia="en-AU"/>
        </w:rPr>
        <w:t>industry standard is</w:t>
      </w:r>
      <w:r w:rsidR="00881231">
        <w:rPr>
          <w:rFonts w:ascii="Times New Roman" w:eastAsia="Times New Roman" w:hAnsi="Times New Roman" w:cs="Times New Roman"/>
          <w:color w:val="000000"/>
          <w:sz w:val="24"/>
          <w:szCs w:val="24"/>
          <w:lang w:eastAsia="en-AU"/>
        </w:rPr>
        <w:t xml:space="preserve"> to be determined </w:t>
      </w:r>
      <w:r w:rsidR="00A61165">
        <w:rPr>
          <w:rFonts w:ascii="Times New Roman" w:eastAsia="Times New Roman" w:hAnsi="Times New Roman" w:cs="Times New Roman"/>
          <w:color w:val="000000"/>
          <w:sz w:val="24"/>
          <w:szCs w:val="24"/>
          <w:lang w:eastAsia="en-AU"/>
        </w:rPr>
        <w:t>within six months after the Direction is issued</w:t>
      </w:r>
      <w:r w:rsidR="00E33746">
        <w:rPr>
          <w:rFonts w:ascii="Times New Roman" w:eastAsia="Times New Roman" w:hAnsi="Times New Roman" w:cs="Times New Roman"/>
          <w:color w:val="000000"/>
          <w:sz w:val="24"/>
          <w:szCs w:val="24"/>
          <w:lang w:eastAsia="en-AU"/>
        </w:rPr>
        <w:t>.</w:t>
      </w:r>
      <w:r w:rsidR="00196543">
        <w:rPr>
          <w:rFonts w:ascii="Times New Roman" w:eastAsia="Times New Roman" w:hAnsi="Times New Roman" w:cs="Times New Roman"/>
          <w:color w:val="000000"/>
          <w:sz w:val="24"/>
          <w:szCs w:val="24"/>
          <w:lang w:eastAsia="en-AU"/>
        </w:rPr>
        <w:t xml:space="preserve"> </w:t>
      </w:r>
      <w:r w:rsidR="00F36F3B">
        <w:rPr>
          <w:rFonts w:ascii="Times New Roman" w:eastAsia="Times New Roman" w:hAnsi="Times New Roman" w:cs="Times New Roman"/>
          <w:color w:val="000000"/>
          <w:sz w:val="24"/>
          <w:szCs w:val="24"/>
          <w:lang w:eastAsia="en-AU"/>
        </w:rPr>
        <w:t>T</w:t>
      </w:r>
      <w:r w:rsidR="00881231" w:rsidRPr="002C09F9">
        <w:rPr>
          <w:rFonts w:ascii="Times New Roman" w:eastAsia="Times New Roman" w:hAnsi="Times New Roman" w:cs="Times New Roman"/>
          <w:color w:val="000000"/>
          <w:sz w:val="24"/>
          <w:szCs w:val="24"/>
          <w:lang w:eastAsia="en-AU"/>
        </w:rPr>
        <w:t>he</w:t>
      </w:r>
      <w:r w:rsidR="00F36F3B">
        <w:rPr>
          <w:rFonts w:ascii="Times New Roman" w:eastAsia="Times New Roman" w:hAnsi="Times New Roman" w:cs="Times New Roman"/>
          <w:color w:val="000000"/>
          <w:sz w:val="24"/>
          <w:szCs w:val="24"/>
          <w:lang w:eastAsia="en-AU"/>
        </w:rPr>
        <w:t xml:space="preserve"> industry</w:t>
      </w:r>
      <w:r w:rsidR="00881231" w:rsidRPr="002C09F9">
        <w:rPr>
          <w:rFonts w:ascii="Times New Roman" w:eastAsia="Times New Roman" w:hAnsi="Times New Roman" w:cs="Times New Roman"/>
          <w:color w:val="000000"/>
          <w:sz w:val="24"/>
          <w:szCs w:val="24"/>
          <w:lang w:eastAsia="en-AU"/>
        </w:rPr>
        <w:t xml:space="preserve"> standard must commence in </w:t>
      </w:r>
      <w:r w:rsidR="00881231">
        <w:rPr>
          <w:rFonts w:ascii="Times New Roman" w:eastAsia="Times New Roman" w:hAnsi="Times New Roman" w:cs="Times New Roman"/>
          <w:color w:val="000000"/>
          <w:sz w:val="24"/>
          <w:szCs w:val="24"/>
          <w:lang w:eastAsia="en-AU"/>
        </w:rPr>
        <w:t>full at the earliest practical opportunity</w:t>
      </w:r>
      <w:r w:rsidR="00E061A3">
        <w:rPr>
          <w:rFonts w:ascii="Times New Roman" w:eastAsia="Times New Roman" w:hAnsi="Times New Roman" w:cs="Times New Roman"/>
          <w:color w:val="000000"/>
          <w:sz w:val="24"/>
          <w:szCs w:val="24"/>
          <w:lang w:eastAsia="en-AU"/>
        </w:rPr>
        <w:t>, noting the critical importance of implementing rules for victim-survivors for their safety</w:t>
      </w:r>
      <w:r w:rsidR="00881231">
        <w:rPr>
          <w:rFonts w:ascii="Times New Roman" w:eastAsia="Times New Roman" w:hAnsi="Times New Roman" w:cs="Times New Roman"/>
          <w:color w:val="000000"/>
          <w:sz w:val="24"/>
          <w:szCs w:val="24"/>
          <w:lang w:eastAsia="en-AU"/>
        </w:rPr>
        <w:t>.</w:t>
      </w:r>
      <w:r w:rsidR="00F36F3B">
        <w:rPr>
          <w:rFonts w:ascii="Times New Roman" w:eastAsia="Times New Roman" w:hAnsi="Times New Roman" w:cs="Times New Roman"/>
          <w:color w:val="000000"/>
          <w:sz w:val="24"/>
          <w:szCs w:val="24"/>
          <w:lang w:eastAsia="en-AU"/>
        </w:rPr>
        <w:t xml:space="preserve"> In setting the timeframe for commencement, the ACMA should </w:t>
      </w:r>
      <w:r w:rsidR="00E302A2">
        <w:rPr>
          <w:rFonts w:ascii="Times New Roman" w:eastAsia="Times New Roman" w:hAnsi="Times New Roman" w:cs="Times New Roman"/>
          <w:color w:val="000000"/>
          <w:sz w:val="24"/>
          <w:szCs w:val="24"/>
          <w:lang w:eastAsia="en-AU"/>
        </w:rPr>
        <w:t xml:space="preserve">prioritise </w:t>
      </w:r>
      <w:r w:rsidR="00F36F3B">
        <w:rPr>
          <w:rFonts w:ascii="Times New Roman" w:eastAsia="Times New Roman" w:hAnsi="Times New Roman" w:cs="Times New Roman"/>
          <w:color w:val="000000"/>
          <w:sz w:val="24"/>
          <w:szCs w:val="24"/>
          <w:lang w:eastAsia="en-AU"/>
        </w:rPr>
        <w:t xml:space="preserve">establishing safeguards for consumers as soon as possible </w:t>
      </w:r>
      <w:r w:rsidR="00EB0F15">
        <w:rPr>
          <w:rFonts w:ascii="Times New Roman" w:eastAsia="Times New Roman" w:hAnsi="Times New Roman" w:cs="Times New Roman"/>
          <w:color w:val="000000"/>
          <w:sz w:val="24"/>
          <w:szCs w:val="24"/>
          <w:lang w:eastAsia="en-AU"/>
        </w:rPr>
        <w:t xml:space="preserve">whilst </w:t>
      </w:r>
      <w:r w:rsidR="00E302A2">
        <w:rPr>
          <w:rFonts w:ascii="Times New Roman" w:eastAsia="Times New Roman" w:hAnsi="Times New Roman" w:cs="Times New Roman"/>
          <w:color w:val="000000"/>
          <w:sz w:val="24"/>
          <w:szCs w:val="24"/>
          <w:lang w:eastAsia="en-AU"/>
        </w:rPr>
        <w:t>balanc</w:t>
      </w:r>
      <w:r w:rsidR="00EB0F15">
        <w:rPr>
          <w:rFonts w:ascii="Times New Roman" w:eastAsia="Times New Roman" w:hAnsi="Times New Roman" w:cs="Times New Roman"/>
          <w:color w:val="000000"/>
          <w:sz w:val="24"/>
          <w:szCs w:val="24"/>
          <w:lang w:eastAsia="en-AU"/>
        </w:rPr>
        <w:t>ing</w:t>
      </w:r>
      <w:r w:rsidR="00E302A2">
        <w:rPr>
          <w:rFonts w:ascii="Times New Roman" w:eastAsia="Times New Roman" w:hAnsi="Times New Roman" w:cs="Times New Roman"/>
          <w:color w:val="000000"/>
          <w:sz w:val="24"/>
          <w:szCs w:val="24"/>
          <w:lang w:eastAsia="en-AU"/>
        </w:rPr>
        <w:t xml:space="preserve"> </w:t>
      </w:r>
      <w:r w:rsidR="00E061A3">
        <w:rPr>
          <w:rFonts w:ascii="Times New Roman" w:eastAsia="Times New Roman" w:hAnsi="Times New Roman" w:cs="Times New Roman"/>
          <w:color w:val="000000"/>
          <w:sz w:val="24"/>
          <w:szCs w:val="24"/>
          <w:lang w:eastAsia="en-AU"/>
        </w:rPr>
        <w:t xml:space="preserve">the need to </w:t>
      </w:r>
      <w:r w:rsidR="00E302A2">
        <w:rPr>
          <w:rFonts w:ascii="Times New Roman" w:eastAsia="Times New Roman" w:hAnsi="Times New Roman" w:cs="Times New Roman"/>
          <w:color w:val="000000"/>
          <w:sz w:val="24"/>
          <w:szCs w:val="24"/>
          <w:lang w:eastAsia="en-AU"/>
        </w:rPr>
        <w:t>ensure those rules and arrangements are appropriate</w:t>
      </w:r>
      <w:r w:rsidR="00F36F3B">
        <w:rPr>
          <w:rFonts w:ascii="Times New Roman" w:eastAsia="Times New Roman" w:hAnsi="Times New Roman" w:cs="Times New Roman"/>
          <w:color w:val="000000"/>
          <w:sz w:val="24"/>
          <w:szCs w:val="24"/>
          <w:lang w:eastAsia="en-AU"/>
        </w:rPr>
        <w:t xml:space="preserve">, and </w:t>
      </w:r>
      <w:r w:rsidR="00E302A2">
        <w:rPr>
          <w:rFonts w:ascii="Times New Roman" w:eastAsia="Times New Roman" w:hAnsi="Times New Roman" w:cs="Times New Roman"/>
          <w:color w:val="000000"/>
          <w:sz w:val="24"/>
          <w:szCs w:val="24"/>
          <w:lang w:eastAsia="en-AU"/>
        </w:rPr>
        <w:t xml:space="preserve">to </w:t>
      </w:r>
      <w:r w:rsidR="00F36F3B">
        <w:rPr>
          <w:rFonts w:ascii="Times New Roman" w:eastAsia="Times New Roman" w:hAnsi="Times New Roman" w:cs="Times New Roman"/>
          <w:color w:val="000000"/>
          <w:sz w:val="24"/>
          <w:szCs w:val="24"/>
          <w:lang w:eastAsia="en-AU"/>
        </w:rPr>
        <w:t xml:space="preserve">allow </w:t>
      </w:r>
      <w:r w:rsidR="00E302A2">
        <w:rPr>
          <w:rFonts w:ascii="Times New Roman" w:eastAsia="Times New Roman" w:hAnsi="Times New Roman" w:cs="Times New Roman"/>
          <w:color w:val="000000"/>
          <w:sz w:val="24"/>
          <w:szCs w:val="24"/>
          <w:lang w:eastAsia="en-AU"/>
        </w:rPr>
        <w:t>(where relevant)</w:t>
      </w:r>
      <w:r w:rsidR="00F36F3B">
        <w:rPr>
          <w:rFonts w:ascii="Times New Roman" w:eastAsia="Times New Roman" w:hAnsi="Times New Roman" w:cs="Times New Roman"/>
          <w:color w:val="000000"/>
          <w:sz w:val="24"/>
          <w:szCs w:val="24"/>
          <w:lang w:eastAsia="en-AU"/>
        </w:rPr>
        <w:t xml:space="preserve"> time for </w:t>
      </w:r>
      <w:r w:rsidR="00F36F3B">
        <w:rPr>
          <w:rFonts w:ascii="Times New Roman" w:eastAsia="Times New Roman" w:hAnsi="Times New Roman" w:cs="Times New Roman"/>
          <w:color w:val="000000"/>
          <w:sz w:val="24"/>
          <w:szCs w:val="24"/>
          <w:lang w:eastAsia="en-AU"/>
        </w:rPr>
        <w:lastRenderedPageBreak/>
        <w:t>carriage service provide</w:t>
      </w:r>
      <w:r w:rsidR="00EE3BC6">
        <w:rPr>
          <w:rFonts w:ascii="Times New Roman" w:eastAsia="Times New Roman" w:hAnsi="Times New Roman" w:cs="Times New Roman"/>
          <w:color w:val="000000"/>
          <w:sz w:val="24"/>
          <w:szCs w:val="24"/>
          <w:lang w:eastAsia="en-AU"/>
        </w:rPr>
        <w:t>r</w:t>
      </w:r>
      <w:r w:rsidR="00F36F3B">
        <w:rPr>
          <w:rFonts w:ascii="Times New Roman" w:eastAsia="Times New Roman" w:hAnsi="Times New Roman" w:cs="Times New Roman"/>
          <w:color w:val="000000"/>
          <w:sz w:val="24"/>
          <w:szCs w:val="24"/>
          <w:lang w:eastAsia="en-AU"/>
        </w:rPr>
        <w:t>s to consult</w:t>
      </w:r>
      <w:r w:rsidR="00DC63D7">
        <w:rPr>
          <w:rFonts w:ascii="Times New Roman" w:eastAsia="Times New Roman" w:hAnsi="Times New Roman" w:cs="Times New Roman"/>
          <w:color w:val="000000"/>
          <w:sz w:val="24"/>
          <w:szCs w:val="24"/>
          <w:lang w:eastAsia="en-AU"/>
        </w:rPr>
        <w:t xml:space="preserve"> on</w:t>
      </w:r>
      <w:r w:rsidR="00F36F3B">
        <w:rPr>
          <w:rFonts w:ascii="Times New Roman" w:eastAsia="Times New Roman" w:hAnsi="Times New Roman" w:cs="Times New Roman"/>
          <w:color w:val="000000"/>
          <w:sz w:val="24"/>
          <w:szCs w:val="24"/>
          <w:lang w:eastAsia="en-AU"/>
        </w:rPr>
        <w:t xml:space="preserve"> and implement </w:t>
      </w:r>
      <w:r w:rsidR="00DC63D7">
        <w:rPr>
          <w:rFonts w:ascii="Times New Roman" w:eastAsia="Times New Roman" w:hAnsi="Times New Roman" w:cs="Times New Roman"/>
          <w:color w:val="000000"/>
          <w:sz w:val="24"/>
          <w:szCs w:val="24"/>
          <w:lang w:eastAsia="en-AU"/>
        </w:rPr>
        <w:t>obligations of the industry standard</w:t>
      </w:r>
      <w:r w:rsidR="00F36F3B">
        <w:rPr>
          <w:rFonts w:ascii="Times New Roman" w:eastAsia="Times New Roman" w:hAnsi="Times New Roman" w:cs="Times New Roman"/>
          <w:color w:val="000000"/>
          <w:sz w:val="24"/>
          <w:szCs w:val="24"/>
          <w:lang w:eastAsia="en-AU"/>
        </w:rPr>
        <w:t>.</w:t>
      </w:r>
      <w:r w:rsidR="00F41172">
        <w:rPr>
          <w:rFonts w:ascii="Times New Roman" w:eastAsia="Times New Roman" w:hAnsi="Times New Roman" w:cs="Times New Roman"/>
          <w:color w:val="000000"/>
          <w:sz w:val="24"/>
          <w:szCs w:val="24"/>
          <w:lang w:eastAsia="en-AU"/>
        </w:rPr>
        <w:t xml:space="preserve"> The</w:t>
      </w:r>
      <w:r w:rsidR="00E302A2">
        <w:rPr>
          <w:rFonts w:ascii="Times New Roman" w:eastAsia="Times New Roman" w:hAnsi="Times New Roman" w:cs="Times New Roman"/>
          <w:color w:val="000000"/>
          <w:sz w:val="24"/>
          <w:szCs w:val="24"/>
          <w:lang w:eastAsia="en-AU"/>
        </w:rPr>
        <w:t> </w:t>
      </w:r>
      <w:r w:rsidR="00F41172">
        <w:rPr>
          <w:rFonts w:ascii="Times New Roman" w:eastAsia="Times New Roman" w:hAnsi="Times New Roman" w:cs="Times New Roman"/>
          <w:color w:val="000000"/>
          <w:sz w:val="24"/>
          <w:szCs w:val="24"/>
          <w:lang w:eastAsia="en-AU"/>
        </w:rPr>
        <w:t xml:space="preserve">timeframe should be clear and allow for consistent implementation. </w:t>
      </w:r>
      <w:r w:rsidR="00F36F3B">
        <w:rPr>
          <w:rFonts w:ascii="Times New Roman" w:eastAsia="Times New Roman" w:hAnsi="Times New Roman" w:cs="Times New Roman"/>
          <w:color w:val="000000"/>
          <w:sz w:val="24"/>
          <w:szCs w:val="24"/>
          <w:lang w:eastAsia="en-AU"/>
        </w:rPr>
        <w:t xml:space="preserve"> </w:t>
      </w:r>
    </w:p>
    <w:p w14:paraId="0D26ECA1" w14:textId="77777777" w:rsidR="000A7C9A" w:rsidRPr="002C09F9" w:rsidRDefault="000A7C9A" w:rsidP="002C09F9">
      <w:pPr>
        <w:spacing w:after="0" w:line="240" w:lineRule="auto"/>
        <w:rPr>
          <w:rFonts w:ascii="Times New Roman" w:eastAsia="Times New Roman" w:hAnsi="Times New Roman" w:cs="Times New Roman"/>
          <w:color w:val="000000"/>
          <w:sz w:val="24"/>
          <w:szCs w:val="24"/>
          <w:lang w:eastAsia="en-AU"/>
        </w:rPr>
      </w:pPr>
    </w:p>
    <w:p w14:paraId="29508626" w14:textId="4595A75B" w:rsidR="00DB4B3C" w:rsidRPr="002C09F9" w:rsidRDefault="000A7C9A" w:rsidP="002C09F9">
      <w:pPr>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Subsection 5(</w:t>
      </w:r>
      <w:r w:rsidR="00E33746">
        <w:rPr>
          <w:rFonts w:ascii="Times New Roman" w:eastAsia="Times New Roman" w:hAnsi="Times New Roman" w:cs="Times New Roman"/>
          <w:color w:val="000000"/>
          <w:sz w:val="24"/>
          <w:szCs w:val="24"/>
          <w:lang w:eastAsia="en-AU"/>
        </w:rPr>
        <w:t>3</w:t>
      </w:r>
      <w:r w:rsidRPr="002C09F9">
        <w:rPr>
          <w:rFonts w:ascii="Times New Roman" w:eastAsia="Times New Roman" w:hAnsi="Times New Roman" w:cs="Times New Roman"/>
          <w:color w:val="000000"/>
          <w:sz w:val="24"/>
          <w:szCs w:val="24"/>
          <w:lang w:eastAsia="en-AU"/>
        </w:rPr>
        <w:t>) of the instrument provides that the ACMA may vary the</w:t>
      </w:r>
      <w:r w:rsidR="004E603E">
        <w:rPr>
          <w:rFonts w:ascii="Times New Roman" w:eastAsia="Times New Roman" w:hAnsi="Times New Roman" w:cs="Times New Roman"/>
          <w:color w:val="000000"/>
          <w:sz w:val="24"/>
          <w:szCs w:val="24"/>
          <w:lang w:eastAsia="en-AU"/>
        </w:rPr>
        <w:t xml:space="preserve"> </w:t>
      </w:r>
      <w:r w:rsidR="00A61165">
        <w:rPr>
          <w:rFonts w:ascii="Times New Roman" w:eastAsia="Times New Roman" w:hAnsi="Times New Roman" w:cs="Times New Roman"/>
          <w:color w:val="000000"/>
          <w:sz w:val="24"/>
          <w:szCs w:val="24"/>
          <w:lang w:eastAsia="en-AU"/>
        </w:rPr>
        <w:t>resulting</w:t>
      </w:r>
      <w:r w:rsidRPr="002C09F9">
        <w:rPr>
          <w:rFonts w:ascii="Times New Roman" w:eastAsia="Times New Roman" w:hAnsi="Times New Roman" w:cs="Times New Roman"/>
          <w:color w:val="000000"/>
          <w:sz w:val="24"/>
          <w:szCs w:val="24"/>
          <w:lang w:eastAsia="en-AU"/>
        </w:rPr>
        <w:t xml:space="preserve"> industry standard in future without the need for a further Ministerial </w:t>
      </w:r>
      <w:r w:rsidR="00226B54">
        <w:rPr>
          <w:rFonts w:ascii="Times New Roman" w:eastAsia="Times New Roman" w:hAnsi="Times New Roman" w:cs="Times New Roman"/>
          <w:color w:val="000000"/>
          <w:sz w:val="24"/>
          <w:szCs w:val="24"/>
          <w:lang w:eastAsia="en-AU"/>
        </w:rPr>
        <w:t>d</w:t>
      </w:r>
      <w:r w:rsidRPr="002C09F9">
        <w:rPr>
          <w:rFonts w:ascii="Times New Roman" w:eastAsia="Times New Roman" w:hAnsi="Times New Roman" w:cs="Times New Roman"/>
          <w:color w:val="000000"/>
          <w:sz w:val="24"/>
          <w:szCs w:val="24"/>
          <w:lang w:eastAsia="en-AU"/>
        </w:rPr>
        <w:t xml:space="preserve">irection, </w:t>
      </w:r>
      <w:r w:rsidR="00565D1D">
        <w:rPr>
          <w:rFonts w:ascii="Times New Roman" w:eastAsia="Times New Roman" w:hAnsi="Times New Roman" w:cs="Times New Roman"/>
          <w:color w:val="000000"/>
          <w:sz w:val="24"/>
          <w:szCs w:val="24"/>
          <w:lang w:eastAsia="en-AU"/>
        </w:rPr>
        <w:t>so long as the</w:t>
      </w:r>
      <w:r w:rsidRPr="002C09F9">
        <w:rPr>
          <w:rFonts w:ascii="Times New Roman" w:eastAsia="Times New Roman" w:hAnsi="Times New Roman" w:cs="Times New Roman"/>
          <w:color w:val="000000"/>
          <w:sz w:val="24"/>
          <w:szCs w:val="24"/>
          <w:lang w:eastAsia="en-AU"/>
        </w:rPr>
        <w:t xml:space="preserve"> resulting industry standard continues to comply with, and meet the objectives </w:t>
      </w:r>
      <w:r w:rsidR="003F47C6">
        <w:rPr>
          <w:rFonts w:ascii="Times New Roman" w:eastAsia="Times New Roman" w:hAnsi="Times New Roman" w:cs="Times New Roman"/>
          <w:color w:val="000000"/>
          <w:sz w:val="24"/>
          <w:szCs w:val="24"/>
          <w:lang w:eastAsia="en-AU"/>
        </w:rPr>
        <w:t>provided in the</w:t>
      </w:r>
      <w:r w:rsidRPr="002C09F9">
        <w:rPr>
          <w:rFonts w:ascii="Times New Roman" w:eastAsia="Times New Roman" w:hAnsi="Times New Roman" w:cs="Times New Roman"/>
          <w:color w:val="000000"/>
          <w:sz w:val="24"/>
          <w:szCs w:val="24"/>
          <w:lang w:eastAsia="en-AU"/>
        </w:rPr>
        <w:t xml:space="preserve"> Direction</w:t>
      </w:r>
      <w:r w:rsidR="000B2057" w:rsidRPr="002C09F9">
        <w:rPr>
          <w:rFonts w:ascii="Times New Roman" w:eastAsia="Times New Roman" w:hAnsi="Times New Roman" w:cs="Times New Roman"/>
          <w:color w:val="000000"/>
          <w:sz w:val="24"/>
          <w:szCs w:val="24"/>
          <w:lang w:eastAsia="en-AU"/>
        </w:rPr>
        <w:t>.</w:t>
      </w:r>
      <w:r w:rsidRPr="002C09F9">
        <w:rPr>
          <w:rFonts w:ascii="Times New Roman" w:eastAsia="Times New Roman" w:hAnsi="Times New Roman" w:cs="Times New Roman"/>
          <w:color w:val="000000"/>
          <w:sz w:val="24"/>
          <w:szCs w:val="24"/>
          <w:lang w:eastAsia="en-AU"/>
        </w:rPr>
        <w:t xml:space="preserve"> </w:t>
      </w:r>
    </w:p>
    <w:p w14:paraId="11373959" w14:textId="77777777" w:rsidR="008F27C1" w:rsidRPr="002C09F9" w:rsidRDefault="008F27C1" w:rsidP="002C09F9">
      <w:pPr>
        <w:spacing w:after="0" w:line="240" w:lineRule="auto"/>
        <w:rPr>
          <w:rFonts w:ascii="Times New Roman" w:eastAsia="Times New Roman" w:hAnsi="Times New Roman" w:cs="Times New Roman"/>
          <w:color w:val="000000"/>
          <w:sz w:val="24"/>
          <w:szCs w:val="24"/>
          <w:lang w:eastAsia="en-AU"/>
        </w:rPr>
      </w:pPr>
    </w:p>
    <w:p w14:paraId="0E9FC122" w14:textId="77777777" w:rsidR="00225B5D" w:rsidRPr="00225B5D" w:rsidRDefault="00225B5D" w:rsidP="00225B5D">
      <w:pPr>
        <w:keepNext/>
        <w:widowControl w:val="0"/>
        <w:spacing w:after="0" w:line="240" w:lineRule="auto"/>
        <w:rPr>
          <w:rFonts w:ascii="Times New Roman" w:hAnsi="Times New Roman" w:cs="Times New Roman"/>
          <w:b/>
          <w:sz w:val="24"/>
          <w:szCs w:val="24"/>
          <w:lang w:val="en-US"/>
        </w:rPr>
      </w:pPr>
      <w:r w:rsidRPr="00225B5D">
        <w:rPr>
          <w:rFonts w:ascii="Times New Roman" w:hAnsi="Times New Roman" w:cs="Times New Roman"/>
          <w:b/>
          <w:sz w:val="24"/>
          <w:szCs w:val="24"/>
          <w:lang w:val="en-US"/>
        </w:rPr>
        <w:t>Section 6 – Application of the standard</w:t>
      </w:r>
    </w:p>
    <w:p w14:paraId="21C0F8DD" w14:textId="77777777" w:rsidR="00225B5D" w:rsidRDefault="00225B5D" w:rsidP="002C09F9">
      <w:pPr>
        <w:spacing w:after="0" w:line="240" w:lineRule="auto"/>
        <w:rPr>
          <w:rFonts w:ascii="Times New Roman" w:eastAsia="Times New Roman" w:hAnsi="Times New Roman" w:cs="Times New Roman"/>
          <w:color w:val="000000"/>
          <w:sz w:val="24"/>
          <w:szCs w:val="24"/>
          <w:lang w:eastAsia="en-AU"/>
        </w:rPr>
      </w:pPr>
    </w:p>
    <w:p w14:paraId="03180304" w14:textId="3864F6AB" w:rsidR="007746BF" w:rsidRDefault="00DB4B3C" w:rsidP="002C09F9">
      <w:pPr>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 xml:space="preserve">Subsection </w:t>
      </w:r>
      <w:r w:rsidR="00225B5D">
        <w:rPr>
          <w:rFonts w:ascii="Times New Roman" w:eastAsia="Times New Roman" w:hAnsi="Times New Roman" w:cs="Times New Roman"/>
          <w:color w:val="000000"/>
          <w:sz w:val="24"/>
          <w:szCs w:val="24"/>
          <w:lang w:eastAsia="en-AU"/>
        </w:rPr>
        <w:t>6</w:t>
      </w:r>
      <w:r w:rsidRPr="002C09F9">
        <w:rPr>
          <w:rFonts w:ascii="Times New Roman" w:eastAsia="Times New Roman" w:hAnsi="Times New Roman" w:cs="Times New Roman"/>
          <w:color w:val="000000"/>
          <w:sz w:val="24"/>
          <w:szCs w:val="24"/>
          <w:lang w:eastAsia="en-AU"/>
        </w:rPr>
        <w:t>(</w:t>
      </w:r>
      <w:r w:rsidR="00225B5D">
        <w:rPr>
          <w:rFonts w:ascii="Times New Roman" w:eastAsia="Times New Roman" w:hAnsi="Times New Roman" w:cs="Times New Roman"/>
          <w:color w:val="000000"/>
          <w:sz w:val="24"/>
          <w:szCs w:val="24"/>
          <w:lang w:eastAsia="en-AU"/>
        </w:rPr>
        <w:t>1</w:t>
      </w:r>
      <w:r w:rsidRPr="002C09F9">
        <w:rPr>
          <w:rFonts w:ascii="Times New Roman" w:eastAsia="Times New Roman" w:hAnsi="Times New Roman" w:cs="Times New Roman"/>
          <w:color w:val="000000"/>
          <w:sz w:val="24"/>
          <w:szCs w:val="24"/>
          <w:lang w:eastAsia="en-AU"/>
        </w:rPr>
        <w:t>)</w:t>
      </w:r>
      <w:r w:rsidR="00225B5D">
        <w:rPr>
          <w:rFonts w:ascii="Times New Roman" w:eastAsia="Times New Roman" w:hAnsi="Times New Roman" w:cs="Times New Roman"/>
          <w:color w:val="000000"/>
          <w:sz w:val="24"/>
          <w:szCs w:val="24"/>
          <w:lang w:eastAsia="en-AU"/>
        </w:rPr>
        <w:t xml:space="preserve">(a) provides that the industry standard applies to carriage service providers in their dealings with </w:t>
      </w:r>
      <w:r w:rsidR="00ED7E9A">
        <w:rPr>
          <w:rFonts w:ascii="Times New Roman" w:eastAsia="Times New Roman" w:hAnsi="Times New Roman" w:cs="Times New Roman"/>
          <w:color w:val="000000"/>
          <w:sz w:val="24"/>
          <w:szCs w:val="24"/>
          <w:lang w:eastAsia="en-AU"/>
        </w:rPr>
        <w:t>relevant consumers</w:t>
      </w:r>
      <w:r w:rsidR="00225B5D">
        <w:rPr>
          <w:rFonts w:ascii="Times New Roman" w:eastAsia="Times New Roman" w:hAnsi="Times New Roman" w:cs="Times New Roman"/>
          <w:color w:val="000000"/>
          <w:sz w:val="24"/>
          <w:szCs w:val="24"/>
          <w:lang w:eastAsia="en-AU"/>
        </w:rPr>
        <w:t xml:space="preserve">. </w:t>
      </w:r>
      <w:r w:rsidR="00985B2E">
        <w:rPr>
          <w:rFonts w:ascii="Times New Roman" w:eastAsia="Times New Roman" w:hAnsi="Times New Roman" w:cs="Times New Roman"/>
          <w:color w:val="000000"/>
          <w:sz w:val="24"/>
          <w:szCs w:val="24"/>
          <w:lang w:eastAsia="en-AU"/>
        </w:rPr>
        <w:t>Consumer is considered to cover the broadest range of people that would have circumstances where they require support and assistance</w:t>
      </w:r>
      <w:r w:rsidR="00C431C2">
        <w:rPr>
          <w:rFonts w:ascii="Times New Roman" w:eastAsia="Times New Roman" w:hAnsi="Times New Roman" w:cs="Times New Roman"/>
          <w:color w:val="000000"/>
          <w:sz w:val="24"/>
          <w:szCs w:val="24"/>
          <w:lang w:eastAsia="en-AU"/>
        </w:rPr>
        <w:t xml:space="preserve"> from a carriage service provider</w:t>
      </w:r>
      <w:r w:rsidR="00985B2E">
        <w:rPr>
          <w:rFonts w:ascii="Times New Roman" w:eastAsia="Times New Roman" w:hAnsi="Times New Roman" w:cs="Times New Roman"/>
          <w:color w:val="000000"/>
          <w:sz w:val="24"/>
          <w:szCs w:val="24"/>
          <w:lang w:eastAsia="en-AU"/>
        </w:rPr>
        <w:t xml:space="preserve"> in relation to domestic, family and sexual violence. That is, </w:t>
      </w:r>
      <w:r w:rsidR="0014191B">
        <w:rPr>
          <w:rFonts w:ascii="Times New Roman" w:eastAsia="Times New Roman" w:hAnsi="Times New Roman" w:cs="Times New Roman"/>
          <w:color w:val="000000"/>
          <w:sz w:val="24"/>
          <w:szCs w:val="24"/>
          <w:lang w:eastAsia="en-AU"/>
        </w:rPr>
        <w:t>customers (as the account holder) and end-users</w:t>
      </w:r>
      <w:r w:rsidR="00985B2E">
        <w:rPr>
          <w:rFonts w:ascii="Times New Roman" w:eastAsia="Times New Roman" w:hAnsi="Times New Roman" w:cs="Times New Roman"/>
          <w:color w:val="000000"/>
          <w:sz w:val="24"/>
          <w:szCs w:val="24"/>
          <w:lang w:eastAsia="en-AU"/>
        </w:rPr>
        <w:t xml:space="preserve">, including whether they are past, present or prospective customers or end-users. </w:t>
      </w:r>
      <w:r w:rsidR="00CD297A">
        <w:rPr>
          <w:rFonts w:ascii="Times New Roman" w:eastAsia="Times New Roman" w:hAnsi="Times New Roman" w:cs="Times New Roman"/>
          <w:color w:val="000000"/>
          <w:sz w:val="24"/>
          <w:szCs w:val="24"/>
          <w:lang w:eastAsia="en-AU"/>
        </w:rPr>
        <w:t xml:space="preserve">It </w:t>
      </w:r>
      <w:r w:rsidR="007746BF" w:rsidRPr="00985B2E">
        <w:rPr>
          <w:rFonts w:ascii="Times New Roman" w:eastAsia="Times New Roman" w:hAnsi="Times New Roman" w:cs="Times New Roman"/>
          <w:color w:val="000000"/>
          <w:sz w:val="24"/>
          <w:szCs w:val="24"/>
          <w:lang w:eastAsia="en-AU"/>
        </w:rPr>
        <w:t xml:space="preserve">is intended </w:t>
      </w:r>
      <w:r w:rsidR="00CD297A">
        <w:rPr>
          <w:rFonts w:ascii="Times New Roman" w:eastAsia="Times New Roman" w:hAnsi="Times New Roman" w:cs="Times New Roman"/>
          <w:color w:val="000000"/>
          <w:sz w:val="24"/>
          <w:szCs w:val="24"/>
          <w:lang w:eastAsia="en-AU"/>
        </w:rPr>
        <w:t>that</w:t>
      </w:r>
      <w:r w:rsidR="00985B2E" w:rsidRPr="00985B2E">
        <w:rPr>
          <w:rFonts w:ascii="Times New Roman" w:eastAsia="Times New Roman" w:hAnsi="Times New Roman" w:cs="Times New Roman"/>
          <w:color w:val="000000"/>
          <w:sz w:val="24"/>
          <w:szCs w:val="24"/>
          <w:lang w:eastAsia="en-AU"/>
        </w:rPr>
        <w:t xml:space="preserve"> ACMA determine which groups of consumers are relevant </w:t>
      </w:r>
      <w:r w:rsidR="00CD297A">
        <w:rPr>
          <w:rFonts w:ascii="Times New Roman" w:eastAsia="Times New Roman" w:hAnsi="Times New Roman" w:cs="Times New Roman"/>
          <w:color w:val="000000"/>
          <w:sz w:val="24"/>
          <w:szCs w:val="24"/>
          <w:lang w:eastAsia="en-AU"/>
        </w:rPr>
        <w:t xml:space="preserve">consumers for the purposes </w:t>
      </w:r>
      <w:r w:rsidR="0079473C">
        <w:rPr>
          <w:rFonts w:ascii="Times New Roman" w:eastAsia="Times New Roman" w:hAnsi="Times New Roman" w:cs="Times New Roman"/>
          <w:color w:val="000000"/>
          <w:sz w:val="24"/>
          <w:szCs w:val="24"/>
          <w:lang w:eastAsia="en-AU"/>
        </w:rPr>
        <w:t xml:space="preserve">of </w:t>
      </w:r>
      <w:r w:rsidR="0079473C" w:rsidRPr="00985B2E">
        <w:rPr>
          <w:rFonts w:ascii="Times New Roman" w:eastAsia="Times New Roman" w:hAnsi="Times New Roman" w:cs="Times New Roman"/>
          <w:color w:val="000000"/>
          <w:sz w:val="24"/>
          <w:szCs w:val="24"/>
          <w:lang w:eastAsia="en-AU"/>
        </w:rPr>
        <w:t>each</w:t>
      </w:r>
      <w:r w:rsidR="00985B2E" w:rsidRPr="00985B2E">
        <w:rPr>
          <w:rFonts w:ascii="Times New Roman" w:eastAsia="Times New Roman" w:hAnsi="Times New Roman" w:cs="Times New Roman"/>
          <w:color w:val="000000"/>
          <w:sz w:val="24"/>
          <w:szCs w:val="24"/>
          <w:lang w:eastAsia="en-AU"/>
        </w:rPr>
        <w:t xml:space="preserve"> obligation, if needed.</w:t>
      </w:r>
      <w:r w:rsidR="007746BF">
        <w:rPr>
          <w:rFonts w:ascii="Times New Roman" w:eastAsia="Times New Roman" w:hAnsi="Times New Roman" w:cs="Times New Roman"/>
          <w:color w:val="000000"/>
          <w:sz w:val="24"/>
          <w:szCs w:val="24"/>
          <w:lang w:eastAsia="en-AU"/>
        </w:rPr>
        <w:t xml:space="preserve"> </w:t>
      </w:r>
    </w:p>
    <w:p w14:paraId="4B3863EE" w14:textId="77777777" w:rsidR="007746BF" w:rsidRDefault="007746BF" w:rsidP="002C09F9">
      <w:pPr>
        <w:spacing w:after="0" w:line="240" w:lineRule="auto"/>
        <w:rPr>
          <w:rFonts w:ascii="Times New Roman" w:eastAsia="Times New Roman" w:hAnsi="Times New Roman" w:cs="Times New Roman"/>
          <w:color w:val="000000"/>
          <w:sz w:val="24"/>
          <w:szCs w:val="24"/>
          <w:lang w:eastAsia="en-AU"/>
        </w:rPr>
      </w:pPr>
    </w:p>
    <w:p w14:paraId="4D5E7322" w14:textId="77777777" w:rsidR="00225B5D" w:rsidRDefault="00225B5D" w:rsidP="002C09F9">
      <w:pPr>
        <w:spacing w:after="0" w:line="240" w:lineRule="auto"/>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n-AU"/>
        </w:rPr>
        <w:t>Subsection 6(1)(b) provides that the industry standard applies to carriers in their supply of carriage services to carriage service providers.</w:t>
      </w:r>
      <w:r w:rsidR="00DB4B3C" w:rsidRPr="002C09F9">
        <w:rPr>
          <w:rFonts w:ascii="Times New Roman" w:hAnsi="Times New Roman" w:cs="Times New Roman"/>
          <w:sz w:val="24"/>
          <w:szCs w:val="24"/>
          <w:lang w:val="en-US"/>
        </w:rPr>
        <w:t xml:space="preserve"> </w:t>
      </w:r>
    </w:p>
    <w:p w14:paraId="3B73CFBF" w14:textId="77777777" w:rsidR="00225B5D" w:rsidRDefault="00225B5D" w:rsidP="002C09F9">
      <w:pPr>
        <w:spacing w:after="0" w:line="240" w:lineRule="auto"/>
        <w:rPr>
          <w:rFonts w:ascii="Times New Roman" w:hAnsi="Times New Roman" w:cs="Times New Roman"/>
          <w:sz w:val="24"/>
          <w:szCs w:val="24"/>
          <w:lang w:val="en-US"/>
        </w:rPr>
      </w:pPr>
    </w:p>
    <w:p w14:paraId="64F5978B" w14:textId="77777777" w:rsidR="008735D7" w:rsidRPr="002C09F9" w:rsidRDefault="00225B5D" w:rsidP="002C09F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6(2)</w:t>
      </w:r>
      <w:r w:rsidR="00DB4B3C" w:rsidRPr="002C09F9">
        <w:rPr>
          <w:rFonts w:ascii="Times New Roman" w:hAnsi="Times New Roman" w:cs="Times New Roman"/>
          <w:sz w:val="24"/>
          <w:szCs w:val="24"/>
          <w:lang w:val="en-US"/>
        </w:rPr>
        <w:t>(a)</w:t>
      </w:r>
      <w:r w:rsidR="000A7C9A" w:rsidRPr="002C09F9">
        <w:rPr>
          <w:rFonts w:ascii="Times New Roman" w:hAnsi="Times New Roman" w:cs="Times New Roman"/>
          <w:sz w:val="24"/>
          <w:szCs w:val="24"/>
          <w:lang w:val="en-US"/>
        </w:rPr>
        <w:t xml:space="preserve"> and</w:t>
      </w:r>
      <w:r w:rsidR="00DB4B3C" w:rsidRPr="002C09F9">
        <w:rPr>
          <w:rFonts w:ascii="Times New Roman" w:hAnsi="Times New Roman" w:cs="Times New Roman"/>
          <w:sz w:val="24"/>
          <w:szCs w:val="24"/>
          <w:lang w:val="en-US"/>
        </w:rPr>
        <w:t xml:space="preserve"> (b) provide that the </w:t>
      </w:r>
      <w:r>
        <w:rPr>
          <w:rFonts w:ascii="Times New Roman" w:hAnsi="Times New Roman" w:cs="Times New Roman"/>
          <w:sz w:val="24"/>
          <w:szCs w:val="24"/>
          <w:lang w:val="en-US"/>
        </w:rPr>
        <w:t>industry s</w:t>
      </w:r>
      <w:r w:rsidR="00DB4B3C" w:rsidRPr="002C09F9">
        <w:rPr>
          <w:rFonts w:ascii="Times New Roman" w:hAnsi="Times New Roman" w:cs="Times New Roman"/>
          <w:sz w:val="24"/>
          <w:szCs w:val="24"/>
          <w:lang w:val="en-US"/>
        </w:rPr>
        <w:t>tandard may deal with matters differently for different classes of</w:t>
      </w:r>
      <w:r w:rsidR="008735D7" w:rsidRPr="002C09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carriers or carriage service </w:t>
      </w:r>
      <w:r w:rsidR="008735D7" w:rsidRPr="002C09F9">
        <w:rPr>
          <w:rFonts w:ascii="Times New Roman" w:hAnsi="Times New Roman" w:cs="Times New Roman"/>
          <w:sz w:val="24"/>
          <w:szCs w:val="24"/>
          <w:lang w:val="en-US"/>
        </w:rPr>
        <w:t>providers</w:t>
      </w:r>
      <w:r w:rsidR="00DB4B3C" w:rsidRPr="002C09F9">
        <w:rPr>
          <w:rFonts w:ascii="Times New Roman" w:hAnsi="Times New Roman" w:cs="Times New Roman"/>
          <w:sz w:val="24"/>
          <w:szCs w:val="24"/>
          <w:lang w:val="en-US"/>
        </w:rPr>
        <w:t xml:space="preserve">. Further, it may exempt certain classes of carriers or carriage service providers from particular provisions of the standard. This section is designed to ensure the ACMA has the authority to appropriately target rules to appropriate </w:t>
      </w:r>
      <w:r w:rsidR="000256B4">
        <w:rPr>
          <w:rFonts w:ascii="Times New Roman" w:hAnsi="Times New Roman" w:cs="Times New Roman"/>
          <w:sz w:val="24"/>
          <w:szCs w:val="24"/>
          <w:lang w:val="en-US"/>
        </w:rPr>
        <w:t xml:space="preserve">providers </w:t>
      </w:r>
      <w:r w:rsidR="00DB4B3C" w:rsidRPr="002C09F9">
        <w:rPr>
          <w:rFonts w:ascii="Times New Roman" w:hAnsi="Times New Roman" w:cs="Times New Roman"/>
          <w:sz w:val="24"/>
          <w:szCs w:val="24"/>
          <w:lang w:val="en-US"/>
        </w:rPr>
        <w:t xml:space="preserve">in a manner that reflects, for example, the services they provide. </w:t>
      </w:r>
      <w:r w:rsidR="006F40B7" w:rsidRPr="002C09F9">
        <w:rPr>
          <w:rFonts w:ascii="Times New Roman" w:hAnsi="Times New Roman" w:cs="Times New Roman"/>
          <w:sz w:val="24"/>
          <w:szCs w:val="24"/>
          <w:lang w:val="en-US"/>
        </w:rPr>
        <w:t>It may also allow, for example, certain obligations to be targeted</w:t>
      </w:r>
      <w:r w:rsidR="000843F2">
        <w:rPr>
          <w:rFonts w:ascii="Times New Roman" w:hAnsi="Times New Roman" w:cs="Times New Roman"/>
          <w:sz w:val="24"/>
          <w:szCs w:val="24"/>
          <w:lang w:val="en-US"/>
        </w:rPr>
        <w:t xml:space="preserve"> or exempted</w:t>
      </w:r>
      <w:r w:rsidR="006F40B7" w:rsidRPr="002C09F9">
        <w:rPr>
          <w:rFonts w:ascii="Times New Roman" w:hAnsi="Times New Roman" w:cs="Times New Roman"/>
          <w:sz w:val="24"/>
          <w:szCs w:val="24"/>
          <w:lang w:val="en-US"/>
        </w:rPr>
        <w:t xml:space="preserve"> to large</w:t>
      </w:r>
      <w:r w:rsidR="000843F2">
        <w:rPr>
          <w:rFonts w:ascii="Times New Roman" w:hAnsi="Times New Roman" w:cs="Times New Roman"/>
          <w:sz w:val="24"/>
          <w:szCs w:val="24"/>
          <w:lang w:val="en-US"/>
        </w:rPr>
        <w:t xml:space="preserve">, </w:t>
      </w:r>
      <w:r w:rsidR="006F40B7" w:rsidRPr="002C09F9">
        <w:rPr>
          <w:rFonts w:ascii="Times New Roman" w:hAnsi="Times New Roman" w:cs="Times New Roman"/>
          <w:sz w:val="24"/>
          <w:szCs w:val="24"/>
          <w:lang w:val="en-US"/>
        </w:rPr>
        <w:t>small</w:t>
      </w:r>
      <w:r w:rsidR="000843F2">
        <w:rPr>
          <w:rFonts w:ascii="Times New Roman" w:hAnsi="Times New Roman" w:cs="Times New Roman"/>
          <w:sz w:val="24"/>
          <w:szCs w:val="24"/>
          <w:lang w:val="en-US"/>
        </w:rPr>
        <w:t xml:space="preserve"> or </w:t>
      </w:r>
      <w:r w:rsidR="009D0068">
        <w:rPr>
          <w:rFonts w:ascii="Times New Roman" w:hAnsi="Times New Roman" w:cs="Times New Roman"/>
          <w:sz w:val="24"/>
          <w:szCs w:val="24"/>
          <w:lang w:val="en-US"/>
        </w:rPr>
        <w:t>non-consumer</w:t>
      </w:r>
      <w:r w:rsidR="000843F2">
        <w:rPr>
          <w:rFonts w:ascii="Times New Roman" w:hAnsi="Times New Roman" w:cs="Times New Roman"/>
          <w:sz w:val="24"/>
          <w:szCs w:val="24"/>
          <w:lang w:val="en-US"/>
        </w:rPr>
        <w:t xml:space="preserve"> facing</w:t>
      </w:r>
      <w:r w:rsidR="006F40B7" w:rsidRPr="002C09F9">
        <w:rPr>
          <w:rFonts w:ascii="Times New Roman" w:hAnsi="Times New Roman" w:cs="Times New Roman"/>
          <w:sz w:val="24"/>
          <w:szCs w:val="24"/>
          <w:lang w:val="en-US"/>
        </w:rPr>
        <w:t xml:space="preserve"> providers </w:t>
      </w:r>
      <w:r w:rsidR="009201A8">
        <w:rPr>
          <w:rFonts w:ascii="Times New Roman" w:hAnsi="Times New Roman" w:cs="Times New Roman"/>
          <w:sz w:val="24"/>
          <w:szCs w:val="24"/>
          <w:lang w:val="en-US"/>
        </w:rPr>
        <w:t>if considered necessary</w:t>
      </w:r>
      <w:r w:rsidR="006F40B7" w:rsidRPr="002C09F9">
        <w:rPr>
          <w:rFonts w:ascii="Times New Roman" w:hAnsi="Times New Roman" w:cs="Times New Roman"/>
          <w:sz w:val="24"/>
          <w:szCs w:val="24"/>
          <w:lang w:val="en-US"/>
        </w:rPr>
        <w:t>.</w:t>
      </w:r>
      <w:r w:rsidR="00E061A3">
        <w:rPr>
          <w:rFonts w:ascii="Times New Roman" w:hAnsi="Times New Roman" w:cs="Times New Roman"/>
          <w:sz w:val="24"/>
          <w:szCs w:val="24"/>
          <w:lang w:val="en-US"/>
        </w:rPr>
        <w:t xml:space="preserve"> However, it is intended that all obligations should apply to the most carriage service providers as possible to ensure uniformity of standards across the telecommunications sector.</w:t>
      </w:r>
    </w:p>
    <w:p w14:paraId="3CC3A270" w14:textId="77777777" w:rsidR="000A7C9A" w:rsidRPr="002C09F9" w:rsidRDefault="000A7C9A" w:rsidP="002C09F9">
      <w:pPr>
        <w:spacing w:after="0" w:line="240" w:lineRule="auto"/>
        <w:rPr>
          <w:rFonts w:ascii="Times New Roman" w:hAnsi="Times New Roman" w:cs="Times New Roman"/>
          <w:sz w:val="24"/>
          <w:szCs w:val="24"/>
          <w:lang w:val="en-US"/>
        </w:rPr>
      </w:pPr>
    </w:p>
    <w:p w14:paraId="383B6E97" w14:textId="77777777" w:rsidR="00EC573D" w:rsidRPr="002C09F9" w:rsidRDefault="000A7C9A" w:rsidP="002C09F9">
      <w:pPr>
        <w:spacing w:after="0" w:line="240" w:lineRule="auto"/>
        <w:rPr>
          <w:rFonts w:ascii="Times New Roman" w:eastAsia="Times New Roman" w:hAnsi="Times New Roman" w:cs="Times New Roman"/>
          <w:color w:val="000000"/>
          <w:sz w:val="24"/>
          <w:szCs w:val="24"/>
          <w:lang w:eastAsia="en-AU"/>
        </w:rPr>
      </w:pPr>
      <w:r w:rsidRPr="002C09F9">
        <w:rPr>
          <w:rFonts w:ascii="Times New Roman" w:eastAsia="Times New Roman" w:hAnsi="Times New Roman" w:cs="Times New Roman"/>
          <w:color w:val="000000"/>
          <w:sz w:val="24"/>
          <w:szCs w:val="24"/>
          <w:lang w:eastAsia="en-AU"/>
        </w:rPr>
        <w:t xml:space="preserve">Subsection </w:t>
      </w:r>
      <w:r w:rsidR="009A759A">
        <w:rPr>
          <w:rFonts w:ascii="Times New Roman" w:eastAsia="Times New Roman" w:hAnsi="Times New Roman" w:cs="Times New Roman"/>
          <w:color w:val="000000"/>
          <w:sz w:val="24"/>
          <w:szCs w:val="24"/>
          <w:lang w:eastAsia="en-AU"/>
        </w:rPr>
        <w:t>6</w:t>
      </w:r>
      <w:r w:rsidRPr="002C09F9">
        <w:rPr>
          <w:rFonts w:ascii="Times New Roman" w:eastAsia="Times New Roman" w:hAnsi="Times New Roman" w:cs="Times New Roman"/>
          <w:color w:val="000000"/>
          <w:sz w:val="24"/>
          <w:szCs w:val="24"/>
          <w:lang w:eastAsia="en-AU"/>
        </w:rPr>
        <w:t>(</w:t>
      </w:r>
      <w:r w:rsidR="009A759A">
        <w:rPr>
          <w:rFonts w:ascii="Times New Roman" w:eastAsia="Times New Roman" w:hAnsi="Times New Roman" w:cs="Times New Roman"/>
          <w:color w:val="000000"/>
          <w:sz w:val="24"/>
          <w:szCs w:val="24"/>
          <w:lang w:eastAsia="en-AU"/>
        </w:rPr>
        <w:t>2</w:t>
      </w:r>
      <w:r w:rsidRPr="002C09F9">
        <w:rPr>
          <w:rFonts w:ascii="Times New Roman" w:eastAsia="Times New Roman" w:hAnsi="Times New Roman" w:cs="Times New Roman"/>
          <w:color w:val="000000"/>
          <w:sz w:val="24"/>
          <w:szCs w:val="24"/>
          <w:lang w:eastAsia="en-AU"/>
        </w:rPr>
        <w:t xml:space="preserve">)(c) provides that the </w:t>
      </w:r>
      <w:r w:rsidR="009A759A">
        <w:rPr>
          <w:rFonts w:ascii="Times New Roman" w:eastAsia="Times New Roman" w:hAnsi="Times New Roman" w:cs="Times New Roman"/>
          <w:color w:val="000000"/>
          <w:sz w:val="24"/>
          <w:szCs w:val="24"/>
          <w:lang w:eastAsia="en-AU"/>
        </w:rPr>
        <w:t>industry s</w:t>
      </w:r>
      <w:r w:rsidRPr="002C09F9">
        <w:rPr>
          <w:rFonts w:ascii="Times New Roman" w:eastAsia="Times New Roman" w:hAnsi="Times New Roman" w:cs="Times New Roman"/>
          <w:color w:val="000000"/>
          <w:sz w:val="24"/>
          <w:szCs w:val="24"/>
          <w:lang w:eastAsia="en-AU"/>
        </w:rPr>
        <w:t xml:space="preserve">tandard may deal with matters differently for different classes of </w:t>
      </w:r>
      <w:r w:rsidR="000256B4">
        <w:rPr>
          <w:rFonts w:ascii="Times New Roman" w:eastAsia="Times New Roman" w:hAnsi="Times New Roman" w:cs="Times New Roman"/>
          <w:color w:val="000000"/>
          <w:sz w:val="24"/>
          <w:szCs w:val="24"/>
          <w:lang w:eastAsia="en-AU"/>
        </w:rPr>
        <w:t>consumers</w:t>
      </w:r>
      <w:r w:rsidRPr="002C09F9">
        <w:rPr>
          <w:rFonts w:ascii="Times New Roman" w:eastAsia="Times New Roman" w:hAnsi="Times New Roman" w:cs="Times New Roman"/>
          <w:color w:val="000000"/>
          <w:sz w:val="24"/>
          <w:szCs w:val="24"/>
          <w:lang w:eastAsia="en-AU"/>
        </w:rPr>
        <w:t>.</w:t>
      </w:r>
    </w:p>
    <w:p w14:paraId="5B0E70C5" w14:textId="77777777" w:rsidR="008735D7" w:rsidRPr="002C09F9" w:rsidRDefault="008735D7" w:rsidP="002C09F9">
      <w:pPr>
        <w:spacing w:after="0" w:line="240" w:lineRule="auto"/>
        <w:rPr>
          <w:rFonts w:ascii="Times New Roman" w:hAnsi="Times New Roman" w:cs="Times New Roman"/>
          <w:b/>
          <w:sz w:val="24"/>
          <w:szCs w:val="24"/>
          <w:lang w:val="en-US"/>
        </w:rPr>
      </w:pPr>
    </w:p>
    <w:p w14:paraId="54090E35" w14:textId="77777777" w:rsidR="00E41BD4" w:rsidRPr="002C09F9" w:rsidRDefault="000176A1" w:rsidP="002C09F9">
      <w:pPr>
        <w:keepNext/>
        <w:widowControl w:val="0"/>
        <w:spacing w:after="0" w:line="240" w:lineRule="auto"/>
        <w:rPr>
          <w:rFonts w:ascii="Times New Roman" w:hAnsi="Times New Roman" w:cs="Times New Roman"/>
          <w:b/>
          <w:sz w:val="24"/>
          <w:szCs w:val="24"/>
          <w:lang w:val="en-US"/>
        </w:rPr>
      </w:pPr>
      <w:r w:rsidRPr="002C09F9">
        <w:rPr>
          <w:rFonts w:ascii="Times New Roman" w:hAnsi="Times New Roman" w:cs="Times New Roman"/>
          <w:b/>
          <w:sz w:val="24"/>
          <w:szCs w:val="24"/>
          <w:lang w:val="en-US"/>
        </w:rPr>
        <w:t xml:space="preserve">Section </w:t>
      </w:r>
      <w:r w:rsidR="00225B5D">
        <w:rPr>
          <w:rFonts w:ascii="Times New Roman" w:hAnsi="Times New Roman" w:cs="Times New Roman"/>
          <w:b/>
          <w:sz w:val="24"/>
          <w:szCs w:val="24"/>
          <w:lang w:val="en-US"/>
        </w:rPr>
        <w:t xml:space="preserve">7 </w:t>
      </w:r>
      <w:r w:rsidRPr="002C09F9">
        <w:rPr>
          <w:rFonts w:ascii="Times New Roman" w:hAnsi="Times New Roman" w:cs="Times New Roman"/>
          <w:b/>
          <w:sz w:val="24"/>
          <w:szCs w:val="24"/>
          <w:lang w:val="en-US"/>
        </w:rPr>
        <w:t>– Objectives of the standard</w:t>
      </w:r>
    </w:p>
    <w:p w14:paraId="7A72DC85" w14:textId="77777777" w:rsidR="009D5B76" w:rsidRPr="002C09F9" w:rsidRDefault="009D5B76" w:rsidP="002C09F9">
      <w:pPr>
        <w:widowControl w:val="0"/>
        <w:spacing w:after="0" w:line="240" w:lineRule="auto"/>
        <w:rPr>
          <w:rFonts w:ascii="Times New Roman" w:hAnsi="Times New Roman" w:cs="Times New Roman"/>
          <w:b/>
          <w:sz w:val="24"/>
          <w:szCs w:val="24"/>
          <w:lang w:val="en-US"/>
        </w:rPr>
      </w:pPr>
    </w:p>
    <w:p w14:paraId="2382CF48" w14:textId="77777777" w:rsidR="000C57E8" w:rsidRPr="002C09F9" w:rsidRDefault="000C57E8" w:rsidP="00087A4D">
      <w:pPr>
        <w:widowControl w:val="0"/>
        <w:spacing w:after="0" w:line="240" w:lineRule="auto"/>
        <w:rPr>
          <w:rFonts w:ascii="Times New Roman" w:hAnsi="Times New Roman" w:cs="Times New Roman"/>
          <w:i/>
          <w:sz w:val="24"/>
          <w:szCs w:val="24"/>
          <w:lang w:val="en-US"/>
        </w:rPr>
      </w:pPr>
      <w:r w:rsidRPr="002C09F9">
        <w:rPr>
          <w:rFonts w:ascii="Times New Roman" w:hAnsi="Times New Roman" w:cs="Times New Roman"/>
          <w:i/>
          <w:sz w:val="24"/>
          <w:szCs w:val="24"/>
          <w:lang w:val="en-US"/>
        </w:rPr>
        <w:t>Objectives of the standard</w:t>
      </w:r>
    </w:p>
    <w:p w14:paraId="6C56C576" w14:textId="77777777" w:rsidR="00C46B70" w:rsidRPr="002C09F9" w:rsidRDefault="00C46B70" w:rsidP="003C6427">
      <w:pPr>
        <w:widowControl w:val="0"/>
        <w:spacing w:after="0" w:line="240" w:lineRule="auto"/>
        <w:rPr>
          <w:rFonts w:ascii="Times New Roman" w:hAnsi="Times New Roman" w:cs="Times New Roman"/>
          <w:sz w:val="24"/>
          <w:szCs w:val="24"/>
          <w:lang w:val="en-US"/>
        </w:rPr>
      </w:pPr>
    </w:p>
    <w:p w14:paraId="57E22492" w14:textId="61AF6C20" w:rsidR="009A759A" w:rsidRPr="003C6427" w:rsidRDefault="00E86EC4" w:rsidP="003C6427">
      <w:pPr>
        <w:widowControl w:val="0"/>
        <w:spacing w:after="0" w:line="240" w:lineRule="auto"/>
        <w:rPr>
          <w:rFonts w:ascii="Times New Roman" w:hAnsi="Times New Roman" w:cs="Times New Roman"/>
          <w:sz w:val="24"/>
          <w:szCs w:val="24"/>
          <w:lang w:val="en-US"/>
        </w:rPr>
      </w:pPr>
      <w:r w:rsidRPr="00087A4D">
        <w:rPr>
          <w:rFonts w:ascii="Times New Roman" w:hAnsi="Times New Roman" w:cs="Times New Roman"/>
          <w:sz w:val="24"/>
          <w:szCs w:val="24"/>
          <w:lang w:val="en-US"/>
        </w:rPr>
        <w:t xml:space="preserve">Subsection </w:t>
      </w:r>
      <w:r w:rsidR="009A759A" w:rsidRPr="00087A4D">
        <w:rPr>
          <w:rFonts w:ascii="Times New Roman" w:hAnsi="Times New Roman" w:cs="Times New Roman"/>
          <w:sz w:val="24"/>
          <w:szCs w:val="24"/>
          <w:lang w:val="en-US"/>
        </w:rPr>
        <w:t>7</w:t>
      </w:r>
      <w:r w:rsidR="00A30804" w:rsidRPr="00087A4D">
        <w:rPr>
          <w:rFonts w:ascii="Times New Roman" w:hAnsi="Times New Roman" w:cs="Times New Roman"/>
          <w:sz w:val="24"/>
          <w:szCs w:val="24"/>
          <w:lang w:val="en-US"/>
        </w:rPr>
        <w:t xml:space="preserve">(1) outlines the </w:t>
      </w:r>
      <w:r w:rsidR="005B2159" w:rsidRPr="00411DEB">
        <w:rPr>
          <w:rFonts w:ascii="Times New Roman" w:hAnsi="Times New Roman" w:cs="Times New Roman"/>
          <w:sz w:val="24"/>
          <w:szCs w:val="24"/>
          <w:lang w:val="en-US"/>
        </w:rPr>
        <w:t xml:space="preserve">objectives the </w:t>
      </w:r>
      <w:r w:rsidR="009A759A" w:rsidRPr="007477F9">
        <w:rPr>
          <w:rFonts w:ascii="Times New Roman" w:hAnsi="Times New Roman" w:cs="Times New Roman"/>
          <w:sz w:val="24"/>
          <w:szCs w:val="24"/>
          <w:lang w:val="en-US"/>
        </w:rPr>
        <w:t>industry s</w:t>
      </w:r>
      <w:r w:rsidR="005B2159" w:rsidRPr="007477F9">
        <w:rPr>
          <w:rFonts w:ascii="Times New Roman" w:hAnsi="Times New Roman" w:cs="Times New Roman"/>
          <w:sz w:val="24"/>
          <w:szCs w:val="24"/>
          <w:lang w:val="en-US"/>
        </w:rPr>
        <w:t>tandard</w:t>
      </w:r>
      <w:r w:rsidR="00A30804" w:rsidRPr="003C6427">
        <w:rPr>
          <w:rFonts w:ascii="Times New Roman" w:hAnsi="Times New Roman" w:cs="Times New Roman"/>
          <w:sz w:val="24"/>
          <w:szCs w:val="24"/>
          <w:lang w:val="en-US"/>
        </w:rPr>
        <w:t xml:space="preserve"> </w:t>
      </w:r>
      <w:r w:rsidRPr="003C6427">
        <w:rPr>
          <w:rFonts w:ascii="Times New Roman" w:hAnsi="Times New Roman" w:cs="Times New Roman"/>
          <w:sz w:val="24"/>
          <w:szCs w:val="24"/>
          <w:lang w:val="en-US"/>
        </w:rPr>
        <w:t>is to</w:t>
      </w:r>
      <w:r w:rsidR="000256B4" w:rsidRPr="003C6427">
        <w:rPr>
          <w:rFonts w:ascii="Times New Roman" w:hAnsi="Times New Roman" w:cs="Times New Roman"/>
          <w:sz w:val="24"/>
          <w:szCs w:val="24"/>
          <w:lang w:val="en-US"/>
        </w:rPr>
        <w:t xml:space="preserve"> be </w:t>
      </w:r>
      <w:r w:rsidR="009A759A" w:rsidRPr="003C6427">
        <w:rPr>
          <w:rFonts w:ascii="Times New Roman" w:hAnsi="Times New Roman" w:cs="Times New Roman"/>
          <w:sz w:val="24"/>
          <w:szCs w:val="24"/>
          <w:lang w:val="en-US"/>
        </w:rPr>
        <w:t>drafted</w:t>
      </w:r>
      <w:r w:rsidR="000256B4" w:rsidRPr="003C6427">
        <w:rPr>
          <w:rFonts w:ascii="Times New Roman" w:hAnsi="Times New Roman" w:cs="Times New Roman"/>
          <w:sz w:val="24"/>
          <w:szCs w:val="24"/>
          <w:lang w:val="en-US"/>
        </w:rPr>
        <w:t xml:space="preserve"> to</w:t>
      </w:r>
      <w:r w:rsidRPr="003C6427">
        <w:rPr>
          <w:rFonts w:ascii="Times New Roman" w:hAnsi="Times New Roman" w:cs="Times New Roman"/>
          <w:sz w:val="24"/>
          <w:szCs w:val="24"/>
          <w:lang w:val="en-US"/>
        </w:rPr>
        <w:t xml:space="preserve"> give effect to</w:t>
      </w:r>
      <w:r w:rsidR="000256B4" w:rsidRPr="003C6427">
        <w:rPr>
          <w:rFonts w:ascii="Times New Roman" w:hAnsi="Times New Roman" w:cs="Times New Roman"/>
          <w:sz w:val="24"/>
          <w:szCs w:val="24"/>
          <w:lang w:val="en-US"/>
        </w:rPr>
        <w:t>,</w:t>
      </w:r>
      <w:r w:rsidR="00B360B0" w:rsidRPr="003C6427">
        <w:rPr>
          <w:rFonts w:ascii="Times New Roman" w:hAnsi="Times New Roman" w:cs="Times New Roman"/>
          <w:sz w:val="24"/>
          <w:szCs w:val="24"/>
          <w:lang w:val="en-US"/>
        </w:rPr>
        <w:t xml:space="preserve"> </w:t>
      </w:r>
      <w:r w:rsidR="00A30804" w:rsidRPr="003C6427">
        <w:rPr>
          <w:rFonts w:ascii="Times New Roman" w:hAnsi="Times New Roman" w:cs="Times New Roman"/>
          <w:sz w:val="24"/>
          <w:szCs w:val="24"/>
          <w:lang w:val="en-US"/>
        </w:rPr>
        <w:t xml:space="preserve">in relation to the telecommunications activities of </w:t>
      </w:r>
      <w:r w:rsidR="009A759A" w:rsidRPr="003C6427">
        <w:rPr>
          <w:rFonts w:ascii="Times New Roman" w:hAnsi="Times New Roman" w:cs="Times New Roman"/>
          <w:sz w:val="24"/>
          <w:szCs w:val="24"/>
          <w:lang w:val="en-US"/>
        </w:rPr>
        <w:t>carriage service providers</w:t>
      </w:r>
      <w:r w:rsidR="00A30804" w:rsidRPr="003C6427">
        <w:rPr>
          <w:rFonts w:ascii="Times New Roman" w:hAnsi="Times New Roman" w:cs="Times New Roman"/>
          <w:sz w:val="24"/>
          <w:szCs w:val="24"/>
          <w:lang w:val="en-US"/>
        </w:rPr>
        <w:t>.</w:t>
      </w:r>
    </w:p>
    <w:p w14:paraId="19A1D3AD"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57824192" w14:textId="635A151E" w:rsidR="00001A25"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7(1)(a)</w:t>
      </w:r>
      <w:r w:rsidR="00AF1D29" w:rsidRPr="003C6427">
        <w:rPr>
          <w:rFonts w:ascii="Times New Roman" w:hAnsi="Times New Roman" w:cs="Times New Roman"/>
          <w:sz w:val="24"/>
          <w:szCs w:val="24"/>
          <w:lang w:val="en-US"/>
        </w:rPr>
        <w:t xml:space="preserve"> seeks to ensure that the safety of a </w:t>
      </w:r>
      <w:r w:rsidR="000843F2" w:rsidRPr="003C6427">
        <w:rPr>
          <w:rFonts w:ascii="Times New Roman" w:hAnsi="Times New Roman" w:cs="Times New Roman"/>
          <w:sz w:val="24"/>
          <w:szCs w:val="24"/>
          <w:lang w:val="en-US"/>
        </w:rPr>
        <w:t xml:space="preserve">relevant </w:t>
      </w:r>
      <w:r w:rsidR="00AF1D29" w:rsidRPr="003C6427">
        <w:rPr>
          <w:rFonts w:ascii="Times New Roman" w:hAnsi="Times New Roman" w:cs="Times New Roman"/>
          <w:sz w:val="24"/>
          <w:szCs w:val="24"/>
          <w:lang w:val="en-US"/>
        </w:rPr>
        <w:t>consumer who is</w:t>
      </w:r>
      <w:r w:rsidR="000843F2" w:rsidRPr="003C6427">
        <w:rPr>
          <w:rFonts w:ascii="Times New Roman" w:hAnsi="Times New Roman" w:cs="Times New Roman"/>
          <w:sz w:val="24"/>
          <w:szCs w:val="24"/>
          <w:lang w:val="en-US"/>
        </w:rPr>
        <w:t>, or may be, affected</w:t>
      </w:r>
      <w:r w:rsidR="00AF1D29" w:rsidRPr="003C6427">
        <w:rPr>
          <w:rFonts w:ascii="Times New Roman" w:hAnsi="Times New Roman" w:cs="Times New Roman"/>
          <w:sz w:val="24"/>
          <w:szCs w:val="24"/>
          <w:lang w:val="en-US"/>
        </w:rPr>
        <w:t xml:space="preserve"> by domestic</w:t>
      </w:r>
      <w:r w:rsidR="00D4790F" w:rsidRPr="003C6427">
        <w:rPr>
          <w:rFonts w:ascii="Times New Roman" w:hAnsi="Times New Roman" w:cs="Times New Roman"/>
          <w:sz w:val="24"/>
          <w:szCs w:val="24"/>
          <w:lang w:val="en-US"/>
        </w:rPr>
        <w:t xml:space="preserve"> and</w:t>
      </w:r>
      <w:r w:rsidR="00AF1D29" w:rsidRPr="003C6427">
        <w:rPr>
          <w:rFonts w:ascii="Times New Roman" w:hAnsi="Times New Roman" w:cs="Times New Roman"/>
          <w:sz w:val="24"/>
          <w:szCs w:val="24"/>
          <w:lang w:val="en-US"/>
        </w:rPr>
        <w:t xml:space="preserve"> family</w:t>
      </w:r>
      <w:r w:rsidR="00A279F7" w:rsidRPr="003C6427">
        <w:rPr>
          <w:rFonts w:ascii="Times New Roman" w:hAnsi="Times New Roman" w:cs="Times New Roman"/>
          <w:sz w:val="24"/>
          <w:szCs w:val="24"/>
          <w:lang w:val="en-US"/>
        </w:rPr>
        <w:t xml:space="preserve"> violence</w:t>
      </w:r>
      <w:r w:rsidR="00934110" w:rsidRPr="003C6427">
        <w:rPr>
          <w:rFonts w:ascii="Times New Roman" w:hAnsi="Times New Roman" w:cs="Times New Roman"/>
          <w:sz w:val="24"/>
          <w:szCs w:val="24"/>
          <w:lang w:val="en-US"/>
        </w:rPr>
        <w:t>,</w:t>
      </w:r>
      <w:r w:rsidR="00AF1D29" w:rsidRPr="003C6427">
        <w:rPr>
          <w:rFonts w:ascii="Times New Roman" w:hAnsi="Times New Roman" w:cs="Times New Roman"/>
          <w:sz w:val="24"/>
          <w:szCs w:val="24"/>
          <w:lang w:val="en-US"/>
        </w:rPr>
        <w:t xml:space="preserve"> and</w:t>
      </w:r>
      <w:r w:rsidR="000843F2" w:rsidRPr="003C6427">
        <w:rPr>
          <w:rFonts w:ascii="Times New Roman" w:hAnsi="Times New Roman" w:cs="Times New Roman"/>
          <w:sz w:val="24"/>
          <w:szCs w:val="24"/>
          <w:lang w:val="en-US"/>
        </w:rPr>
        <w:t xml:space="preserve"> where relevant,</w:t>
      </w:r>
      <w:r w:rsidR="00AF1D29" w:rsidRPr="003C6427">
        <w:rPr>
          <w:rFonts w:ascii="Times New Roman" w:hAnsi="Times New Roman" w:cs="Times New Roman"/>
          <w:sz w:val="24"/>
          <w:szCs w:val="24"/>
          <w:lang w:val="en-US"/>
        </w:rPr>
        <w:t xml:space="preserve"> sexual violence is prioritised.</w:t>
      </w:r>
    </w:p>
    <w:p w14:paraId="248C1136" w14:textId="2C7CF805" w:rsidR="00001A25" w:rsidRPr="003C6427" w:rsidRDefault="00001A25" w:rsidP="003C6427">
      <w:pPr>
        <w:widowControl w:val="0"/>
        <w:spacing w:after="0" w:line="240" w:lineRule="auto"/>
        <w:rPr>
          <w:rFonts w:ascii="Times New Roman" w:hAnsi="Times New Roman" w:cs="Times New Roman"/>
          <w:sz w:val="24"/>
          <w:szCs w:val="24"/>
          <w:lang w:val="en-US"/>
        </w:rPr>
      </w:pPr>
    </w:p>
    <w:p w14:paraId="2ABEA5D4" w14:textId="77777777" w:rsidR="00001A25" w:rsidRPr="003C6427" w:rsidRDefault="00001A25" w:rsidP="003C6427">
      <w:pPr>
        <w:widowControl w:val="0"/>
        <w:spacing w:after="0" w:line="240" w:lineRule="auto"/>
        <w:rPr>
          <w:rFonts w:ascii="Times New Roman" w:eastAsia="Times New Roman" w:hAnsi="Times New Roman" w:cs="Times New Roman"/>
          <w:color w:val="000000"/>
          <w:sz w:val="24"/>
          <w:szCs w:val="24"/>
          <w:lang w:eastAsia="en-AU"/>
        </w:rPr>
      </w:pPr>
      <w:r w:rsidRPr="003C6427">
        <w:rPr>
          <w:rFonts w:ascii="Times New Roman" w:eastAsia="Times New Roman" w:hAnsi="Times New Roman" w:cs="Times New Roman"/>
          <w:color w:val="000000"/>
          <w:sz w:val="24"/>
          <w:szCs w:val="24"/>
          <w:lang w:eastAsia="en-AU"/>
        </w:rPr>
        <w:t xml:space="preserve">There is currently no nationally agreed upon definition for domestic, family and sexual violence. The National Plan defines each category separately, as does the Australian Institute of Health and Welfare. The terms domestic, family and sexual violence have not been defined in the Direction. It is intended that the ACMA will determine relevant definitions during consultation on the industry standard. </w:t>
      </w:r>
    </w:p>
    <w:p w14:paraId="6EEC83DD" w14:textId="77777777" w:rsidR="00001A25" w:rsidRPr="003C6427" w:rsidRDefault="00001A25" w:rsidP="003C6427">
      <w:pPr>
        <w:widowControl w:val="0"/>
        <w:spacing w:after="0" w:line="240" w:lineRule="auto"/>
        <w:rPr>
          <w:rFonts w:ascii="Times New Roman" w:eastAsia="Times New Roman" w:hAnsi="Times New Roman" w:cs="Times New Roman"/>
          <w:color w:val="000000"/>
          <w:sz w:val="24"/>
          <w:szCs w:val="24"/>
          <w:lang w:eastAsia="en-AU"/>
        </w:rPr>
      </w:pPr>
    </w:p>
    <w:p w14:paraId="028BAAED" w14:textId="11E90AC0" w:rsidR="00001A25" w:rsidRPr="003C6427" w:rsidRDefault="00001A25" w:rsidP="003C6427">
      <w:pPr>
        <w:widowControl w:val="0"/>
        <w:spacing w:after="0" w:line="240" w:lineRule="auto"/>
        <w:rPr>
          <w:rFonts w:ascii="Times New Roman" w:eastAsia="Times New Roman" w:hAnsi="Times New Roman" w:cs="Times New Roman"/>
          <w:color w:val="000000"/>
          <w:sz w:val="24"/>
          <w:szCs w:val="24"/>
          <w:lang w:eastAsia="en-AU"/>
        </w:rPr>
      </w:pPr>
      <w:r w:rsidRPr="003C6427">
        <w:rPr>
          <w:rFonts w:ascii="Times New Roman" w:eastAsia="Times New Roman" w:hAnsi="Times New Roman" w:cs="Times New Roman"/>
          <w:color w:val="000000"/>
          <w:sz w:val="24"/>
          <w:szCs w:val="24"/>
          <w:lang w:eastAsia="en-AU"/>
        </w:rPr>
        <w:lastRenderedPageBreak/>
        <w:t>In considering definitions, the ACMA should have regard to the examples in industry’s Guideline, the National Plan and Australian Institute of Health and Welfare, and</w:t>
      </w:r>
      <w:r w:rsidR="00EB0F15" w:rsidRPr="003C6427">
        <w:rPr>
          <w:rFonts w:ascii="Times New Roman" w:eastAsia="Times New Roman" w:hAnsi="Times New Roman" w:cs="Times New Roman"/>
          <w:color w:val="000000"/>
          <w:sz w:val="24"/>
          <w:szCs w:val="24"/>
          <w:lang w:eastAsia="en-AU"/>
        </w:rPr>
        <w:t xml:space="preserve"> to</w:t>
      </w:r>
      <w:r w:rsidRPr="003C6427">
        <w:rPr>
          <w:rFonts w:ascii="Times New Roman" w:eastAsia="Times New Roman" w:hAnsi="Times New Roman" w:cs="Times New Roman"/>
          <w:color w:val="000000"/>
          <w:sz w:val="24"/>
          <w:szCs w:val="24"/>
          <w:lang w:eastAsia="en-AU"/>
        </w:rPr>
        <w:t xml:space="preserve"> work that is underway by the Government, in particularly within the Attorney General’s Department to establish a nationally consistent definition. </w:t>
      </w:r>
    </w:p>
    <w:p w14:paraId="7C3FC931" w14:textId="77777777" w:rsidR="00001A25" w:rsidRPr="003C6427" w:rsidRDefault="00001A25" w:rsidP="003C6427">
      <w:pPr>
        <w:widowControl w:val="0"/>
        <w:spacing w:after="0" w:line="240" w:lineRule="auto"/>
        <w:rPr>
          <w:rFonts w:ascii="Times New Roman" w:hAnsi="Times New Roman" w:cs="Times New Roman"/>
          <w:sz w:val="24"/>
          <w:szCs w:val="24"/>
          <w:lang w:val="en-US"/>
        </w:rPr>
      </w:pPr>
    </w:p>
    <w:p w14:paraId="36165B95" w14:textId="0B596274" w:rsidR="00001A25" w:rsidRPr="003C6427" w:rsidRDefault="00001A25" w:rsidP="003C6427">
      <w:pPr>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The inclusion of ‘or may be’ across the Direction is in recognition of the fact that a consumer may not realise they are subject to abuse (for example economic abuse), or where there are strong indicators that a consumer is experiencing domestic, family and sexual violence but they do not directly disclose it (for example due to fear or discomfort). Further,</w:t>
      </w:r>
      <w:r w:rsidR="00EB0F15" w:rsidRPr="003C6427">
        <w:rPr>
          <w:rFonts w:ascii="Times New Roman" w:hAnsi="Times New Roman" w:cs="Times New Roman"/>
          <w:sz w:val="24"/>
          <w:szCs w:val="24"/>
          <w:lang w:val="en-US"/>
        </w:rPr>
        <w:t xml:space="preserve"> the use of</w:t>
      </w:r>
      <w:r w:rsidRPr="003C6427">
        <w:rPr>
          <w:rFonts w:ascii="Times New Roman" w:hAnsi="Times New Roman" w:cs="Times New Roman"/>
          <w:sz w:val="24"/>
          <w:szCs w:val="24"/>
          <w:lang w:val="en-US"/>
        </w:rPr>
        <w:t xml:space="preserve"> ‘or may be’ in reference to groups disproportionately affected, is in recognition of the fact that there may not always be hard data or confirmation of which groups are disproportionately impacted but there may be suspicions or indications which are sufficient to act on in terms of, for example, tailoring training and policies.</w:t>
      </w:r>
    </w:p>
    <w:p w14:paraId="12C4237F" w14:textId="77777777" w:rsidR="00001A25" w:rsidRPr="003C6427" w:rsidRDefault="00001A25" w:rsidP="003C6427">
      <w:pPr>
        <w:spacing w:after="0" w:line="240" w:lineRule="auto"/>
        <w:rPr>
          <w:rFonts w:ascii="Times New Roman" w:hAnsi="Times New Roman" w:cs="Times New Roman"/>
          <w:sz w:val="24"/>
          <w:szCs w:val="24"/>
          <w:lang w:val="en-US"/>
        </w:rPr>
      </w:pPr>
    </w:p>
    <w:p w14:paraId="099273BD" w14:textId="77777777" w:rsidR="00001A25" w:rsidRPr="003C6427" w:rsidRDefault="00001A25" w:rsidP="003C6427">
      <w:pPr>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‘Where relevant’ in relation to sexual violence is to provide the ACMA flexibility to consider sexual violence that occurs outside a relationship, and determine obligations if they are relevant to the telecommunications sector. Ultimately, it will be for the ACMA to define sexual violence for the purpose of the standard and whether sexual violence outside a relationship is covered.</w:t>
      </w:r>
    </w:p>
    <w:p w14:paraId="70425721" w14:textId="3B1A551B" w:rsidR="009A759A" w:rsidRPr="003C6427" w:rsidRDefault="000843F2"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 </w:t>
      </w:r>
    </w:p>
    <w:p w14:paraId="227D1B0C" w14:textId="74641848" w:rsidR="009A759A"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7(1)(b)</w:t>
      </w:r>
      <w:r w:rsidR="00AF1D29" w:rsidRPr="003C6427">
        <w:rPr>
          <w:rFonts w:ascii="Times New Roman" w:hAnsi="Times New Roman" w:cs="Times New Roman"/>
          <w:sz w:val="24"/>
          <w:szCs w:val="24"/>
          <w:lang w:val="en-US"/>
        </w:rPr>
        <w:t xml:space="preserve"> </w:t>
      </w:r>
      <w:r w:rsidR="004378FA" w:rsidRPr="003C6427">
        <w:rPr>
          <w:rFonts w:ascii="Times New Roman" w:hAnsi="Times New Roman" w:cs="Times New Roman"/>
          <w:sz w:val="24"/>
          <w:szCs w:val="24"/>
          <w:lang w:val="en-US"/>
        </w:rPr>
        <w:t xml:space="preserve">provides that carriage service providers take a tailored and appropriate approach to ensure and maintain the privacy of personal information and the security of accounts of relevant consumers who are, or may be, affected by domestic and family violence, and where relevant, sexual violence. This </w:t>
      </w:r>
      <w:r w:rsidR="00AF1D29" w:rsidRPr="003C6427">
        <w:rPr>
          <w:rFonts w:ascii="Times New Roman" w:hAnsi="Times New Roman" w:cs="Times New Roman"/>
          <w:sz w:val="24"/>
          <w:szCs w:val="24"/>
          <w:lang w:val="en-US"/>
        </w:rPr>
        <w:t>highlights the need for carriage service providers to ensure a</w:t>
      </w:r>
      <w:r w:rsidR="000843F2" w:rsidRPr="003C6427">
        <w:rPr>
          <w:rFonts w:ascii="Times New Roman" w:hAnsi="Times New Roman" w:cs="Times New Roman"/>
          <w:sz w:val="24"/>
          <w:szCs w:val="24"/>
          <w:lang w:val="en-US"/>
        </w:rPr>
        <w:t>n</w:t>
      </w:r>
      <w:r w:rsidR="00AF1D29" w:rsidRPr="003C6427">
        <w:rPr>
          <w:rFonts w:ascii="Times New Roman" w:hAnsi="Times New Roman" w:cs="Times New Roman"/>
          <w:sz w:val="24"/>
          <w:szCs w:val="24"/>
          <w:lang w:val="en-US"/>
        </w:rPr>
        <w:t xml:space="preserve"> affected consumer</w:t>
      </w:r>
      <w:r w:rsidR="00296963" w:rsidRPr="003C6427">
        <w:rPr>
          <w:rFonts w:ascii="Times New Roman" w:hAnsi="Times New Roman" w:cs="Times New Roman"/>
          <w:sz w:val="24"/>
          <w:szCs w:val="24"/>
          <w:lang w:val="en-US"/>
        </w:rPr>
        <w:t>’</w:t>
      </w:r>
      <w:r w:rsidR="00AF1D29" w:rsidRPr="003C6427">
        <w:rPr>
          <w:rFonts w:ascii="Times New Roman" w:hAnsi="Times New Roman" w:cs="Times New Roman"/>
          <w:sz w:val="24"/>
          <w:szCs w:val="24"/>
          <w:lang w:val="en-US"/>
        </w:rPr>
        <w:t>s personal information is kept private and secure to avoid</w:t>
      </w:r>
      <w:r w:rsidR="00296963" w:rsidRPr="003C6427">
        <w:rPr>
          <w:rFonts w:ascii="Times New Roman" w:hAnsi="Times New Roman" w:cs="Times New Roman"/>
          <w:sz w:val="24"/>
          <w:szCs w:val="24"/>
          <w:lang w:val="en-US"/>
        </w:rPr>
        <w:t xml:space="preserve"> </w:t>
      </w:r>
      <w:r w:rsidR="00AF1D29" w:rsidRPr="003C6427">
        <w:rPr>
          <w:rFonts w:ascii="Times New Roman" w:hAnsi="Times New Roman" w:cs="Times New Roman"/>
          <w:sz w:val="24"/>
          <w:szCs w:val="24"/>
          <w:lang w:val="en-US"/>
        </w:rPr>
        <w:t>disclosure</w:t>
      </w:r>
      <w:r w:rsidR="00296963" w:rsidRPr="003C6427">
        <w:rPr>
          <w:rFonts w:ascii="Times New Roman" w:hAnsi="Times New Roman" w:cs="Times New Roman"/>
          <w:sz w:val="24"/>
          <w:szCs w:val="24"/>
          <w:lang w:val="en-US"/>
        </w:rPr>
        <w:t xml:space="preserve"> to alleged perpetrators, which creates safety risks</w:t>
      </w:r>
      <w:r w:rsidR="0087477E" w:rsidRPr="003C6427">
        <w:rPr>
          <w:rFonts w:ascii="Times New Roman" w:hAnsi="Times New Roman" w:cs="Times New Roman"/>
          <w:sz w:val="24"/>
          <w:szCs w:val="24"/>
          <w:lang w:val="en-US"/>
        </w:rPr>
        <w:t>. For example, personal information such as contact details and phone numbers.</w:t>
      </w:r>
      <w:r w:rsidR="00AF1D29" w:rsidRPr="003C6427">
        <w:rPr>
          <w:rFonts w:ascii="Times New Roman" w:hAnsi="Times New Roman" w:cs="Times New Roman"/>
          <w:sz w:val="24"/>
          <w:szCs w:val="24"/>
          <w:lang w:val="en-US"/>
        </w:rPr>
        <w:t xml:space="preserve"> This paragraph</w:t>
      </w:r>
      <w:r w:rsidR="00296963" w:rsidRPr="003C6427">
        <w:rPr>
          <w:rFonts w:ascii="Times New Roman" w:hAnsi="Times New Roman" w:cs="Times New Roman"/>
          <w:sz w:val="24"/>
          <w:szCs w:val="24"/>
          <w:lang w:val="en-US"/>
        </w:rPr>
        <w:t xml:space="preserve"> also extends to ensuring the affected consumer’s account is secure and unable to be accessed by an unauthorised person.</w:t>
      </w:r>
      <w:r w:rsidR="00AF1D29" w:rsidRPr="003C6427">
        <w:rPr>
          <w:rFonts w:ascii="Times New Roman" w:hAnsi="Times New Roman" w:cs="Times New Roman"/>
          <w:sz w:val="24"/>
          <w:szCs w:val="24"/>
          <w:lang w:val="en-US"/>
        </w:rPr>
        <w:t xml:space="preserve"> </w:t>
      </w:r>
      <w:r w:rsidR="00296963" w:rsidRPr="003C6427">
        <w:rPr>
          <w:rFonts w:ascii="Times New Roman" w:hAnsi="Times New Roman" w:cs="Times New Roman"/>
          <w:sz w:val="24"/>
          <w:szCs w:val="24"/>
          <w:lang w:val="en-US"/>
        </w:rPr>
        <w:t xml:space="preserve">This is to be done in a way that is tailored and appropriate </w:t>
      </w:r>
      <w:r w:rsidR="003B4D60" w:rsidRPr="003C6427">
        <w:rPr>
          <w:rFonts w:ascii="Times New Roman" w:hAnsi="Times New Roman" w:cs="Times New Roman"/>
          <w:sz w:val="24"/>
          <w:szCs w:val="24"/>
          <w:lang w:val="en-US"/>
        </w:rPr>
        <w:t>to the consumer’s</w:t>
      </w:r>
      <w:r w:rsidR="002B098A" w:rsidRPr="003C6427">
        <w:rPr>
          <w:rFonts w:ascii="Times New Roman" w:hAnsi="Times New Roman" w:cs="Times New Roman"/>
          <w:sz w:val="24"/>
          <w:szCs w:val="24"/>
          <w:lang w:val="en-US"/>
        </w:rPr>
        <w:t xml:space="preserve"> individual</w:t>
      </w:r>
      <w:r w:rsidR="00296963" w:rsidRPr="003C6427">
        <w:rPr>
          <w:rFonts w:ascii="Times New Roman" w:hAnsi="Times New Roman" w:cs="Times New Roman"/>
          <w:sz w:val="24"/>
          <w:szCs w:val="24"/>
          <w:lang w:val="en-US"/>
        </w:rPr>
        <w:t xml:space="preserve"> circumstances.</w:t>
      </w:r>
    </w:p>
    <w:p w14:paraId="348372E0"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31DADB36" w14:textId="779548BC" w:rsidR="00421203"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7(1)(c)</w:t>
      </w:r>
      <w:r w:rsidR="004378FA" w:rsidRPr="003C6427">
        <w:rPr>
          <w:rFonts w:ascii="Times New Roman" w:hAnsi="Times New Roman" w:cs="Times New Roman"/>
          <w:sz w:val="24"/>
          <w:szCs w:val="24"/>
          <w:lang w:val="en-US"/>
        </w:rPr>
        <w:t>(i)</w:t>
      </w:r>
      <w:r w:rsidR="00296963" w:rsidRPr="003C6427">
        <w:rPr>
          <w:rFonts w:ascii="Times New Roman" w:hAnsi="Times New Roman" w:cs="Times New Roman"/>
          <w:sz w:val="24"/>
          <w:szCs w:val="24"/>
          <w:lang w:val="en-US"/>
        </w:rPr>
        <w:t xml:space="preserve"> provides that staff of carriage service providers should be appropriately trained to identify and support </w:t>
      </w:r>
      <w:r w:rsidR="00873D3D" w:rsidRPr="003C6427">
        <w:rPr>
          <w:rFonts w:ascii="Times New Roman" w:hAnsi="Times New Roman" w:cs="Times New Roman"/>
          <w:sz w:val="24"/>
          <w:szCs w:val="24"/>
          <w:lang w:val="en-US"/>
        </w:rPr>
        <w:t xml:space="preserve">relevant </w:t>
      </w:r>
      <w:r w:rsidR="00296963" w:rsidRPr="003C6427">
        <w:rPr>
          <w:rFonts w:ascii="Times New Roman" w:hAnsi="Times New Roman" w:cs="Times New Roman"/>
          <w:sz w:val="24"/>
          <w:szCs w:val="24"/>
          <w:lang w:val="en-US"/>
        </w:rPr>
        <w:t>consumers who are, or may be, affected by domestic</w:t>
      </w:r>
      <w:r w:rsidR="00934110" w:rsidRPr="003C6427">
        <w:rPr>
          <w:rFonts w:ascii="Times New Roman" w:hAnsi="Times New Roman" w:cs="Times New Roman"/>
          <w:sz w:val="24"/>
          <w:szCs w:val="24"/>
          <w:lang w:val="en-US"/>
        </w:rPr>
        <w:t xml:space="preserve"> and</w:t>
      </w:r>
      <w:r w:rsidR="00296963" w:rsidRPr="003C6427">
        <w:rPr>
          <w:rFonts w:ascii="Times New Roman" w:hAnsi="Times New Roman" w:cs="Times New Roman"/>
          <w:sz w:val="24"/>
          <w:szCs w:val="24"/>
          <w:lang w:val="en-US"/>
        </w:rPr>
        <w:t xml:space="preserve"> family</w:t>
      </w:r>
      <w:r w:rsidR="00934110" w:rsidRPr="003C6427">
        <w:rPr>
          <w:rFonts w:ascii="Times New Roman" w:hAnsi="Times New Roman" w:cs="Times New Roman"/>
          <w:sz w:val="24"/>
          <w:szCs w:val="24"/>
          <w:lang w:val="en-US"/>
        </w:rPr>
        <w:t xml:space="preserve"> violence,</w:t>
      </w:r>
      <w:r w:rsidR="00296963" w:rsidRPr="003C6427">
        <w:rPr>
          <w:rFonts w:ascii="Times New Roman" w:hAnsi="Times New Roman" w:cs="Times New Roman"/>
          <w:sz w:val="24"/>
          <w:szCs w:val="24"/>
          <w:lang w:val="en-US"/>
        </w:rPr>
        <w:t xml:space="preserve"> and</w:t>
      </w:r>
      <w:r w:rsidR="000843F2" w:rsidRPr="003C6427">
        <w:rPr>
          <w:rFonts w:ascii="Times New Roman" w:hAnsi="Times New Roman" w:cs="Times New Roman"/>
          <w:sz w:val="24"/>
          <w:szCs w:val="24"/>
          <w:lang w:val="en-US"/>
        </w:rPr>
        <w:t xml:space="preserve"> where relevant,</w:t>
      </w:r>
      <w:r w:rsidR="00296963" w:rsidRPr="003C6427">
        <w:rPr>
          <w:rFonts w:ascii="Times New Roman" w:hAnsi="Times New Roman" w:cs="Times New Roman"/>
          <w:sz w:val="24"/>
          <w:szCs w:val="24"/>
          <w:lang w:val="en-US"/>
        </w:rPr>
        <w:t xml:space="preserve"> sexual violence. </w:t>
      </w:r>
      <w:r w:rsidR="00A62914" w:rsidRPr="003C6427">
        <w:rPr>
          <w:rFonts w:ascii="Times New Roman" w:hAnsi="Times New Roman" w:cs="Times New Roman"/>
          <w:sz w:val="24"/>
          <w:szCs w:val="24"/>
          <w:lang w:val="en-US"/>
        </w:rPr>
        <w:t xml:space="preserve">In cases of economic abuse, a consumer may not be aware they are in a domestic, family and sexual violence situation until their provider </w:t>
      </w:r>
      <w:r w:rsidR="003B4D60" w:rsidRPr="003C6427">
        <w:rPr>
          <w:rFonts w:ascii="Times New Roman" w:hAnsi="Times New Roman" w:cs="Times New Roman"/>
          <w:sz w:val="24"/>
          <w:szCs w:val="24"/>
          <w:lang w:val="en-US"/>
        </w:rPr>
        <w:t>h</w:t>
      </w:r>
      <w:r w:rsidR="00A62914" w:rsidRPr="003C6427">
        <w:rPr>
          <w:rFonts w:ascii="Times New Roman" w:hAnsi="Times New Roman" w:cs="Times New Roman"/>
          <w:sz w:val="24"/>
          <w:szCs w:val="24"/>
          <w:lang w:val="en-US"/>
        </w:rPr>
        <w:t>as identified discrepancies with their account.</w:t>
      </w:r>
      <w:r w:rsidR="00891DB1" w:rsidRPr="003C6427">
        <w:rPr>
          <w:rFonts w:ascii="Times New Roman" w:hAnsi="Times New Roman" w:cs="Times New Roman"/>
          <w:sz w:val="24"/>
          <w:szCs w:val="24"/>
          <w:lang w:val="en-US"/>
        </w:rPr>
        <w:t xml:space="preserve"> It is intended that</w:t>
      </w:r>
      <w:r w:rsidR="00934110" w:rsidRPr="003C6427">
        <w:rPr>
          <w:rFonts w:ascii="Times New Roman" w:hAnsi="Times New Roman" w:cs="Times New Roman"/>
          <w:sz w:val="24"/>
          <w:szCs w:val="24"/>
          <w:lang w:val="en-US"/>
        </w:rPr>
        <w:t xml:space="preserve"> </w:t>
      </w:r>
      <w:r w:rsidR="00D4790F" w:rsidRPr="003C6427">
        <w:rPr>
          <w:rFonts w:ascii="Times New Roman" w:hAnsi="Times New Roman" w:cs="Times New Roman"/>
          <w:sz w:val="24"/>
          <w:szCs w:val="24"/>
          <w:lang w:val="en-US"/>
        </w:rPr>
        <w:t>awareness</w:t>
      </w:r>
      <w:r w:rsidR="00934110" w:rsidRPr="003C6427">
        <w:rPr>
          <w:rFonts w:ascii="Times New Roman" w:hAnsi="Times New Roman" w:cs="Times New Roman"/>
          <w:sz w:val="24"/>
          <w:szCs w:val="24"/>
          <w:lang w:val="en-US"/>
        </w:rPr>
        <w:t xml:space="preserve"> training is provided to staff across the company,</w:t>
      </w:r>
      <w:r w:rsidR="00296963" w:rsidRPr="003C6427">
        <w:rPr>
          <w:rFonts w:ascii="Times New Roman" w:hAnsi="Times New Roman" w:cs="Times New Roman"/>
          <w:sz w:val="24"/>
          <w:szCs w:val="24"/>
          <w:lang w:val="en-US"/>
        </w:rPr>
        <w:t xml:space="preserve"> where appropriate, </w:t>
      </w:r>
      <w:r w:rsidR="00D4790F" w:rsidRPr="003C6427">
        <w:rPr>
          <w:rFonts w:ascii="Times New Roman" w:hAnsi="Times New Roman" w:cs="Times New Roman"/>
          <w:sz w:val="24"/>
          <w:szCs w:val="24"/>
          <w:lang w:val="en-US"/>
        </w:rPr>
        <w:t xml:space="preserve">and more specific </w:t>
      </w:r>
      <w:r w:rsidR="00C4335D" w:rsidRPr="003C6427">
        <w:rPr>
          <w:rFonts w:ascii="Times New Roman" w:hAnsi="Times New Roman" w:cs="Times New Roman"/>
          <w:sz w:val="24"/>
          <w:szCs w:val="24"/>
          <w:lang w:val="en-US"/>
        </w:rPr>
        <w:t>training</w:t>
      </w:r>
      <w:r w:rsidR="00D4790F" w:rsidRPr="003C6427">
        <w:rPr>
          <w:rFonts w:ascii="Times New Roman" w:hAnsi="Times New Roman" w:cs="Times New Roman"/>
          <w:sz w:val="24"/>
          <w:szCs w:val="24"/>
          <w:lang w:val="en-US"/>
        </w:rPr>
        <w:t xml:space="preserve"> </w:t>
      </w:r>
      <w:r w:rsidR="00934110" w:rsidRPr="003C6427">
        <w:rPr>
          <w:rFonts w:ascii="Times New Roman" w:hAnsi="Times New Roman" w:cs="Times New Roman"/>
          <w:sz w:val="24"/>
          <w:szCs w:val="24"/>
          <w:lang w:val="en-US"/>
        </w:rPr>
        <w:t xml:space="preserve">is provided </w:t>
      </w:r>
      <w:r w:rsidR="00D4790F" w:rsidRPr="003C6427">
        <w:rPr>
          <w:rFonts w:ascii="Times New Roman" w:hAnsi="Times New Roman" w:cs="Times New Roman"/>
          <w:sz w:val="24"/>
          <w:szCs w:val="24"/>
          <w:lang w:val="en-US"/>
        </w:rPr>
        <w:t xml:space="preserve">for staff </w:t>
      </w:r>
      <w:r w:rsidR="003B4D60" w:rsidRPr="003C6427">
        <w:rPr>
          <w:rFonts w:ascii="Times New Roman" w:hAnsi="Times New Roman" w:cs="Times New Roman"/>
          <w:sz w:val="24"/>
          <w:szCs w:val="24"/>
          <w:lang w:val="en-US"/>
        </w:rPr>
        <w:t>who have roles</w:t>
      </w:r>
      <w:r w:rsidR="00D4790F" w:rsidRPr="003C6427">
        <w:rPr>
          <w:rFonts w:ascii="Times New Roman" w:hAnsi="Times New Roman" w:cs="Times New Roman"/>
          <w:sz w:val="24"/>
          <w:szCs w:val="24"/>
          <w:lang w:val="en-US"/>
        </w:rPr>
        <w:t xml:space="preserve"> that flow through to the end-user such as customer service,</w:t>
      </w:r>
      <w:r w:rsidR="003B4D60" w:rsidRPr="003C6427">
        <w:rPr>
          <w:rFonts w:ascii="Times New Roman" w:hAnsi="Times New Roman" w:cs="Times New Roman"/>
          <w:sz w:val="24"/>
          <w:szCs w:val="24"/>
          <w:lang w:val="en-US"/>
        </w:rPr>
        <w:t xml:space="preserve"> </w:t>
      </w:r>
      <w:r w:rsidR="00D4790F" w:rsidRPr="003C6427">
        <w:rPr>
          <w:rFonts w:ascii="Times New Roman" w:hAnsi="Times New Roman" w:cs="Times New Roman"/>
          <w:sz w:val="24"/>
          <w:szCs w:val="24"/>
          <w:lang w:val="en-US"/>
        </w:rPr>
        <w:t xml:space="preserve">marketing or product design. </w:t>
      </w:r>
      <w:r w:rsidR="00426769" w:rsidRPr="003C6427">
        <w:rPr>
          <w:rFonts w:ascii="Times New Roman" w:hAnsi="Times New Roman" w:cs="Times New Roman"/>
          <w:sz w:val="24"/>
          <w:szCs w:val="24"/>
          <w:lang w:val="en-US"/>
        </w:rPr>
        <w:t>Carriage service providers should be sensitive to the fact that the</w:t>
      </w:r>
      <w:r w:rsidR="009201A8" w:rsidRPr="003C6427">
        <w:rPr>
          <w:rFonts w:ascii="Times New Roman" w:hAnsi="Times New Roman" w:cs="Times New Roman"/>
          <w:sz w:val="24"/>
          <w:szCs w:val="24"/>
          <w:lang w:val="en-US"/>
        </w:rPr>
        <w:t>y</w:t>
      </w:r>
      <w:r w:rsidR="00426769" w:rsidRPr="003C6427">
        <w:rPr>
          <w:rFonts w:ascii="Times New Roman" w:hAnsi="Times New Roman" w:cs="Times New Roman"/>
          <w:sz w:val="24"/>
          <w:szCs w:val="24"/>
          <w:lang w:val="en-US"/>
        </w:rPr>
        <w:t xml:space="preserve"> may </w:t>
      </w:r>
      <w:r w:rsidR="009201A8" w:rsidRPr="003C6427">
        <w:rPr>
          <w:rFonts w:ascii="Times New Roman" w:hAnsi="Times New Roman" w:cs="Times New Roman"/>
          <w:sz w:val="24"/>
          <w:szCs w:val="24"/>
          <w:lang w:val="en-US"/>
        </w:rPr>
        <w:t>have</w:t>
      </w:r>
      <w:r w:rsidR="00426769" w:rsidRPr="003C6427">
        <w:rPr>
          <w:rFonts w:ascii="Times New Roman" w:hAnsi="Times New Roman" w:cs="Times New Roman"/>
          <w:sz w:val="24"/>
          <w:szCs w:val="24"/>
          <w:lang w:val="en-US"/>
        </w:rPr>
        <w:t xml:space="preserve"> staff who are victim-survivors</w:t>
      </w:r>
      <w:r w:rsidR="000270DE" w:rsidRPr="003C6427">
        <w:rPr>
          <w:rFonts w:ascii="Times New Roman" w:hAnsi="Times New Roman" w:cs="Times New Roman"/>
          <w:sz w:val="24"/>
          <w:szCs w:val="24"/>
          <w:lang w:val="en-US"/>
        </w:rPr>
        <w:t xml:space="preserve"> of domestic, family and sexual violence (victim-survivors)</w:t>
      </w:r>
      <w:r w:rsidR="00426769" w:rsidRPr="003C6427">
        <w:rPr>
          <w:rFonts w:ascii="Times New Roman" w:hAnsi="Times New Roman" w:cs="Times New Roman"/>
          <w:sz w:val="24"/>
          <w:szCs w:val="24"/>
          <w:lang w:val="en-US"/>
        </w:rPr>
        <w:t xml:space="preserve"> or alleged perpetrators</w:t>
      </w:r>
      <w:r w:rsidR="004378FA" w:rsidRPr="003C6427">
        <w:rPr>
          <w:rFonts w:ascii="Times New Roman" w:hAnsi="Times New Roman" w:cs="Times New Roman"/>
          <w:sz w:val="24"/>
          <w:szCs w:val="24"/>
          <w:lang w:val="en-US"/>
        </w:rPr>
        <w:t xml:space="preserve"> of domestic,</w:t>
      </w:r>
      <w:r w:rsidR="000270DE" w:rsidRPr="003C6427">
        <w:rPr>
          <w:rFonts w:ascii="Times New Roman" w:hAnsi="Times New Roman" w:cs="Times New Roman"/>
          <w:sz w:val="24"/>
          <w:szCs w:val="24"/>
          <w:lang w:val="en-US"/>
        </w:rPr>
        <w:t xml:space="preserve"> </w:t>
      </w:r>
      <w:r w:rsidR="004378FA" w:rsidRPr="003C6427">
        <w:rPr>
          <w:rFonts w:ascii="Times New Roman" w:hAnsi="Times New Roman" w:cs="Times New Roman"/>
          <w:sz w:val="24"/>
          <w:szCs w:val="24"/>
          <w:lang w:val="en-US"/>
        </w:rPr>
        <w:t>family and sexual violence (alleged perpetrators)</w:t>
      </w:r>
      <w:r w:rsidR="00426769" w:rsidRPr="003C6427">
        <w:rPr>
          <w:rFonts w:ascii="Times New Roman" w:hAnsi="Times New Roman" w:cs="Times New Roman"/>
          <w:sz w:val="24"/>
          <w:szCs w:val="24"/>
          <w:lang w:val="en-US"/>
        </w:rPr>
        <w:t xml:space="preserve">. </w:t>
      </w:r>
      <w:r w:rsidR="007746BF" w:rsidRPr="003C6427">
        <w:rPr>
          <w:rFonts w:ascii="Times New Roman" w:hAnsi="Times New Roman" w:cs="Times New Roman"/>
          <w:sz w:val="24"/>
          <w:szCs w:val="24"/>
          <w:lang w:val="en-US"/>
        </w:rPr>
        <w:t>It is intended that t</w:t>
      </w:r>
      <w:r w:rsidR="00296963" w:rsidRPr="003C6427">
        <w:rPr>
          <w:rFonts w:ascii="Times New Roman" w:hAnsi="Times New Roman" w:cs="Times New Roman"/>
          <w:sz w:val="24"/>
          <w:szCs w:val="24"/>
          <w:lang w:val="en-US"/>
        </w:rPr>
        <w:t>raining be</w:t>
      </w:r>
      <w:r w:rsidR="004E5C66" w:rsidRPr="003C6427">
        <w:rPr>
          <w:rFonts w:ascii="Times New Roman" w:hAnsi="Times New Roman" w:cs="Times New Roman"/>
          <w:sz w:val="24"/>
          <w:szCs w:val="24"/>
          <w:lang w:val="en-US"/>
        </w:rPr>
        <w:t xml:space="preserve"> informed by experts</w:t>
      </w:r>
      <w:r w:rsidR="00D4790F" w:rsidRPr="003C6427">
        <w:rPr>
          <w:rFonts w:ascii="Times New Roman" w:hAnsi="Times New Roman" w:cs="Times New Roman"/>
          <w:sz w:val="24"/>
          <w:szCs w:val="24"/>
          <w:lang w:val="en-US"/>
        </w:rPr>
        <w:t>, using a trauma-informed and safety focused approach,</w:t>
      </w:r>
      <w:r w:rsidR="004E5C66" w:rsidRPr="003C6427">
        <w:rPr>
          <w:rFonts w:ascii="Times New Roman" w:hAnsi="Times New Roman" w:cs="Times New Roman"/>
          <w:sz w:val="24"/>
          <w:szCs w:val="24"/>
          <w:lang w:val="en-US"/>
        </w:rPr>
        <w:t xml:space="preserve"> and</w:t>
      </w:r>
      <w:r w:rsidR="00296963" w:rsidRPr="003C6427">
        <w:rPr>
          <w:rFonts w:ascii="Times New Roman" w:hAnsi="Times New Roman" w:cs="Times New Roman"/>
          <w:sz w:val="24"/>
          <w:szCs w:val="24"/>
          <w:lang w:val="en-US"/>
        </w:rPr>
        <w:t xml:space="preserve"> </w:t>
      </w:r>
      <w:r w:rsidR="007746BF" w:rsidRPr="003C6427">
        <w:rPr>
          <w:rFonts w:ascii="Times New Roman" w:hAnsi="Times New Roman" w:cs="Times New Roman"/>
          <w:sz w:val="24"/>
          <w:szCs w:val="24"/>
          <w:lang w:val="en-US"/>
        </w:rPr>
        <w:t>done</w:t>
      </w:r>
      <w:r w:rsidR="00296963" w:rsidRPr="003C6427">
        <w:rPr>
          <w:rFonts w:ascii="Times New Roman" w:hAnsi="Times New Roman" w:cs="Times New Roman"/>
          <w:sz w:val="24"/>
          <w:szCs w:val="24"/>
          <w:lang w:val="en-US"/>
        </w:rPr>
        <w:t xml:space="preserve"> regularly to continue to build the capability of the workforce</w:t>
      </w:r>
      <w:r w:rsidR="00A62914" w:rsidRPr="003C6427">
        <w:rPr>
          <w:rFonts w:ascii="Times New Roman" w:hAnsi="Times New Roman" w:cs="Times New Roman"/>
          <w:sz w:val="24"/>
          <w:szCs w:val="24"/>
          <w:lang w:val="en-US"/>
        </w:rPr>
        <w:t xml:space="preserve"> and upskill staff as new information is learned about how best to support victim-survivors</w:t>
      </w:r>
      <w:r w:rsidR="00296963" w:rsidRPr="003C6427">
        <w:rPr>
          <w:rFonts w:ascii="Times New Roman" w:hAnsi="Times New Roman" w:cs="Times New Roman"/>
          <w:sz w:val="24"/>
          <w:szCs w:val="24"/>
          <w:lang w:val="en-US"/>
        </w:rPr>
        <w:t xml:space="preserve">. </w:t>
      </w:r>
    </w:p>
    <w:p w14:paraId="3418664F" w14:textId="77777777" w:rsidR="00421203" w:rsidRPr="003C6427" w:rsidRDefault="00421203" w:rsidP="003C6427">
      <w:pPr>
        <w:widowControl w:val="0"/>
        <w:spacing w:after="0" w:line="240" w:lineRule="auto"/>
        <w:rPr>
          <w:rFonts w:ascii="Times New Roman" w:hAnsi="Times New Roman" w:cs="Times New Roman"/>
          <w:sz w:val="24"/>
          <w:szCs w:val="24"/>
          <w:lang w:val="en-US"/>
        </w:rPr>
      </w:pPr>
    </w:p>
    <w:p w14:paraId="2719A750" w14:textId="00000CC1" w:rsidR="009A759A" w:rsidRPr="007477F9" w:rsidRDefault="00421203"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Additionally, paragraph 7(1)(c)</w:t>
      </w:r>
      <w:r w:rsidR="004378FA" w:rsidRPr="003C6427">
        <w:rPr>
          <w:rFonts w:ascii="Times New Roman" w:hAnsi="Times New Roman" w:cs="Times New Roman"/>
          <w:sz w:val="24"/>
          <w:szCs w:val="24"/>
          <w:lang w:val="en-US"/>
        </w:rPr>
        <w:t>(ii)</w:t>
      </w:r>
      <w:r w:rsidRPr="003C6427">
        <w:rPr>
          <w:rFonts w:ascii="Times New Roman" w:hAnsi="Times New Roman" w:cs="Times New Roman"/>
          <w:sz w:val="24"/>
          <w:szCs w:val="24"/>
          <w:lang w:val="en-US"/>
        </w:rPr>
        <w:t xml:space="preserve"> </w:t>
      </w:r>
      <w:r w:rsidR="00296963" w:rsidRPr="003C6427">
        <w:rPr>
          <w:rFonts w:ascii="Times New Roman" w:hAnsi="Times New Roman" w:cs="Times New Roman"/>
          <w:sz w:val="24"/>
          <w:szCs w:val="24"/>
          <w:lang w:val="en-US"/>
        </w:rPr>
        <w:t>extend</w:t>
      </w:r>
      <w:r w:rsidRPr="003C6427">
        <w:rPr>
          <w:rFonts w:ascii="Times New Roman" w:hAnsi="Times New Roman" w:cs="Times New Roman"/>
          <w:sz w:val="24"/>
          <w:szCs w:val="24"/>
          <w:lang w:val="en-US"/>
        </w:rPr>
        <w:t>s</w:t>
      </w:r>
      <w:r w:rsidR="00296963" w:rsidRPr="003C6427">
        <w:rPr>
          <w:rFonts w:ascii="Times New Roman" w:hAnsi="Times New Roman" w:cs="Times New Roman"/>
          <w:sz w:val="24"/>
          <w:szCs w:val="24"/>
          <w:lang w:val="en-US"/>
        </w:rPr>
        <w:t xml:space="preserve"> to </w:t>
      </w:r>
      <w:r w:rsidR="006467C1" w:rsidRPr="003C6427">
        <w:rPr>
          <w:rFonts w:ascii="Times New Roman" w:hAnsi="Times New Roman" w:cs="Times New Roman"/>
          <w:sz w:val="24"/>
          <w:szCs w:val="24"/>
          <w:lang w:val="en-US"/>
        </w:rPr>
        <w:t>educating staff on</w:t>
      </w:r>
      <w:r w:rsidR="00296963" w:rsidRPr="003C6427">
        <w:rPr>
          <w:rFonts w:ascii="Times New Roman" w:hAnsi="Times New Roman" w:cs="Times New Roman"/>
          <w:sz w:val="24"/>
          <w:szCs w:val="24"/>
          <w:lang w:val="en-US"/>
        </w:rPr>
        <w:t xml:space="preserve"> the specific needs</w:t>
      </w:r>
      <w:r w:rsidR="00A62914" w:rsidRPr="003C6427">
        <w:rPr>
          <w:rFonts w:ascii="Times New Roman" w:hAnsi="Times New Roman" w:cs="Times New Roman"/>
          <w:sz w:val="24"/>
          <w:szCs w:val="24"/>
          <w:lang w:val="en-US"/>
        </w:rPr>
        <w:t xml:space="preserve"> </w:t>
      </w:r>
      <w:r w:rsidR="00296963" w:rsidRPr="003C6427">
        <w:rPr>
          <w:rFonts w:ascii="Times New Roman" w:hAnsi="Times New Roman" w:cs="Times New Roman"/>
          <w:sz w:val="24"/>
          <w:szCs w:val="24"/>
          <w:lang w:val="en-US"/>
        </w:rPr>
        <w:t>of consumers belonging to groups who are</w:t>
      </w:r>
      <w:r w:rsidR="009201A8" w:rsidRPr="003C6427">
        <w:rPr>
          <w:rFonts w:ascii="Times New Roman" w:hAnsi="Times New Roman" w:cs="Times New Roman"/>
          <w:sz w:val="24"/>
          <w:szCs w:val="24"/>
          <w:lang w:val="en-US"/>
        </w:rPr>
        <w:t>, or may be,</w:t>
      </w:r>
      <w:r w:rsidR="00296963" w:rsidRPr="003C6427">
        <w:rPr>
          <w:rFonts w:ascii="Times New Roman" w:hAnsi="Times New Roman" w:cs="Times New Roman"/>
          <w:sz w:val="24"/>
          <w:szCs w:val="24"/>
          <w:lang w:val="en-US"/>
        </w:rPr>
        <w:t xml:space="preserve"> </w:t>
      </w:r>
      <w:r w:rsidR="005536CB" w:rsidRPr="003C6427">
        <w:rPr>
          <w:rFonts w:ascii="Times New Roman" w:hAnsi="Times New Roman" w:cs="Times New Roman"/>
          <w:sz w:val="24"/>
          <w:szCs w:val="24"/>
          <w:lang w:val="en-US"/>
        </w:rPr>
        <w:t>disproportionately</w:t>
      </w:r>
      <w:r w:rsidR="00296963" w:rsidRPr="003C6427">
        <w:rPr>
          <w:rFonts w:ascii="Times New Roman" w:hAnsi="Times New Roman" w:cs="Times New Roman"/>
          <w:sz w:val="24"/>
          <w:szCs w:val="24"/>
          <w:lang w:val="en-US"/>
        </w:rPr>
        <w:t xml:space="preserve"> affected by</w:t>
      </w:r>
      <w:r w:rsidR="002C3132">
        <w:rPr>
          <w:rFonts w:ascii="Times New Roman" w:hAnsi="Times New Roman" w:cs="Times New Roman"/>
          <w:sz w:val="24"/>
          <w:szCs w:val="24"/>
          <w:lang w:val="en-US"/>
        </w:rPr>
        <w:t xml:space="preserve"> </w:t>
      </w:r>
      <w:r w:rsidR="00296963" w:rsidRPr="007477F9">
        <w:rPr>
          <w:rFonts w:ascii="Times New Roman" w:hAnsi="Times New Roman" w:cs="Times New Roman"/>
          <w:sz w:val="24"/>
          <w:szCs w:val="24"/>
          <w:lang w:val="en-US"/>
        </w:rPr>
        <w:t>domestic</w:t>
      </w:r>
      <w:r w:rsidR="007477F9">
        <w:rPr>
          <w:rFonts w:ascii="Times New Roman" w:hAnsi="Times New Roman" w:cs="Times New Roman"/>
          <w:sz w:val="24"/>
          <w:szCs w:val="24"/>
          <w:lang w:val="en-US"/>
        </w:rPr>
        <w:t xml:space="preserve"> and</w:t>
      </w:r>
      <w:r w:rsidR="00296963" w:rsidRPr="007477F9">
        <w:rPr>
          <w:rFonts w:ascii="Times New Roman" w:hAnsi="Times New Roman" w:cs="Times New Roman"/>
          <w:sz w:val="24"/>
          <w:szCs w:val="24"/>
          <w:lang w:val="en-US"/>
        </w:rPr>
        <w:t xml:space="preserve"> family</w:t>
      </w:r>
      <w:r w:rsidR="007477F9">
        <w:rPr>
          <w:rFonts w:ascii="Times New Roman" w:hAnsi="Times New Roman" w:cs="Times New Roman"/>
          <w:sz w:val="24"/>
          <w:szCs w:val="24"/>
          <w:lang w:val="en-US"/>
        </w:rPr>
        <w:t xml:space="preserve"> violence,</w:t>
      </w:r>
      <w:r w:rsidR="00296963" w:rsidRPr="007477F9">
        <w:rPr>
          <w:rFonts w:ascii="Times New Roman" w:hAnsi="Times New Roman" w:cs="Times New Roman"/>
          <w:sz w:val="24"/>
          <w:szCs w:val="24"/>
          <w:lang w:val="en-US"/>
        </w:rPr>
        <w:t xml:space="preserve"> and</w:t>
      </w:r>
      <w:r w:rsidR="007477F9">
        <w:rPr>
          <w:rFonts w:ascii="Times New Roman" w:hAnsi="Times New Roman" w:cs="Times New Roman"/>
          <w:sz w:val="24"/>
          <w:szCs w:val="24"/>
          <w:lang w:val="en-US"/>
        </w:rPr>
        <w:t xml:space="preserve"> where relevant,</w:t>
      </w:r>
      <w:r w:rsidR="00296963" w:rsidRPr="007477F9">
        <w:rPr>
          <w:rFonts w:ascii="Times New Roman" w:hAnsi="Times New Roman" w:cs="Times New Roman"/>
          <w:sz w:val="24"/>
          <w:szCs w:val="24"/>
          <w:lang w:val="en-US"/>
        </w:rPr>
        <w:t xml:space="preserve"> sexual violence</w:t>
      </w:r>
      <w:r w:rsidR="00A62914" w:rsidRPr="007477F9">
        <w:rPr>
          <w:rFonts w:ascii="Times New Roman" w:hAnsi="Times New Roman" w:cs="Times New Roman"/>
          <w:sz w:val="24"/>
          <w:szCs w:val="24"/>
          <w:lang w:val="en-US"/>
        </w:rPr>
        <w:t xml:space="preserve">, such as </w:t>
      </w:r>
      <w:r w:rsidR="007477F9">
        <w:rPr>
          <w:rFonts w:ascii="Times New Roman" w:hAnsi="Times New Roman" w:cs="Times New Roman"/>
          <w:sz w:val="24"/>
          <w:szCs w:val="24"/>
          <w:lang w:val="en-US"/>
        </w:rPr>
        <w:t>persons with</w:t>
      </w:r>
      <w:r w:rsidR="00A62914" w:rsidRPr="007477F9">
        <w:rPr>
          <w:rFonts w:ascii="Times New Roman" w:hAnsi="Times New Roman" w:cs="Times New Roman"/>
          <w:sz w:val="24"/>
          <w:szCs w:val="24"/>
          <w:lang w:val="en-US"/>
        </w:rPr>
        <w:t xml:space="preserve"> disabilit</w:t>
      </w:r>
      <w:r w:rsidR="007477F9">
        <w:rPr>
          <w:rFonts w:ascii="Times New Roman" w:hAnsi="Times New Roman" w:cs="Times New Roman"/>
          <w:sz w:val="24"/>
          <w:szCs w:val="24"/>
          <w:lang w:val="en-US"/>
        </w:rPr>
        <w:t>ies</w:t>
      </w:r>
      <w:r w:rsidR="00A62914" w:rsidRPr="007477F9">
        <w:rPr>
          <w:rFonts w:ascii="Times New Roman" w:hAnsi="Times New Roman" w:cs="Times New Roman"/>
          <w:sz w:val="24"/>
          <w:szCs w:val="24"/>
          <w:lang w:val="en-US"/>
        </w:rPr>
        <w:t xml:space="preserve">, First Nations people, people from culturally and linguistically diverse backgrounds and </w:t>
      </w:r>
      <w:r w:rsidR="00BD61D1" w:rsidRPr="007477F9">
        <w:rPr>
          <w:rFonts w:ascii="Times New Roman" w:hAnsi="Times New Roman" w:cs="Times New Roman"/>
          <w:sz w:val="24"/>
          <w:szCs w:val="24"/>
          <w:lang w:val="en-US"/>
        </w:rPr>
        <w:lastRenderedPageBreak/>
        <w:t xml:space="preserve">people who identify as </w:t>
      </w:r>
      <w:r w:rsidR="00A62914" w:rsidRPr="007477F9">
        <w:rPr>
          <w:rFonts w:ascii="Times New Roman" w:hAnsi="Times New Roman" w:cs="Times New Roman"/>
          <w:sz w:val="24"/>
          <w:szCs w:val="24"/>
          <w:lang w:val="en-US"/>
        </w:rPr>
        <w:t>LGBTQIA+</w:t>
      </w:r>
      <w:r w:rsidR="003B4D60" w:rsidRPr="007477F9">
        <w:rPr>
          <w:rFonts w:ascii="Times New Roman" w:hAnsi="Times New Roman" w:cs="Times New Roman"/>
          <w:sz w:val="24"/>
          <w:szCs w:val="24"/>
          <w:lang w:val="en-US"/>
        </w:rPr>
        <w:t>.</w:t>
      </w:r>
    </w:p>
    <w:p w14:paraId="1E346DE6"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5C68CF1E" w14:textId="394D450A" w:rsidR="009A759A" w:rsidRPr="00411DEB"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7(1)(d)</w:t>
      </w:r>
      <w:r w:rsidR="00421203" w:rsidRPr="003C6427">
        <w:rPr>
          <w:rFonts w:ascii="Times New Roman" w:hAnsi="Times New Roman" w:cs="Times New Roman"/>
          <w:sz w:val="24"/>
          <w:szCs w:val="24"/>
          <w:lang w:val="en-US"/>
        </w:rPr>
        <w:t xml:space="preserve"> </w:t>
      </w:r>
      <w:r w:rsidR="00BD61D1" w:rsidRPr="003C6427">
        <w:rPr>
          <w:rFonts w:ascii="Times New Roman" w:hAnsi="Times New Roman" w:cs="Times New Roman"/>
          <w:sz w:val="24"/>
          <w:szCs w:val="24"/>
          <w:lang w:val="en-US"/>
        </w:rPr>
        <w:t xml:space="preserve">provides </w:t>
      </w:r>
      <w:r w:rsidR="00421203" w:rsidRPr="003C6427">
        <w:rPr>
          <w:rFonts w:ascii="Times New Roman" w:hAnsi="Times New Roman" w:cs="Times New Roman"/>
          <w:sz w:val="24"/>
          <w:szCs w:val="24"/>
          <w:lang w:val="en-US"/>
        </w:rPr>
        <w:t xml:space="preserve">that staff of carriage service providers </w:t>
      </w:r>
      <w:r w:rsidR="00BD61D1" w:rsidRPr="003C6427">
        <w:rPr>
          <w:rFonts w:ascii="Times New Roman" w:hAnsi="Times New Roman" w:cs="Times New Roman"/>
          <w:sz w:val="24"/>
          <w:szCs w:val="24"/>
          <w:lang w:val="en-US"/>
        </w:rPr>
        <w:t xml:space="preserve">should be </w:t>
      </w:r>
      <w:r w:rsidR="00421203" w:rsidRPr="003C6427">
        <w:rPr>
          <w:rFonts w:ascii="Times New Roman" w:hAnsi="Times New Roman" w:cs="Times New Roman"/>
          <w:sz w:val="24"/>
          <w:szCs w:val="24"/>
          <w:lang w:val="en-US"/>
        </w:rPr>
        <w:t>appropriately supported in their work in relation to domestic, family and sexual violence</w:t>
      </w:r>
      <w:r w:rsidR="00BD61D1" w:rsidRPr="003C6427">
        <w:rPr>
          <w:rFonts w:ascii="Times New Roman" w:hAnsi="Times New Roman" w:cs="Times New Roman"/>
          <w:sz w:val="24"/>
          <w:szCs w:val="24"/>
          <w:lang w:val="en-US"/>
        </w:rPr>
        <w:t>,</w:t>
      </w:r>
      <w:r w:rsidR="00421203" w:rsidRPr="003C6427">
        <w:rPr>
          <w:rFonts w:ascii="Times New Roman" w:hAnsi="Times New Roman" w:cs="Times New Roman"/>
          <w:sz w:val="24"/>
          <w:szCs w:val="24"/>
          <w:lang w:val="en-US"/>
        </w:rPr>
        <w:t xml:space="preserve"> due to the possibility of</w:t>
      </w:r>
      <w:r w:rsidR="00411DEB">
        <w:rPr>
          <w:rFonts w:ascii="Times New Roman" w:hAnsi="Times New Roman" w:cs="Times New Roman"/>
          <w:sz w:val="24"/>
          <w:szCs w:val="24"/>
          <w:lang w:val="en-US"/>
        </w:rPr>
        <w:t>, for example,</w:t>
      </w:r>
      <w:r w:rsidR="00421203" w:rsidRPr="00411DEB">
        <w:rPr>
          <w:rFonts w:ascii="Times New Roman" w:hAnsi="Times New Roman" w:cs="Times New Roman"/>
          <w:sz w:val="24"/>
          <w:szCs w:val="24"/>
          <w:lang w:val="en-US"/>
        </w:rPr>
        <w:t xml:space="preserve"> staff experiencing vicarious trauma. Supporting staff will allow them to appropriately support affected consumers.  </w:t>
      </w:r>
    </w:p>
    <w:p w14:paraId="3BDEA570"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6F4CFA3B" w14:textId="24121DE9" w:rsidR="008E7BDA"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7(1)(e)</w:t>
      </w:r>
      <w:r w:rsidR="00421203" w:rsidRPr="003C6427">
        <w:rPr>
          <w:rFonts w:ascii="Times New Roman" w:hAnsi="Times New Roman" w:cs="Times New Roman"/>
          <w:sz w:val="24"/>
          <w:szCs w:val="24"/>
          <w:lang w:val="en-US"/>
        </w:rPr>
        <w:t xml:space="preserve"> provides that carriage service providers </w:t>
      </w:r>
      <w:r w:rsidR="00150979" w:rsidRPr="003C6427">
        <w:rPr>
          <w:rFonts w:ascii="Times New Roman" w:hAnsi="Times New Roman" w:cs="Times New Roman"/>
          <w:sz w:val="24"/>
          <w:szCs w:val="24"/>
          <w:lang w:val="en-US"/>
        </w:rPr>
        <w:t xml:space="preserve">offer </w:t>
      </w:r>
      <w:r w:rsidR="00421203" w:rsidRPr="003C6427">
        <w:rPr>
          <w:rFonts w:ascii="Times New Roman" w:hAnsi="Times New Roman" w:cs="Times New Roman"/>
          <w:sz w:val="24"/>
          <w:szCs w:val="24"/>
          <w:lang w:val="en-US"/>
        </w:rPr>
        <w:t>prompt, sufficient</w:t>
      </w:r>
      <w:r w:rsidR="003746DD" w:rsidRPr="003C6427">
        <w:rPr>
          <w:rFonts w:ascii="Times New Roman" w:hAnsi="Times New Roman" w:cs="Times New Roman"/>
          <w:sz w:val="24"/>
          <w:szCs w:val="24"/>
          <w:lang w:val="en-US"/>
        </w:rPr>
        <w:t xml:space="preserve"> and</w:t>
      </w:r>
      <w:r w:rsidR="001B6B85" w:rsidRPr="003C6427">
        <w:rPr>
          <w:rFonts w:ascii="Times New Roman" w:hAnsi="Times New Roman" w:cs="Times New Roman"/>
          <w:sz w:val="24"/>
          <w:szCs w:val="24"/>
          <w:lang w:val="en-US"/>
        </w:rPr>
        <w:t xml:space="preserve"> </w:t>
      </w:r>
      <w:r w:rsidR="00421203" w:rsidRPr="003C6427">
        <w:rPr>
          <w:rFonts w:ascii="Times New Roman" w:hAnsi="Times New Roman" w:cs="Times New Roman"/>
          <w:sz w:val="24"/>
          <w:szCs w:val="24"/>
          <w:lang w:val="en-US"/>
        </w:rPr>
        <w:t>appropriate</w:t>
      </w:r>
      <w:r w:rsidR="00150979" w:rsidRPr="003C6427">
        <w:rPr>
          <w:rFonts w:ascii="Times New Roman" w:hAnsi="Times New Roman" w:cs="Times New Roman"/>
          <w:sz w:val="24"/>
          <w:szCs w:val="24"/>
          <w:lang w:val="en-US"/>
        </w:rPr>
        <w:t xml:space="preserve"> assistance that is</w:t>
      </w:r>
      <w:r w:rsidR="001B6B85" w:rsidRPr="003C6427">
        <w:rPr>
          <w:rFonts w:ascii="Times New Roman" w:hAnsi="Times New Roman" w:cs="Times New Roman"/>
          <w:sz w:val="24"/>
          <w:szCs w:val="24"/>
          <w:lang w:val="en-US"/>
        </w:rPr>
        <w:t xml:space="preserve"> tailored</w:t>
      </w:r>
      <w:r w:rsidR="00421203" w:rsidRPr="003C6427">
        <w:rPr>
          <w:rFonts w:ascii="Times New Roman" w:hAnsi="Times New Roman" w:cs="Times New Roman"/>
          <w:sz w:val="24"/>
          <w:szCs w:val="24"/>
          <w:lang w:val="en-US"/>
        </w:rPr>
        <w:t xml:space="preserve"> to the </w:t>
      </w:r>
      <w:r w:rsidR="005536CB" w:rsidRPr="003C6427">
        <w:rPr>
          <w:rFonts w:ascii="Times New Roman" w:hAnsi="Times New Roman" w:cs="Times New Roman"/>
          <w:sz w:val="24"/>
          <w:szCs w:val="24"/>
          <w:lang w:val="en-US"/>
        </w:rPr>
        <w:t>individual</w:t>
      </w:r>
      <w:r w:rsidR="00421203" w:rsidRPr="003C6427">
        <w:rPr>
          <w:rFonts w:ascii="Times New Roman" w:hAnsi="Times New Roman" w:cs="Times New Roman"/>
          <w:sz w:val="24"/>
          <w:szCs w:val="24"/>
          <w:lang w:val="en-US"/>
        </w:rPr>
        <w:t xml:space="preserve"> needs</w:t>
      </w:r>
      <w:r w:rsidR="001B6B85" w:rsidRPr="003C6427">
        <w:rPr>
          <w:rFonts w:ascii="Times New Roman" w:hAnsi="Times New Roman" w:cs="Times New Roman"/>
          <w:sz w:val="24"/>
          <w:szCs w:val="24"/>
          <w:lang w:val="en-US"/>
        </w:rPr>
        <w:t xml:space="preserve"> and preferences</w:t>
      </w:r>
      <w:r w:rsidR="00BD61D1" w:rsidRPr="003C6427">
        <w:rPr>
          <w:rFonts w:ascii="Times New Roman" w:hAnsi="Times New Roman" w:cs="Times New Roman"/>
          <w:sz w:val="24"/>
          <w:szCs w:val="24"/>
          <w:lang w:val="en-US"/>
        </w:rPr>
        <w:t xml:space="preserve"> of relevant consumers who are, or may be, affected by domestic and family violence, and where relevant, sexual </w:t>
      </w:r>
      <w:r w:rsidR="00150979" w:rsidRPr="003C6427">
        <w:rPr>
          <w:rFonts w:ascii="Times New Roman" w:hAnsi="Times New Roman" w:cs="Times New Roman"/>
          <w:sz w:val="24"/>
          <w:szCs w:val="24"/>
          <w:lang w:val="en-US"/>
        </w:rPr>
        <w:t>violence. This includes to assist them</w:t>
      </w:r>
      <w:r w:rsidR="003746DD" w:rsidRPr="003C6427">
        <w:rPr>
          <w:rFonts w:ascii="Times New Roman" w:hAnsi="Times New Roman" w:cs="Times New Roman"/>
          <w:sz w:val="24"/>
          <w:szCs w:val="24"/>
          <w:lang w:val="en-US"/>
        </w:rPr>
        <w:t xml:space="preserve"> to</w:t>
      </w:r>
      <w:r w:rsidR="008E7BDA" w:rsidRPr="003C6427">
        <w:rPr>
          <w:rFonts w:ascii="Times New Roman" w:hAnsi="Times New Roman" w:cs="Times New Roman"/>
          <w:sz w:val="24"/>
          <w:szCs w:val="24"/>
          <w:lang w:val="en-US"/>
        </w:rPr>
        <w:t>:</w:t>
      </w:r>
    </w:p>
    <w:p w14:paraId="27E3C22F" w14:textId="29F89860" w:rsidR="008E7BDA" w:rsidRPr="003C6427" w:rsidRDefault="00150979" w:rsidP="003C6427">
      <w:pPr>
        <w:pStyle w:val="ListParagraph"/>
        <w:widowControl w:val="0"/>
        <w:numPr>
          <w:ilvl w:val="0"/>
          <w:numId w:val="16"/>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stay safe (s 7(1)(e)(i))</w:t>
      </w:r>
      <w:r w:rsidR="008E7BDA" w:rsidRPr="003C6427">
        <w:rPr>
          <w:rFonts w:ascii="Times New Roman" w:hAnsi="Times New Roman" w:cs="Times New Roman"/>
          <w:sz w:val="24"/>
          <w:szCs w:val="24"/>
          <w:lang w:val="en-US"/>
        </w:rPr>
        <w:t>; and</w:t>
      </w:r>
    </w:p>
    <w:p w14:paraId="7CE35ED0" w14:textId="13810657" w:rsidR="008E7BDA" w:rsidRPr="003C6427" w:rsidRDefault="00150979" w:rsidP="003C6427">
      <w:pPr>
        <w:pStyle w:val="ListParagraph"/>
        <w:widowControl w:val="0"/>
        <w:numPr>
          <w:ilvl w:val="0"/>
          <w:numId w:val="16"/>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stay connected to </w:t>
      </w:r>
      <w:r w:rsidRPr="003C6427">
        <w:rPr>
          <w:rFonts w:ascii="Times New Roman" w:hAnsi="Times New Roman" w:cs="Times New Roman"/>
          <w:sz w:val="24"/>
          <w:szCs w:val="24"/>
        </w:rPr>
        <w:t xml:space="preserve">or be reconnected to appropriate services being provided by the carriage service provider (s </w:t>
      </w:r>
      <w:r w:rsidRPr="003C6427">
        <w:rPr>
          <w:rFonts w:ascii="Times New Roman" w:hAnsi="Times New Roman" w:cs="Times New Roman"/>
          <w:sz w:val="24"/>
          <w:szCs w:val="24"/>
          <w:lang w:val="en-US"/>
        </w:rPr>
        <w:t>7(1)(e)(ii))</w:t>
      </w:r>
      <w:r w:rsidR="008E7BDA" w:rsidRPr="003C6427">
        <w:rPr>
          <w:rFonts w:ascii="Times New Roman" w:hAnsi="Times New Roman" w:cs="Times New Roman"/>
          <w:sz w:val="24"/>
          <w:szCs w:val="24"/>
          <w:lang w:val="en-US"/>
        </w:rPr>
        <w:t xml:space="preserve">; and </w:t>
      </w:r>
    </w:p>
    <w:p w14:paraId="57DCE336" w14:textId="66123428" w:rsidR="008E7BDA" w:rsidRPr="003C6427" w:rsidRDefault="008E7BDA" w:rsidP="003C6427">
      <w:pPr>
        <w:pStyle w:val="ListParagraph"/>
        <w:widowControl w:val="0"/>
        <w:numPr>
          <w:ilvl w:val="0"/>
          <w:numId w:val="16"/>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minimise the ongoing impact of domestic and</w:t>
      </w:r>
      <w:r w:rsidR="000270DE" w:rsidRPr="003C6427">
        <w:rPr>
          <w:rFonts w:ascii="Times New Roman" w:hAnsi="Times New Roman" w:cs="Times New Roman"/>
          <w:sz w:val="24"/>
          <w:szCs w:val="24"/>
          <w:lang w:val="en-US"/>
        </w:rPr>
        <w:t xml:space="preserve"> </w:t>
      </w:r>
      <w:r w:rsidRPr="003C6427">
        <w:rPr>
          <w:rFonts w:ascii="Times New Roman" w:hAnsi="Times New Roman" w:cs="Times New Roman"/>
          <w:sz w:val="24"/>
          <w:szCs w:val="24"/>
          <w:lang w:val="en-US"/>
        </w:rPr>
        <w:t>family violence</w:t>
      </w:r>
      <w:r w:rsidR="000270DE" w:rsidRPr="003C6427">
        <w:rPr>
          <w:rFonts w:ascii="Times New Roman" w:hAnsi="Times New Roman" w:cs="Times New Roman"/>
          <w:sz w:val="24"/>
          <w:szCs w:val="24"/>
          <w:lang w:val="en-US"/>
        </w:rPr>
        <w:t>,</w:t>
      </w:r>
      <w:r w:rsidRPr="003C6427">
        <w:rPr>
          <w:rFonts w:ascii="Times New Roman" w:hAnsi="Times New Roman" w:cs="Times New Roman"/>
          <w:sz w:val="24"/>
          <w:szCs w:val="24"/>
          <w:lang w:val="en-US"/>
        </w:rPr>
        <w:t xml:space="preserve"> and</w:t>
      </w:r>
      <w:r w:rsidR="000270DE" w:rsidRPr="003C6427">
        <w:rPr>
          <w:rFonts w:ascii="Times New Roman" w:hAnsi="Times New Roman" w:cs="Times New Roman"/>
          <w:sz w:val="24"/>
          <w:szCs w:val="24"/>
          <w:lang w:val="en-US"/>
        </w:rPr>
        <w:t xml:space="preserve"> where relevant,</w:t>
      </w:r>
      <w:r w:rsidRPr="003C6427">
        <w:rPr>
          <w:rFonts w:ascii="Times New Roman" w:hAnsi="Times New Roman" w:cs="Times New Roman"/>
          <w:sz w:val="24"/>
          <w:szCs w:val="24"/>
          <w:lang w:val="en-US"/>
        </w:rPr>
        <w:t xml:space="preserve"> sexual violence </w:t>
      </w:r>
      <w:r w:rsidRPr="003C6427">
        <w:rPr>
          <w:rFonts w:ascii="Times New Roman" w:hAnsi="Times New Roman" w:cs="Times New Roman"/>
          <w:sz w:val="24"/>
          <w:szCs w:val="24"/>
        </w:rPr>
        <w:t xml:space="preserve">(s </w:t>
      </w:r>
      <w:r w:rsidRPr="003C6427">
        <w:rPr>
          <w:rFonts w:ascii="Times New Roman" w:hAnsi="Times New Roman" w:cs="Times New Roman"/>
          <w:sz w:val="24"/>
          <w:szCs w:val="24"/>
          <w:lang w:val="en-US"/>
        </w:rPr>
        <w:t>7(1)(e)(iii))</w:t>
      </w:r>
      <w:r w:rsidR="00832E14" w:rsidRPr="003C6427">
        <w:rPr>
          <w:rFonts w:ascii="Times New Roman" w:hAnsi="Times New Roman" w:cs="Times New Roman"/>
          <w:sz w:val="24"/>
          <w:szCs w:val="24"/>
          <w:lang w:val="en-US"/>
        </w:rPr>
        <w:t>.</w:t>
      </w:r>
    </w:p>
    <w:p w14:paraId="73FD3E6B" w14:textId="77777777" w:rsidR="00001A25" w:rsidRPr="003C6427" w:rsidRDefault="00001A25" w:rsidP="00087A4D">
      <w:pPr>
        <w:widowControl w:val="0"/>
        <w:spacing w:after="0" w:line="240" w:lineRule="auto"/>
        <w:rPr>
          <w:rFonts w:ascii="Times New Roman" w:hAnsi="Times New Roman" w:cs="Times New Roman"/>
          <w:sz w:val="24"/>
          <w:szCs w:val="24"/>
          <w:lang w:val="en-US"/>
        </w:rPr>
      </w:pPr>
    </w:p>
    <w:p w14:paraId="677D96F9" w14:textId="1457E2D4" w:rsidR="004A7A30" w:rsidRPr="003C6427" w:rsidRDefault="001B6B85"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It is intended that</w:t>
      </w:r>
      <w:r w:rsidR="00421203" w:rsidRPr="003C6427">
        <w:rPr>
          <w:rFonts w:ascii="Times New Roman" w:hAnsi="Times New Roman" w:cs="Times New Roman"/>
          <w:sz w:val="24"/>
          <w:szCs w:val="24"/>
          <w:lang w:val="en-US"/>
        </w:rPr>
        <w:t xml:space="preserve"> </w:t>
      </w:r>
      <w:r w:rsidRPr="003C6427">
        <w:rPr>
          <w:rFonts w:ascii="Times New Roman" w:hAnsi="Times New Roman" w:cs="Times New Roman"/>
          <w:sz w:val="24"/>
          <w:szCs w:val="24"/>
          <w:lang w:val="en-US"/>
        </w:rPr>
        <w:t>t</w:t>
      </w:r>
      <w:r w:rsidR="00D46C42" w:rsidRPr="003C6427">
        <w:rPr>
          <w:rFonts w:ascii="Times New Roman" w:hAnsi="Times New Roman" w:cs="Times New Roman"/>
          <w:sz w:val="24"/>
          <w:szCs w:val="24"/>
          <w:lang w:val="en-US"/>
        </w:rPr>
        <w:t xml:space="preserve">he type of assistance required should be </w:t>
      </w:r>
      <w:r w:rsidR="00801B52" w:rsidRPr="003C6427">
        <w:rPr>
          <w:rFonts w:ascii="Times New Roman" w:hAnsi="Times New Roman" w:cs="Times New Roman"/>
          <w:sz w:val="24"/>
          <w:szCs w:val="24"/>
          <w:lang w:val="en-US"/>
        </w:rPr>
        <w:t>guided</w:t>
      </w:r>
      <w:r w:rsidR="00D46C42" w:rsidRPr="003C6427">
        <w:rPr>
          <w:rFonts w:ascii="Times New Roman" w:hAnsi="Times New Roman" w:cs="Times New Roman"/>
          <w:sz w:val="24"/>
          <w:szCs w:val="24"/>
          <w:lang w:val="en-US"/>
        </w:rPr>
        <w:t xml:space="preserve"> by the</w:t>
      </w:r>
      <w:r w:rsidR="008E7BDA" w:rsidRPr="003C6427">
        <w:rPr>
          <w:rFonts w:ascii="Times New Roman" w:hAnsi="Times New Roman" w:cs="Times New Roman"/>
          <w:sz w:val="24"/>
          <w:szCs w:val="24"/>
          <w:lang w:val="en-US"/>
        </w:rPr>
        <w:t xml:space="preserve"> needs and preferences of the individual </w:t>
      </w:r>
      <w:r w:rsidR="00D46C42" w:rsidRPr="003C6427">
        <w:rPr>
          <w:rFonts w:ascii="Times New Roman" w:hAnsi="Times New Roman" w:cs="Times New Roman"/>
          <w:sz w:val="24"/>
          <w:szCs w:val="24"/>
          <w:lang w:val="en-US"/>
        </w:rPr>
        <w:t>consumer to</w:t>
      </w:r>
      <w:r w:rsidR="00801B52" w:rsidRPr="003C6427">
        <w:rPr>
          <w:rFonts w:ascii="Times New Roman" w:hAnsi="Times New Roman" w:cs="Times New Roman"/>
          <w:sz w:val="24"/>
          <w:szCs w:val="24"/>
          <w:lang w:val="en-US"/>
        </w:rPr>
        <w:t xml:space="preserve"> empower</w:t>
      </w:r>
      <w:r w:rsidR="00D46C42" w:rsidRPr="003C6427">
        <w:rPr>
          <w:rFonts w:ascii="Times New Roman" w:hAnsi="Times New Roman" w:cs="Times New Roman"/>
          <w:sz w:val="24"/>
          <w:szCs w:val="24"/>
          <w:lang w:val="en-US"/>
        </w:rPr>
        <w:t xml:space="preserve"> them</w:t>
      </w:r>
      <w:r w:rsidR="006A1E75" w:rsidRPr="003C6427">
        <w:rPr>
          <w:rFonts w:ascii="Times New Roman" w:hAnsi="Times New Roman" w:cs="Times New Roman"/>
          <w:sz w:val="24"/>
          <w:szCs w:val="24"/>
          <w:lang w:val="en-US"/>
        </w:rPr>
        <w:t xml:space="preserve"> to have choice</w:t>
      </w:r>
      <w:r w:rsidRPr="003C6427">
        <w:rPr>
          <w:rFonts w:ascii="Times New Roman" w:hAnsi="Times New Roman" w:cs="Times New Roman"/>
          <w:sz w:val="24"/>
          <w:szCs w:val="24"/>
          <w:lang w:val="en-US"/>
        </w:rPr>
        <w:t>s</w:t>
      </w:r>
      <w:r w:rsidR="006A1E75" w:rsidRPr="003C6427">
        <w:rPr>
          <w:rFonts w:ascii="Times New Roman" w:hAnsi="Times New Roman" w:cs="Times New Roman"/>
          <w:sz w:val="24"/>
          <w:szCs w:val="24"/>
          <w:lang w:val="en-US"/>
        </w:rPr>
        <w:t xml:space="preserve"> in the way they</w:t>
      </w:r>
      <w:r w:rsidR="00D46C42" w:rsidRPr="003C6427">
        <w:rPr>
          <w:rFonts w:ascii="Times New Roman" w:hAnsi="Times New Roman" w:cs="Times New Roman"/>
          <w:sz w:val="24"/>
          <w:szCs w:val="24"/>
          <w:lang w:val="en-US"/>
        </w:rPr>
        <w:t xml:space="preserve"> stay safe, stay connected or be reconnected to appropriate services</w:t>
      </w:r>
      <w:r w:rsidR="007746BF" w:rsidRPr="003C6427">
        <w:rPr>
          <w:rFonts w:ascii="Times New Roman" w:hAnsi="Times New Roman" w:cs="Times New Roman"/>
          <w:sz w:val="24"/>
          <w:szCs w:val="24"/>
          <w:lang w:val="en-US"/>
        </w:rPr>
        <w:t>,</w:t>
      </w:r>
      <w:r w:rsidR="00D46C42" w:rsidRPr="003C6427">
        <w:rPr>
          <w:rFonts w:ascii="Times New Roman" w:hAnsi="Times New Roman" w:cs="Times New Roman"/>
          <w:sz w:val="24"/>
          <w:szCs w:val="24"/>
          <w:lang w:val="en-US"/>
        </w:rPr>
        <w:t xml:space="preserve"> and to minimis</w:t>
      </w:r>
      <w:r w:rsidR="007746BF" w:rsidRPr="003C6427">
        <w:rPr>
          <w:rFonts w:ascii="Times New Roman" w:hAnsi="Times New Roman" w:cs="Times New Roman"/>
          <w:sz w:val="24"/>
          <w:szCs w:val="24"/>
          <w:lang w:val="en-US"/>
        </w:rPr>
        <w:t>e</w:t>
      </w:r>
      <w:r w:rsidR="00D46C42" w:rsidRPr="003C6427">
        <w:rPr>
          <w:rFonts w:ascii="Times New Roman" w:hAnsi="Times New Roman" w:cs="Times New Roman"/>
          <w:sz w:val="24"/>
          <w:szCs w:val="24"/>
          <w:lang w:val="en-US"/>
        </w:rPr>
        <w:t xml:space="preserve"> the ongoing impact of domestic</w:t>
      </w:r>
      <w:r w:rsidR="000270DE" w:rsidRPr="003C6427">
        <w:rPr>
          <w:rFonts w:ascii="Times New Roman" w:hAnsi="Times New Roman" w:cs="Times New Roman"/>
          <w:sz w:val="24"/>
          <w:szCs w:val="24"/>
          <w:lang w:val="en-US"/>
        </w:rPr>
        <w:t xml:space="preserve"> and</w:t>
      </w:r>
      <w:r w:rsidR="00D46C42" w:rsidRPr="003C6427">
        <w:rPr>
          <w:rFonts w:ascii="Times New Roman" w:hAnsi="Times New Roman" w:cs="Times New Roman"/>
          <w:sz w:val="24"/>
          <w:szCs w:val="24"/>
          <w:lang w:val="en-US"/>
        </w:rPr>
        <w:t xml:space="preserve"> family</w:t>
      </w:r>
      <w:r w:rsidR="000270DE" w:rsidRPr="003C6427">
        <w:rPr>
          <w:rFonts w:ascii="Times New Roman" w:hAnsi="Times New Roman" w:cs="Times New Roman"/>
          <w:sz w:val="24"/>
          <w:szCs w:val="24"/>
          <w:lang w:val="en-US"/>
        </w:rPr>
        <w:t xml:space="preserve"> violence, </w:t>
      </w:r>
      <w:r w:rsidR="00D46C42" w:rsidRPr="003C6427">
        <w:rPr>
          <w:rFonts w:ascii="Times New Roman" w:hAnsi="Times New Roman" w:cs="Times New Roman"/>
          <w:sz w:val="24"/>
          <w:szCs w:val="24"/>
          <w:lang w:val="en-US"/>
        </w:rPr>
        <w:t>and</w:t>
      </w:r>
      <w:r w:rsidR="000270DE" w:rsidRPr="003C6427">
        <w:rPr>
          <w:rFonts w:ascii="Times New Roman" w:hAnsi="Times New Roman" w:cs="Times New Roman"/>
          <w:sz w:val="24"/>
          <w:szCs w:val="24"/>
          <w:lang w:val="en-US"/>
        </w:rPr>
        <w:t xml:space="preserve"> where relevant,</w:t>
      </w:r>
      <w:r w:rsidR="00D46C42" w:rsidRPr="003C6427">
        <w:rPr>
          <w:rFonts w:ascii="Times New Roman" w:hAnsi="Times New Roman" w:cs="Times New Roman"/>
          <w:sz w:val="24"/>
          <w:szCs w:val="24"/>
          <w:lang w:val="en-US"/>
        </w:rPr>
        <w:t xml:space="preserve"> sexual violence. </w:t>
      </w:r>
      <w:r w:rsidR="004A7A30" w:rsidRPr="003C6427">
        <w:rPr>
          <w:rFonts w:ascii="Times New Roman" w:hAnsi="Times New Roman" w:cs="Times New Roman"/>
          <w:sz w:val="24"/>
          <w:szCs w:val="24"/>
          <w:lang w:val="en-US"/>
        </w:rPr>
        <w:t xml:space="preserve">Appropriate services is intended to mean services that are appropriate for the consumer. Consumers should have a choice on whether to be reconnected or not. </w:t>
      </w:r>
      <w:r w:rsidR="0079473C" w:rsidRPr="003C6427">
        <w:rPr>
          <w:rFonts w:ascii="Times New Roman" w:hAnsi="Times New Roman" w:cs="Times New Roman"/>
          <w:sz w:val="24"/>
          <w:szCs w:val="24"/>
          <w:lang w:val="en-US"/>
        </w:rPr>
        <w:t>Sufficient</w:t>
      </w:r>
      <w:r w:rsidR="0087477E" w:rsidRPr="003C6427">
        <w:rPr>
          <w:rFonts w:ascii="Times New Roman" w:hAnsi="Times New Roman" w:cs="Times New Roman"/>
          <w:sz w:val="24"/>
          <w:szCs w:val="24"/>
          <w:lang w:val="en-US"/>
        </w:rPr>
        <w:t xml:space="preserve"> is </w:t>
      </w:r>
      <w:r w:rsidR="009201A8" w:rsidRPr="003C6427">
        <w:rPr>
          <w:rFonts w:ascii="Times New Roman" w:hAnsi="Times New Roman" w:cs="Times New Roman"/>
          <w:sz w:val="24"/>
          <w:szCs w:val="24"/>
          <w:lang w:val="en-US"/>
        </w:rPr>
        <w:t xml:space="preserve">not </w:t>
      </w:r>
      <w:r w:rsidR="0087477E" w:rsidRPr="003C6427">
        <w:rPr>
          <w:rFonts w:ascii="Times New Roman" w:hAnsi="Times New Roman" w:cs="Times New Roman"/>
          <w:sz w:val="24"/>
          <w:szCs w:val="24"/>
          <w:lang w:val="en-US"/>
        </w:rPr>
        <w:t>intended to b</w:t>
      </w:r>
      <w:r w:rsidR="009201A8" w:rsidRPr="003C6427">
        <w:rPr>
          <w:rFonts w:ascii="Times New Roman" w:hAnsi="Times New Roman" w:cs="Times New Roman"/>
          <w:sz w:val="24"/>
          <w:szCs w:val="24"/>
          <w:lang w:val="en-US"/>
        </w:rPr>
        <w:t xml:space="preserve">e the subjective view of the </w:t>
      </w:r>
      <w:r w:rsidR="0087477E" w:rsidRPr="003C6427">
        <w:rPr>
          <w:rFonts w:ascii="Times New Roman" w:hAnsi="Times New Roman" w:cs="Times New Roman"/>
          <w:sz w:val="24"/>
          <w:szCs w:val="24"/>
          <w:lang w:val="en-US"/>
        </w:rPr>
        <w:t>carriage service provider.</w:t>
      </w:r>
    </w:p>
    <w:p w14:paraId="5815ADC4" w14:textId="77777777" w:rsidR="004A7A30" w:rsidRPr="003C6427" w:rsidRDefault="004A7A30" w:rsidP="003C6427">
      <w:pPr>
        <w:widowControl w:val="0"/>
        <w:spacing w:after="0" w:line="240" w:lineRule="auto"/>
        <w:rPr>
          <w:rFonts w:ascii="Times New Roman" w:hAnsi="Times New Roman" w:cs="Times New Roman"/>
          <w:sz w:val="24"/>
          <w:szCs w:val="24"/>
          <w:lang w:val="en-US"/>
        </w:rPr>
      </w:pPr>
    </w:p>
    <w:p w14:paraId="52B813D7" w14:textId="2E4C65A3" w:rsidR="004A7A30" w:rsidRPr="003C6427" w:rsidRDefault="004A7A30"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Minimising the ongoing impact is intended to </w:t>
      </w:r>
      <w:r w:rsidR="008E7BDA" w:rsidRPr="003C6427">
        <w:rPr>
          <w:rFonts w:ascii="Times New Roman" w:hAnsi="Times New Roman" w:cs="Times New Roman"/>
          <w:sz w:val="24"/>
          <w:szCs w:val="24"/>
          <w:lang w:val="en-US"/>
        </w:rPr>
        <w:t xml:space="preserve">require consideration of </w:t>
      </w:r>
      <w:r w:rsidRPr="003C6427">
        <w:rPr>
          <w:rFonts w:ascii="Times New Roman" w:hAnsi="Times New Roman" w:cs="Times New Roman"/>
          <w:sz w:val="24"/>
          <w:szCs w:val="24"/>
          <w:lang w:val="en-US"/>
        </w:rPr>
        <w:t xml:space="preserve">issues that impact a </w:t>
      </w:r>
      <w:r w:rsidR="008E7BDA" w:rsidRPr="003C6427">
        <w:rPr>
          <w:rFonts w:ascii="Times New Roman" w:hAnsi="Times New Roman" w:cs="Times New Roman"/>
          <w:sz w:val="24"/>
          <w:szCs w:val="24"/>
          <w:lang w:val="en-US"/>
        </w:rPr>
        <w:t xml:space="preserve">relevant </w:t>
      </w:r>
      <w:r w:rsidRPr="003C6427">
        <w:rPr>
          <w:rFonts w:ascii="Times New Roman" w:hAnsi="Times New Roman" w:cs="Times New Roman"/>
          <w:sz w:val="24"/>
          <w:szCs w:val="24"/>
          <w:lang w:val="en-US"/>
        </w:rPr>
        <w:t>consumer’s ability to either flee their situation or move forward</w:t>
      </w:r>
      <w:r w:rsidR="008E7BDA" w:rsidRPr="003C6427">
        <w:rPr>
          <w:rFonts w:ascii="Times New Roman" w:hAnsi="Times New Roman" w:cs="Times New Roman"/>
          <w:sz w:val="24"/>
          <w:szCs w:val="24"/>
          <w:lang w:val="en-US"/>
        </w:rPr>
        <w:t xml:space="preserve"> from domestic</w:t>
      </w:r>
      <w:r w:rsidR="000270DE" w:rsidRPr="003C6427">
        <w:rPr>
          <w:rFonts w:ascii="Times New Roman" w:hAnsi="Times New Roman" w:cs="Times New Roman"/>
          <w:sz w:val="24"/>
          <w:szCs w:val="24"/>
          <w:lang w:val="en-US"/>
        </w:rPr>
        <w:t xml:space="preserve"> and </w:t>
      </w:r>
      <w:r w:rsidR="008E7BDA" w:rsidRPr="003C6427">
        <w:rPr>
          <w:rFonts w:ascii="Times New Roman" w:hAnsi="Times New Roman" w:cs="Times New Roman"/>
          <w:sz w:val="24"/>
          <w:szCs w:val="24"/>
          <w:lang w:val="en-US"/>
        </w:rPr>
        <w:t>family</w:t>
      </w:r>
      <w:r w:rsidR="00B4491C">
        <w:rPr>
          <w:rFonts w:ascii="Times New Roman" w:hAnsi="Times New Roman" w:cs="Times New Roman"/>
          <w:sz w:val="24"/>
          <w:szCs w:val="24"/>
          <w:lang w:val="en-US"/>
        </w:rPr>
        <w:t xml:space="preserve"> violence</w:t>
      </w:r>
      <w:r w:rsidR="000270DE" w:rsidRPr="003C6427">
        <w:rPr>
          <w:rFonts w:ascii="Times New Roman" w:hAnsi="Times New Roman" w:cs="Times New Roman"/>
          <w:sz w:val="24"/>
          <w:szCs w:val="24"/>
          <w:lang w:val="en-US"/>
        </w:rPr>
        <w:t>,</w:t>
      </w:r>
      <w:r w:rsidR="008E7BDA" w:rsidRPr="003C6427">
        <w:rPr>
          <w:rFonts w:ascii="Times New Roman" w:hAnsi="Times New Roman" w:cs="Times New Roman"/>
          <w:sz w:val="24"/>
          <w:szCs w:val="24"/>
          <w:lang w:val="en-US"/>
        </w:rPr>
        <w:t xml:space="preserve"> and </w:t>
      </w:r>
      <w:r w:rsidR="000270DE" w:rsidRPr="003C6427">
        <w:rPr>
          <w:rFonts w:ascii="Times New Roman" w:hAnsi="Times New Roman" w:cs="Times New Roman"/>
          <w:sz w:val="24"/>
          <w:szCs w:val="24"/>
          <w:lang w:val="en-US"/>
        </w:rPr>
        <w:t xml:space="preserve">where relevant, </w:t>
      </w:r>
      <w:r w:rsidR="008E7BDA" w:rsidRPr="003C6427">
        <w:rPr>
          <w:rFonts w:ascii="Times New Roman" w:hAnsi="Times New Roman" w:cs="Times New Roman"/>
          <w:sz w:val="24"/>
          <w:szCs w:val="24"/>
          <w:lang w:val="en-US"/>
        </w:rPr>
        <w:t>sexual violence</w:t>
      </w:r>
      <w:r w:rsidRPr="003C6427">
        <w:rPr>
          <w:rFonts w:ascii="Times New Roman" w:hAnsi="Times New Roman" w:cs="Times New Roman"/>
          <w:sz w:val="24"/>
          <w:szCs w:val="24"/>
          <w:lang w:val="en-US"/>
        </w:rPr>
        <w:t>, this is typically in relation to debt, which is often weaponised to prevent a victim-survivor leaving or the reason why they return</w:t>
      </w:r>
      <w:r w:rsidR="008E7BDA" w:rsidRPr="003C6427">
        <w:rPr>
          <w:rFonts w:ascii="Times New Roman" w:hAnsi="Times New Roman" w:cs="Times New Roman"/>
          <w:sz w:val="24"/>
          <w:szCs w:val="24"/>
          <w:lang w:val="en-US"/>
        </w:rPr>
        <w:t xml:space="preserve"> to a </w:t>
      </w:r>
      <w:r w:rsidR="0037520D" w:rsidRPr="003C6427">
        <w:rPr>
          <w:rFonts w:ascii="Times New Roman" w:hAnsi="Times New Roman" w:cs="Times New Roman"/>
          <w:sz w:val="24"/>
          <w:szCs w:val="24"/>
          <w:lang w:val="en-US"/>
        </w:rPr>
        <w:t xml:space="preserve">violent </w:t>
      </w:r>
      <w:r w:rsidR="00832E14" w:rsidRPr="003C6427">
        <w:rPr>
          <w:rFonts w:ascii="Times New Roman" w:hAnsi="Times New Roman" w:cs="Times New Roman"/>
          <w:sz w:val="24"/>
          <w:szCs w:val="24"/>
          <w:lang w:val="en-US"/>
        </w:rPr>
        <w:t>r</w:t>
      </w:r>
      <w:r w:rsidR="008E7BDA" w:rsidRPr="003C6427">
        <w:rPr>
          <w:rFonts w:ascii="Times New Roman" w:hAnsi="Times New Roman" w:cs="Times New Roman"/>
          <w:sz w:val="24"/>
          <w:szCs w:val="24"/>
          <w:lang w:val="en-US"/>
        </w:rPr>
        <w:t>elationship</w:t>
      </w:r>
      <w:r w:rsidRPr="003C6427">
        <w:rPr>
          <w:rFonts w:ascii="Times New Roman" w:hAnsi="Times New Roman" w:cs="Times New Roman"/>
          <w:sz w:val="24"/>
          <w:szCs w:val="24"/>
          <w:lang w:val="en-US"/>
        </w:rPr>
        <w:t>. Subparagraph 7(1)(e)(iii) envisages</w:t>
      </w:r>
      <w:r w:rsidR="00D46C42" w:rsidRPr="003C6427">
        <w:rPr>
          <w:rFonts w:ascii="Times New Roman" w:hAnsi="Times New Roman" w:cs="Times New Roman"/>
          <w:sz w:val="24"/>
          <w:szCs w:val="24"/>
          <w:lang w:val="en-US"/>
        </w:rPr>
        <w:t xml:space="preserve"> minimising the burden of debt a</w:t>
      </w:r>
      <w:r w:rsidR="003746DD" w:rsidRPr="003C6427">
        <w:rPr>
          <w:rFonts w:ascii="Times New Roman" w:hAnsi="Times New Roman" w:cs="Times New Roman"/>
          <w:sz w:val="24"/>
          <w:szCs w:val="24"/>
          <w:lang w:val="en-US"/>
        </w:rPr>
        <w:t xml:space="preserve"> victim-survivor</w:t>
      </w:r>
      <w:r w:rsidR="00D46C42" w:rsidRPr="003C6427">
        <w:rPr>
          <w:rFonts w:ascii="Times New Roman" w:hAnsi="Times New Roman" w:cs="Times New Roman"/>
          <w:sz w:val="24"/>
          <w:szCs w:val="24"/>
          <w:lang w:val="en-US"/>
        </w:rPr>
        <w:t xml:space="preserve"> may be facing due to actions of their alleged perpetrator</w:t>
      </w:r>
      <w:r w:rsidRPr="003C6427">
        <w:rPr>
          <w:rFonts w:ascii="Times New Roman" w:hAnsi="Times New Roman" w:cs="Times New Roman"/>
          <w:sz w:val="24"/>
          <w:szCs w:val="24"/>
          <w:lang w:val="en-US"/>
        </w:rPr>
        <w:t xml:space="preserve"> but may extend to other circumstances that are discovered during consultation. It is accepted</w:t>
      </w:r>
      <w:r w:rsidR="008E7BDA" w:rsidRPr="003C6427">
        <w:rPr>
          <w:rFonts w:ascii="Times New Roman" w:hAnsi="Times New Roman" w:cs="Times New Roman"/>
          <w:sz w:val="24"/>
          <w:szCs w:val="24"/>
          <w:lang w:val="en-US"/>
        </w:rPr>
        <w:t xml:space="preserve"> and</w:t>
      </w:r>
      <w:r w:rsidRPr="003C6427">
        <w:rPr>
          <w:rFonts w:ascii="Times New Roman" w:hAnsi="Times New Roman" w:cs="Times New Roman"/>
          <w:sz w:val="24"/>
          <w:szCs w:val="24"/>
          <w:lang w:val="en-US"/>
        </w:rPr>
        <w:t xml:space="preserve"> </w:t>
      </w:r>
      <w:r w:rsidR="008E7BDA" w:rsidRPr="003C6427">
        <w:rPr>
          <w:rFonts w:ascii="Times New Roman" w:hAnsi="Times New Roman" w:cs="Times New Roman"/>
          <w:sz w:val="24"/>
          <w:szCs w:val="24"/>
          <w:lang w:val="en-US"/>
        </w:rPr>
        <w:t xml:space="preserve">intended </w:t>
      </w:r>
      <w:r w:rsidRPr="003C6427">
        <w:rPr>
          <w:rFonts w:ascii="Times New Roman" w:hAnsi="Times New Roman" w:cs="Times New Roman"/>
          <w:sz w:val="24"/>
          <w:szCs w:val="24"/>
          <w:lang w:val="en-US"/>
        </w:rPr>
        <w:t>that carriage service providers can only address issues within the reasonable limits of their remit.</w:t>
      </w:r>
    </w:p>
    <w:p w14:paraId="7ADDFE90"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31FD0BCD" w14:textId="7383BA7C" w:rsidR="000270DE"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7(1)(f)</w:t>
      </w:r>
      <w:r w:rsidR="00D46C42" w:rsidRPr="003C6427">
        <w:rPr>
          <w:rFonts w:ascii="Times New Roman" w:hAnsi="Times New Roman" w:cs="Times New Roman"/>
          <w:sz w:val="24"/>
          <w:szCs w:val="24"/>
          <w:lang w:val="en-US"/>
        </w:rPr>
        <w:t xml:space="preserve"> provides that carriage service providers have policies, systems and processes in place</w:t>
      </w:r>
      <w:r w:rsidR="000270DE" w:rsidRPr="003C6427">
        <w:rPr>
          <w:rFonts w:ascii="Times New Roman" w:hAnsi="Times New Roman" w:cs="Times New Roman"/>
          <w:sz w:val="24"/>
          <w:szCs w:val="24"/>
          <w:lang w:val="en-US"/>
        </w:rPr>
        <w:t xml:space="preserve"> </w:t>
      </w:r>
      <w:r w:rsidR="00D46C42" w:rsidRPr="003C6427">
        <w:rPr>
          <w:rFonts w:ascii="Times New Roman" w:hAnsi="Times New Roman" w:cs="Times New Roman"/>
          <w:sz w:val="24"/>
          <w:szCs w:val="24"/>
          <w:lang w:val="en-US"/>
        </w:rPr>
        <w:t>that</w:t>
      </w:r>
      <w:r w:rsidR="000270DE" w:rsidRPr="003C6427">
        <w:rPr>
          <w:rFonts w:ascii="Times New Roman" w:hAnsi="Times New Roman" w:cs="Times New Roman"/>
          <w:sz w:val="24"/>
          <w:szCs w:val="24"/>
          <w:lang w:val="en-US"/>
        </w:rPr>
        <w:t>:</w:t>
      </w:r>
    </w:p>
    <w:p w14:paraId="1F91C089" w14:textId="70E2BF7C" w:rsidR="000270DE" w:rsidRPr="003C6427" w:rsidRDefault="00D46C42" w:rsidP="003C6427">
      <w:pPr>
        <w:pStyle w:val="ListParagraph"/>
        <w:widowControl w:val="0"/>
        <w:numPr>
          <w:ilvl w:val="0"/>
          <w:numId w:val="17"/>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meet minimum </w:t>
      </w:r>
      <w:r w:rsidR="00650FE3" w:rsidRPr="003C6427">
        <w:rPr>
          <w:rFonts w:ascii="Times New Roman" w:hAnsi="Times New Roman" w:cs="Times New Roman"/>
          <w:sz w:val="24"/>
          <w:szCs w:val="24"/>
          <w:lang w:val="en-US"/>
        </w:rPr>
        <w:t>requirements, as provided in the standard</w:t>
      </w:r>
      <w:r w:rsidR="000270DE" w:rsidRPr="003C6427">
        <w:rPr>
          <w:rFonts w:ascii="Times New Roman" w:hAnsi="Times New Roman" w:cs="Times New Roman"/>
          <w:sz w:val="24"/>
          <w:szCs w:val="24"/>
          <w:lang w:val="en-US"/>
        </w:rPr>
        <w:t xml:space="preserve"> (s 7(1)(f)(i); and</w:t>
      </w:r>
    </w:p>
    <w:p w14:paraId="7465EF08" w14:textId="45D8E67E" w:rsidR="000270DE" w:rsidRPr="003C6427" w:rsidRDefault="000270DE" w:rsidP="003C6427">
      <w:pPr>
        <w:pStyle w:val="ListParagraph"/>
        <w:widowControl w:val="0"/>
        <w:numPr>
          <w:ilvl w:val="0"/>
          <w:numId w:val="17"/>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are trauma-informed (s 7(1)(f)(ii); and</w:t>
      </w:r>
      <w:r w:rsidR="00650FE3" w:rsidRPr="003C6427">
        <w:rPr>
          <w:rFonts w:ascii="Times New Roman" w:hAnsi="Times New Roman" w:cs="Times New Roman"/>
          <w:sz w:val="24"/>
          <w:szCs w:val="24"/>
          <w:lang w:val="en-US"/>
        </w:rPr>
        <w:t xml:space="preserve"> </w:t>
      </w:r>
    </w:p>
    <w:p w14:paraId="6072E5C6" w14:textId="2102A894" w:rsidR="000270DE" w:rsidRPr="003C6427" w:rsidRDefault="00D46C42" w:rsidP="003C6427">
      <w:pPr>
        <w:pStyle w:val="ListParagraph"/>
        <w:widowControl w:val="0"/>
        <w:numPr>
          <w:ilvl w:val="0"/>
          <w:numId w:val="17"/>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safely and appropriately support </w:t>
      </w:r>
      <w:r w:rsidR="000270DE" w:rsidRPr="003C6427">
        <w:rPr>
          <w:rFonts w:ascii="Times New Roman" w:hAnsi="Times New Roman" w:cs="Times New Roman"/>
          <w:sz w:val="24"/>
          <w:szCs w:val="24"/>
          <w:lang w:val="en-US"/>
        </w:rPr>
        <w:t>relevant</w:t>
      </w:r>
      <w:r w:rsidRPr="003C6427">
        <w:rPr>
          <w:rFonts w:ascii="Times New Roman" w:hAnsi="Times New Roman" w:cs="Times New Roman"/>
          <w:sz w:val="24"/>
          <w:szCs w:val="24"/>
          <w:lang w:val="en-US"/>
        </w:rPr>
        <w:t xml:space="preserve"> consumers</w:t>
      </w:r>
      <w:r w:rsidR="000270DE" w:rsidRPr="003C6427">
        <w:rPr>
          <w:rFonts w:ascii="Times New Roman" w:hAnsi="Times New Roman" w:cs="Times New Roman"/>
          <w:sz w:val="24"/>
          <w:szCs w:val="24"/>
          <w:lang w:val="en-US"/>
        </w:rPr>
        <w:t xml:space="preserve"> who are, or may be,</w:t>
      </w:r>
      <w:r w:rsidRPr="003C6427">
        <w:rPr>
          <w:rFonts w:ascii="Times New Roman" w:hAnsi="Times New Roman" w:cs="Times New Roman"/>
          <w:sz w:val="24"/>
          <w:szCs w:val="24"/>
          <w:lang w:val="en-US"/>
        </w:rPr>
        <w:t xml:space="preserve"> affected by domestic</w:t>
      </w:r>
      <w:r w:rsidR="000270DE" w:rsidRPr="003C6427">
        <w:rPr>
          <w:rFonts w:ascii="Times New Roman" w:hAnsi="Times New Roman" w:cs="Times New Roman"/>
          <w:sz w:val="24"/>
          <w:szCs w:val="24"/>
          <w:lang w:val="en-US"/>
        </w:rPr>
        <w:t xml:space="preserve"> and</w:t>
      </w:r>
      <w:r w:rsidRPr="003C6427">
        <w:rPr>
          <w:rFonts w:ascii="Times New Roman" w:hAnsi="Times New Roman" w:cs="Times New Roman"/>
          <w:sz w:val="24"/>
          <w:szCs w:val="24"/>
          <w:lang w:val="en-US"/>
        </w:rPr>
        <w:t xml:space="preserve"> family</w:t>
      </w:r>
      <w:r w:rsidR="000270DE" w:rsidRPr="003C6427">
        <w:rPr>
          <w:rFonts w:ascii="Times New Roman" w:hAnsi="Times New Roman" w:cs="Times New Roman"/>
          <w:sz w:val="24"/>
          <w:szCs w:val="24"/>
          <w:lang w:val="en-US"/>
        </w:rPr>
        <w:t xml:space="preserve"> violence,</w:t>
      </w:r>
      <w:r w:rsidRPr="003C6427">
        <w:rPr>
          <w:rFonts w:ascii="Times New Roman" w:hAnsi="Times New Roman" w:cs="Times New Roman"/>
          <w:sz w:val="24"/>
          <w:szCs w:val="24"/>
          <w:lang w:val="en-US"/>
        </w:rPr>
        <w:t xml:space="preserve"> and</w:t>
      </w:r>
      <w:r w:rsidR="000270DE" w:rsidRPr="003C6427">
        <w:rPr>
          <w:rFonts w:ascii="Times New Roman" w:hAnsi="Times New Roman" w:cs="Times New Roman"/>
          <w:sz w:val="24"/>
          <w:szCs w:val="24"/>
          <w:lang w:val="en-US"/>
        </w:rPr>
        <w:t xml:space="preserve"> where relevant,</w:t>
      </w:r>
      <w:r w:rsidRPr="003C6427">
        <w:rPr>
          <w:rFonts w:ascii="Times New Roman" w:hAnsi="Times New Roman" w:cs="Times New Roman"/>
          <w:sz w:val="24"/>
          <w:szCs w:val="24"/>
          <w:lang w:val="en-US"/>
        </w:rPr>
        <w:t xml:space="preserve"> sexual violence</w:t>
      </w:r>
      <w:r w:rsidR="00040DF2" w:rsidRPr="003C6427">
        <w:rPr>
          <w:rFonts w:ascii="Times New Roman" w:hAnsi="Times New Roman" w:cs="Times New Roman"/>
          <w:sz w:val="24"/>
          <w:szCs w:val="24"/>
          <w:lang w:val="en-US"/>
        </w:rPr>
        <w:t xml:space="preserve"> (s 7(1)(f)(iii)</w:t>
      </w:r>
      <w:r w:rsidR="000270DE" w:rsidRPr="003C6427">
        <w:rPr>
          <w:rFonts w:ascii="Times New Roman" w:hAnsi="Times New Roman" w:cs="Times New Roman"/>
          <w:sz w:val="24"/>
          <w:szCs w:val="24"/>
          <w:lang w:val="en-US"/>
        </w:rPr>
        <w:t>; and</w:t>
      </w:r>
      <w:r w:rsidR="004A7A30" w:rsidRPr="003C6427">
        <w:rPr>
          <w:rFonts w:ascii="Times New Roman" w:hAnsi="Times New Roman" w:cs="Times New Roman"/>
          <w:sz w:val="24"/>
          <w:szCs w:val="24"/>
          <w:lang w:val="en-US"/>
        </w:rPr>
        <w:t xml:space="preserve"> </w:t>
      </w:r>
    </w:p>
    <w:p w14:paraId="351F6D05" w14:textId="0AA5974A" w:rsidR="000270DE" w:rsidRPr="003C6427" w:rsidRDefault="000270DE" w:rsidP="003C6427">
      <w:pPr>
        <w:pStyle w:val="ListParagraph"/>
        <w:widowControl w:val="0"/>
        <w:numPr>
          <w:ilvl w:val="0"/>
          <w:numId w:val="17"/>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are tailored for consumers belonging to groups who are, or may be, </w:t>
      </w:r>
      <w:r w:rsidR="0079473C" w:rsidRPr="003C6427">
        <w:rPr>
          <w:rFonts w:ascii="Times New Roman" w:hAnsi="Times New Roman" w:cs="Times New Roman"/>
          <w:sz w:val="24"/>
          <w:szCs w:val="24"/>
          <w:lang w:val="en-US"/>
        </w:rPr>
        <w:t>disproportionately</w:t>
      </w:r>
      <w:r w:rsidRPr="003C6427">
        <w:rPr>
          <w:rFonts w:ascii="Times New Roman" w:hAnsi="Times New Roman" w:cs="Times New Roman"/>
          <w:sz w:val="24"/>
          <w:szCs w:val="24"/>
          <w:lang w:val="en-US"/>
        </w:rPr>
        <w:t xml:space="preserve"> affected by domestic and family violence, and where relevant, sexual violence</w:t>
      </w:r>
      <w:r w:rsidR="00040DF2" w:rsidRPr="003C6427">
        <w:rPr>
          <w:rFonts w:ascii="Times New Roman" w:hAnsi="Times New Roman" w:cs="Times New Roman"/>
          <w:sz w:val="24"/>
          <w:szCs w:val="24"/>
          <w:lang w:val="en-US"/>
        </w:rPr>
        <w:t xml:space="preserve"> (s 7(1)(f)(iv)</w:t>
      </w:r>
      <w:r w:rsidRPr="003C6427">
        <w:rPr>
          <w:rFonts w:ascii="Times New Roman" w:hAnsi="Times New Roman" w:cs="Times New Roman"/>
          <w:sz w:val="24"/>
          <w:szCs w:val="24"/>
          <w:lang w:val="en-US"/>
        </w:rPr>
        <w:t>; and</w:t>
      </w:r>
    </w:p>
    <w:p w14:paraId="2D882482" w14:textId="756A783F" w:rsidR="000270DE" w:rsidRPr="003C6427" w:rsidRDefault="000270DE" w:rsidP="003C6427">
      <w:pPr>
        <w:pStyle w:val="ListParagraph"/>
        <w:widowControl w:val="0"/>
        <w:numPr>
          <w:ilvl w:val="0"/>
          <w:numId w:val="17"/>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are regularly review</w:t>
      </w:r>
      <w:r w:rsidR="00EB0F15" w:rsidRPr="003C6427">
        <w:rPr>
          <w:rFonts w:ascii="Times New Roman" w:hAnsi="Times New Roman" w:cs="Times New Roman"/>
          <w:sz w:val="24"/>
          <w:szCs w:val="24"/>
          <w:lang w:val="en-US"/>
        </w:rPr>
        <w:t>ed</w:t>
      </w:r>
      <w:r w:rsidRPr="003C6427">
        <w:rPr>
          <w:rFonts w:ascii="Times New Roman" w:hAnsi="Times New Roman" w:cs="Times New Roman"/>
          <w:sz w:val="24"/>
          <w:szCs w:val="24"/>
          <w:lang w:val="en-US"/>
        </w:rPr>
        <w:t xml:space="preserve"> and updated, as appropriate</w:t>
      </w:r>
      <w:r w:rsidR="00040DF2" w:rsidRPr="003C6427">
        <w:rPr>
          <w:rFonts w:ascii="Times New Roman" w:hAnsi="Times New Roman" w:cs="Times New Roman"/>
          <w:sz w:val="24"/>
          <w:szCs w:val="24"/>
          <w:lang w:val="en-US"/>
        </w:rPr>
        <w:t xml:space="preserve"> (s 7(1)(f)(v).</w:t>
      </w:r>
    </w:p>
    <w:p w14:paraId="54176BCF" w14:textId="77777777" w:rsidR="00040DF2" w:rsidRPr="003C6427" w:rsidRDefault="00040DF2" w:rsidP="00087A4D">
      <w:pPr>
        <w:widowControl w:val="0"/>
        <w:spacing w:after="0" w:line="240" w:lineRule="auto"/>
        <w:rPr>
          <w:rFonts w:ascii="Times New Roman" w:hAnsi="Times New Roman" w:cs="Times New Roman"/>
          <w:sz w:val="24"/>
          <w:szCs w:val="24"/>
          <w:lang w:val="en-US"/>
        </w:rPr>
      </w:pPr>
    </w:p>
    <w:p w14:paraId="25D48768" w14:textId="43E3E7B8" w:rsidR="0067119D" w:rsidRPr="003C6427" w:rsidRDefault="004A7A30"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It is intended that the ACMA determine the minimum standards for these policies, systems and processes</w:t>
      </w:r>
      <w:r w:rsidR="00040DF2" w:rsidRPr="003C6427">
        <w:rPr>
          <w:rFonts w:ascii="Times New Roman" w:hAnsi="Times New Roman" w:cs="Times New Roman"/>
          <w:sz w:val="24"/>
          <w:szCs w:val="24"/>
          <w:lang w:val="en-US"/>
        </w:rPr>
        <w:t>, as per subparagraph 7(1)(f)(i)</w:t>
      </w:r>
      <w:r w:rsidRPr="003C6427">
        <w:rPr>
          <w:rFonts w:ascii="Times New Roman" w:hAnsi="Times New Roman" w:cs="Times New Roman"/>
          <w:sz w:val="24"/>
          <w:szCs w:val="24"/>
          <w:lang w:val="en-US"/>
        </w:rPr>
        <w:t>.</w:t>
      </w:r>
      <w:r w:rsidR="0087477E" w:rsidRPr="003C6427">
        <w:rPr>
          <w:rFonts w:ascii="Times New Roman" w:hAnsi="Times New Roman" w:cs="Times New Roman"/>
          <w:sz w:val="24"/>
          <w:szCs w:val="24"/>
          <w:lang w:val="en-US"/>
        </w:rPr>
        <w:t xml:space="preserve"> </w:t>
      </w:r>
      <w:r w:rsidR="00C968F9" w:rsidRPr="003C6427">
        <w:rPr>
          <w:rFonts w:ascii="Times New Roman" w:hAnsi="Times New Roman" w:cs="Times New Roman"/>
          <w:sz w:val="24"/>
          <w:szCs w:val="24"/>
          <w:lang w:val="en-US"/>
        </w:rPr>
        <w:t>S</w:t>
      </w:r>
      <w:r w:rsidR="00E061A3" w:rsidRPr="003C6427">
        <w:rPr>
          <w:rFonts w:ascii="Times New Roman" w:hAnsi="Times New Roman" w:cs="Times New Roman"/>
          <w:sz w:val="24"/>
          <w:szCs w:val="24"/>
          <w:lang w:val="en-US"/>
        </w:rPr>
        <w:t>ubparagraph</w:t>
      </w:r>
      <w:r w:rsidR="00040DF2" w:rsidRPr="003C6427">
        <w:rPr>
          <w:rFonts w:ascii="Times New Roman" w:hAnsi="Times New Roman" w:cs="Times New Roman"/>
          <w:sz w:val="24"/>
          <w:szCs w:val="24"/>
          <w:lang w:val="en-US"/>
        </w:rPr>
        <w:t xml:space="preserve"> </w:t>
      </w:r>
      <w:r w:rsidR="0067119D" w:rsidRPr="003C6427">
        <w:rPr>
          <w:rFonts w:ascii="Times New Roman" w:hAnsi="Times New Roman" w:cs="Times New Roman"/>
          <w:sz w:val="24"/>
          <w:szCs w:val="24"/>
          <w:lang w:val="en-US"/>
        </w:rPr>
        <w:t>7(1)(f)(i</w:t>
      </w:r>
      <w:r w:rsidR="00A43B5C" w:rsidRPr="003C6427">
        <w:rPr>
          <w:rFonts w:ascii="Times New Roman" w:hAnsi="Times New Roman" w:cs="Times New Roman"/>
          <w:sz w:val="24"/>
          <w:szCs w:val="24"/>
          <w:lang w:val="en-US"/>
        </w:rPr>
        <w:t>v</w:t>
      </w:r>
      <w:r w:rsidR="0067119D" w:rsidRPr="003C6427">
        <w:rPr>
          <w:rFonts w:ascii="Times New Roman" w:hAnsi="Times New Roman" w:cs="Times New Roman"/>
          <w:sz w:val="24"/>
          <w:szCs w:val="24"/>
          <w:lang w:val="en-US"/>
        </w:rPr>
        <w:t>)</w:t>
      </w:r>
      <w:r w:rsidR="00040DF2" w:rsidRPr="003C6427">
        <w:rPr>
          <w:rFonts w:ascii="Times New Roman" w:hAnsi="Times New Roman" w:cs="Times New Roman"/>
          <w:sz w:val="24"/>
          <w:szCs w:val="24"/>
          <w:lang w:val="en-US"/>
        </w:rPr>
        <w:t xml:space="preserve"> is intended to cover consumers</w:t>
      </w:r>
      <w:r w:rsidR="0067119D" w:rsidRPr="003C6427">
        <w:rPr>
          <w:rFonts w:ascii="Times New Roman" w:hAnsi="Times New Roman" w:cs="Times New Roman"/>
          <w:sz w:val="24"/>
          <w:szCs w:val="24"/>
          <w:lang w:val="en-US"/>
        </w:rPr>
        <w:t xml:space="preserve"> </w:t>
      </w:r>
      <w:r w:rsidR="00D46C42" w:rsidRPr="003C6427">
        <w:rPr>
          <w:rFonts w:ascii="Times New Roman" w:hAnsi="Times New Roman" w:cs="Times New Roman"/>
          <w:sz w:val="24"/>
          <w:szCs w:val="24"/>
          <w:lang w:val="en-US"/>
        </w:rPr>
        <w:t>belonging to groups who are</w:t>
      </w:r>
      <w:r w:rsidR="009201A8" w:rsidRPr="003C6427">
        <w:rPr>
          <w:rFonts w:ascii="Times New Roman" w:hAnsi="Times New Roman" w:cs="Times New Roman"/>
          <w:sz w:val="24"/>
          <w:szCs w:val="24"/>
          <w:lang w:val="en-US"/>
        </w:rPr>
        <w:t>, or may be,</w:t>
      </w:r>
      <w:r w:rsidR="00D46C42" w:rsidRPr="003C6427">
        <w:rPr>
          <w:rFonts w:ascii="Times New Roman" w:hAnsi="Times New Roman" w:cs="Times New Roman"/>
          <w:sz w:val="24"/>
          <w:szCs w:val="24"/>
          <w:lang w:val="en-US"/>
        </w:rPr>
        <w:t xml:space="preserve"> </w:t>
      </w:r>
      <w:r w:rsidR="005536CB" w:rsidRPr="003C6427">
        <w:rPr>
          <w:rFonts w:ascii="Times New Roman" w:hAnsi="Times New Roman" w:cs="Times New Roman"/>
          <w:sz w:val="24"/>
          <w:szCs w:val="24"/>
          <w:lang w:val="en-US"/>
        </w:rPr>
        <w:t>disproportionately</w:t>
      </w:r>
      <w:r w:rsidR="00D46C42" w:rsidRPr="003C6427">
        <w:rPr>
          <w:rFonts w:ascii="Times New Roman" w:hAnsi="Times New Roman" w:cs="Times New Roman"/>
          <w:sz w:val="24"/>
          <w:szCs w:val="24"/>
          <w:lang w:val="en-US"/>
        </w:rPr>
        <w:t xml:space="preserve"> affected</w:t>
      </w:r>
      <w:r w:rsidR="00C968F9" w:rsidRPr="003C6427">
        <w:rPr>
          <w:rFonts w:ascii="Times New Roman" w:hAnsi="Times New Roman" w:cs="Times New Roman"/>
          <w:sz w:val="24"/>
          <w:szCs w:val="24"/>
          <w:lang w:val="en-US"/>
        </w:rPr>
        <w:t xml:space="preserve"> by</w:t>
      </w:r>
      <w:r w:rsidR="00832E14" w:rsidRPr="003C6427">
        <w:rPr>
          <w:rFonts w:ascii="Times New Roman" w:hAnsi="Times New Roman" w:cs="Times New Roman"/>
          <w:sz w:val="24"/>
          <w:szCs w:val="24"/>
          <w:lang w:val="en-US"/>
        </w:rPr>
        <w:t xml:space="preserve"> domestic and family violence, and where relevant, sexual violence</w:t>
      </w:r>
      <w:r w:rsidR="00D46C42" w:rsidRPr="003C6427">
        <w:rPr>
          <w:rFonts w:ascii="Times New Roman" w:hAnsi="Times New Roman" w:cs="Times New Roman"/>
          <w:sz w:val="24"/>
          <w:szCs w:val="24"/>
          <w:lang w:val="en-US"/>
        </w:rPr>
        <w:t xml:space="preserve">, such as </w:t>
      </w:r>
      <w:r w:rsidR="007477F9">
        <w:rPr>
          <w:rFonts w:ascii="Times New Roman" w:hAnsi="Times New Roman" w:cs="Times New Roman"/>
          <w:sz w:val="24"/>
          <w:szCs w:val="24"/>
          <w:lang w:val="en-US"/>
        </w:rPr>
        <w:t>persons</w:t>
      </w:r>
      <w:r w:rsidR="00D46C42" w:rsidRPr="007477F9">
        <w:rPr>
          <w:rFonts w:ascii="Times New Roman" w:hAnsi="Times New Roman" w:cs="Times New Roman"/>
          <w:sz w:val="24"/>
          <w:szCs w:val="24"/>
          <w:lang w:val="en-US"/>
        </w:rPr>
        <w:t xml:space="preserve"> with disabilit</w:t>
      </w:r>
      <w:r w:rsidR="007477F9">
        <w:rPr>
          <w:rFonts w:ascii="Times New Roman" w:hAnsi="Times New Roman" w:cs="Times New Roman"/>
          <w:sz w:val="24"/>
          <w:szCs w:val="24"/>
          <w:lang w:val="en-US"/>
        </w:rPr>
        <w:t>ies</w:t>
      </w:r>
      <w:r w:rsidR="00D46C42" w:rsidRPr="007477F9">
        <w:rPr>
          <w:rFonts w:ascii="Times New Roman" w:hAnsi="Times New Roman" w:cs="Times New Roman"/>
          <w:sz w:val="24"/>
          <w:szCs w:val="24"/>
          <w:lang w:val="en-US"/>
        </w:rPr>
        <w:t xml:space="preserve">, First Nations people, people from culturally and linguistically diverse </w:t>
      </w:r>
      <w:r w:rsidR="005536CB" w:rsidRPr="007477F9">
        <w:rPr>
          <w:rFonts w:ascii="Times New Roman" w:hAnsi="Times New Roman" w:cs="Times New Roman"/>
          <w:sz w:val="24"/>
          <w:szCs w:val="24"/>
          <w:lang w:val="en-US"/>
        </w:rPr>
        <w:t>background</w:t>
      </w:r>
      <w:r w:rsidR="009201A8" w:rsidRPr="007477F9">
        <w:rPr>
          <w:rFonts w:ascii="Times New Roman" w:hAnsi="Times New Roman" w:cs="Times New Roman"/>
          <w:sz w:val="24"/>
          <w:szCs w:val="24"/>
          <w:lang w:val="en-US"/>
        </w:rPr>
        <w:t>s</w:t>
      </w:r>
      <w:r w:rsidR="00D46C42" w:rsidRPr="007477F9">
        <w:rPr>
          <w:rFonts w:ascii="Times New Roman" w:hAnsi="Times New Roman" w:cs="Times New Roman"/>
          <w:sz w:val="24"/>
          <w:szCs w:val="24"/>
          <w:lang w:val="en-US"/>
        </w:rPr>
        <w:t xml:space="preserve"> and</w:t>
      </w:r>
      <w:r w:rsidR="00832E14" w:rsidRPr="007477F9">
        <w:rPr>
          <w:rFonts w:ascii="Times New Roman" w:hAnsi="Times New Roman" w:cs="Times New Roman"/>
          <w:sz w:val="24"/>
          <w:szCs w:val="24"/>
          <w:lang w:val="en-US"/>
        </w:rPr>
        <w:t xml:space="preserve"> </w:t>
      </w:r>
      <w:r w:rsidR="00832E14" w:rsidRPr="007477F9">
        <w:rPr>
          <w:rFonts w:ascii="Times New Roman" w:hAnsi="Times New Roman" w:cs="Times New Roman"/>
          <w:sz w:val="24"/>
          <w:szCs w:val="24"/>
          <w:lang w:val="en-US"/>
        </w:rPr>
        <w:lastRenderedPageBreak/>
        <w:t>people who identify as</w:t>
      </w:r>
      <w:r w:rsidR="00D46C42" w:rsidRPr="007477F9">
        <w:rPr>
          <w:rFonts w:ascii="Times New Roman" w:hAnsi="Times New Roman" w:cs="Times New Roman"/>
          <w:sz w:val="24"/>
          <w:szCs w:val="24"/>
          <w:lang w:val="en-US"/>
        </w:rPr>
        <w:t xml:space="preserve"> LGBTQIA+. </w:t>
      </w:r>
      <w:r w:rsidR="0087477E" w:rsidRPr="007477F9">
        <w:rPr>
          <w:rFonts w:ascii="Times New Roman" w:hAnsi="Times New Roman" w:cs="Times New Roman"/>
          <w:sz w:val="24"/>
          <w:szCs w:val="24"/>
          <w:lang w:val="en-US"/>
        </w:rPr>
        <w:t xml:space="preserve">It would be appropriate to also have regard to intersectionality, that is, how interconnected identities such as gender, disability and sexual orientation create </w:t>
      </w:r>
      <w:r w:rsidR="0087477E" w:rsidRPr="003C6427">
        <w:rPr>
          <w:rFonts w:ascii="Times New Roman" w:hAnsi="Times New Roman" w:cs="Times New Roman"/>
          <w:sz w:val="24"/>
          <w:szCs w:val="24"/>
          <w:lang w:val="en-US"/>
        </w:rPr>
        <w:t>overlapping discrimination or disadvantage. Understanding and addressing these intersections is crucial for delivering effective and equitable support, as individuals do not experience these identities in isolation. Each person’s circumstances are unique, and a person-</w:t>
      </w:r>
      <w:r w:rsidR="0079473C" w:rsidRPr="003C6427">
        <w:rPr>
          <w:rFonts w:ascii="Times New Roman" w:hAnsi="Times New Roman" w:cs="Times New Roman"/>
          <w:sz w:val="24"/>
          <w:szCs w:val="24"/>
          <w:lang w:val="en-US"/>
        </w:rPr>
        <w:t>centred</w:t>
      </w:r>
      <w:r w:rsidR="0087477E" w:rsidRPr="003C6427">
        <w:rPr>
          <w:rFonts w:ascii="Times New Roman" w:hAnsi="Times New Roman" w:cs="Times New Roman"/>
          <w:sz w:val="24"/>
          <w:szCs w:val="24"/>
          <w:lang w:val="en-US"/>
        </w:rPr>
        <w:t xml:space="preserve"> approach recognises and responds to these complexities.</w:t>
      </w:r>
    </w:p>
    <w:p w14:paraId="655B6CD5" w14:textId="77777777" w:rsidR="0067119D" w:rsidRPr="003C6427" w:rsidRDefault="0067119D" w:rsidP="003C6427">
      <w:pPr>
        <w:widowControl w:val="0"/>
        <w:spacing w:after="0" w:line="240" w:lineRule="auto"/>
        <w:rPr>
          <w:rFonts w:ascii="Times New Roman" w:hAnsi="Times New Roman" w:cs="Times New Roman"/>
          <w:sz w:val="24"/>
          <w:szCs w:val="24"/>
          <w:lang w:val="en-US"/>
        </w:rPr>
      </w:pPr>
    </w:p>
    <w:p w14:paraId="7F6B0F3A" w14:textId="1DCB5D31" w:rsidR="004A7A30" w:rsidRPr="003C6427" w:rsidRDefault="0067119D"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It is intended that subparagraph 7(1)(f)(</w:t>
      </w:r>
      <w:r w:rsidR="003746DD" w:rsidRPr="003C6427">
        <w:rPr>
          <w:rFonts w:ascii="Times New Roman" w:hAnsi="Times New Roman" w:cs="Times New Roman"/>
          <w:sz w:val="24"/>
          <w:szCs w:val="24"/>
          <w:lang w:val="en-US"/>
        </w:rPr>
        <w:t>iv</w:t>
      </w:r>
      <w:r w:rsidRPr="003C6427">
        <w:rPr>
          <w:rFonts w:ascii="Times New Roman" w:hAnsi="Times New Roman" w:cs="Times New Roman"/>
          <w:sz w:val="24"/>
          <w:szCs w:val="24"/>
          <w:lang w:val="en-US"/>
        </w:rPr>
        <w:t>) is supplementary to paragraph 7(1)(c)</w:t>
      </w:r>
      <w:r w:rsidR="00A43B5C" w:rsidRPr="003C6427">
        <w:rPr>
          <w:rFonts w:ascii="Times New Roman" w:hAnsi="Times New Roman" w:cs="Times New Roman"/>
          <w:sz w:val="24"/>
          <w:szCs w:val="24"/>
          <w:lang w:val="en-US"/>
        </w:rPr>
        <w:t>(ii)</w:t>
      </w:r>
      <w:r w:rsidRPr="003C6427">
        <w:rPr>
          <w:rFonts w:ascii="Times New Roman" w:hAnsi="Times New Roman" w:cs="Times New Roman"/>
          <w:sz w:val="24"/>
          <w:szCs w:val="24"/>
          <w:lang w:val="en-US"/>
        </w:rPr>
        <w:t xml:space="preserve"> in that it allows carriage service providers the ability to further tailor their policies and systems to consumers belonging to groups </w:t>
      </w:r>
      <w:r w:rsidR="009201A8" w:rsidRPr="003C6427">
        <w:rPr>
          <w:rFonts w:ascii="Times New Roman" w:hAnsi="Times New Roman" w:cs="Times New Roman"/>
          <w:sz w:val="24"/>
          <w:szCs w:val="24"/>
          <w:lang w:val="en-US"/>
        </w:rPr>
        <w:t xml:space="preserve">that are, or may be, </w:t>
      </w:r>
      <w:r w:rsidRPr="003C6427">
        <w:rPr>
          <w:rFonts w:ascii="Times New Roman" w:hAnsi="Times New Roman" w:cs="Times New Roman"/>
          <w:sz w:val="24"/>
          <w:szCs w:val="24"/>
          <w:lang w:val="en-US"/>
        </w:rPr>
        <w:t xml:space="preserve">disproportionately affected, for example, it may be appropriate for information to be provided in a particular language or easy to read form, or it may be appropriate to have experts/teams available that calls can be diverted to. </w:t>
      </w:r>
    </w:p>
    <w:p w14:paraId="49341AD5" w14:textId="77777777" w:rsidR="00E061A3" w:rsidRPr="003C6427" w:rsidRDefault="00E061A3" w:rsidP="003C6427">
      <w:pPr>
        <w:widowControl w:val="0"/>
        <w:spacing w:after="0" w:line="240" w:lineRule="auto"/>
        <w:rPr>
          <w:rFonts w:ascii="Times New Roman" w:hAnsi="Times New Roman" w:cs="Times New Roman"/>
          <w:sz w:val="24"/>
          <w:szCs w:val="24"/>
          <w:lang w:val="en-US"/>
        </w:rPr>
      </w:pPr>
    </w:p>
    <w:p w14:paraId="6EF63378" w14:textId="77777777" w:rsidR="009A759A" w:rsidRPr="003C6427" w:rsidRDefault="006D49B5"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 7(1)(g) provides that c</w:t>
      </w:r>
      <w:r w:rsidR="00D46C42" w:rsidRPr="003C6427">
        <w:rPr>
          <w:rFonts w:ascii="Times New Roman" w:hAnsi="Times New Roman" w:cs="Times New Roman"/>
          <w:sz w:val="24"/>
          <w:szCs w:val="24"/>
          <w:lang w:val="en-US"/>
        </w:rPr>
        <w:t>arriage service providers must comply with their policies</w:t>
      </w:r>
      <w:r w:rsidRPr="003C6427">
        <w:rPr>
          <w:rFonts w:ascii="Times New Roman" w:hAnsi="Times New Roman" w:cs="Times New Roman"/>
          <w:sz w:val="24"/>
          <w:szCs w:val="24"/>
          <w:lang w:val="en-US"/>
        </w:rPr>
        <w:t xml:space="preserve"> a</w:t>
      </w:r>
      <w:r w:rsidR="00D46C42" w:rsidRPr="003C6427">
        <w:rPr>
          <w:rFonts w:ascii="Times New Roman" w:hAnsi="Times New Roman" w:cs="Times New Roman"/>
          <w:sz w:val="24"/>
          <w:szCs w:val="24"/>
          <w:lang w:val="en-US"/>
        </w:rPr>
        <w:t xml:space="preserve">nd processes </w:t>
      </w:r>
      <w:r w:rsidRPr="003C6427">
        <w:rPr>
          <w:rFonts w:ascii="Times New Roman" w:hAnsi="Times New Roman" w:cs="Times New Roman"/>
          <w:sz w:val="24"/>
          <w:szCs w:val="24"/>
          <w:lang w:val="en-US"/>
        </w:rPr>
        <w:t>referenced in paragraph 7(1)(f)</w:t>
      </w:r>
      <w:r w:rsidR="00323537" w:rsidRPr="003C6427">
        <w:rPr>
          <w:rFonts w:ascii="Times New Roman" w:hAnsi="Times New Roman" w:cs="Times New Roman"/>
          <w:sz w:val="24"/>
          <w:szCs w:val="24"/>
          <w:lang w:val="en-US"/>
        </w:rPr>
        <w:t>.</w:t>
      </w:r>
    </w:p>
    <w:p w14:paraId="7621777B"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7CF1914E" w14:textId="5A756A00" w:rsidR="009A759A"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w:t>
      </w:r>
      <w:r w:rsidR="006D49B5" w:rsidRPr="003C6427">
        <w:rPr>
          <w:rFonts w:ascii="Times New Roman" w:hAnsi="Times New Roman" w:cs="Times New Roman"/>
          <w:sz w:val="24"/>
          <w:szCs w:val="24"/>
          <w:lang w:val="en-US"/>
        </w:rPr>
        <w:t>h</w:t>
      </w:r>
      <w:r w:rsidR="009A759A" w:rsidRPr="003C6427">
        <w:rPr>
          <w:rFonts w:ascii="Times New Roman" w:hAnsi="Times New Roman" w:cs="Times New Roman"/>
          <w:sz w:val="24"/>
          <w:szCs w:val="24"/>
          <w:lang w:val="en-US"/>
        </w:rPr>
        <w:t>)</w:t>
      </w:r>
      <w:r w:rsidR="00323537" w:rsidRPr="003C6427">
        <w:rPr>
          <w:rFonts w:ascii="Times New Roman" w:hAnsi="Times New Roman" w:cs="Times New Roman"/>
          <w:sz w:val="24"/>
          <w:szCs w:val="24"/>
          <w:lang w:val="en-US"/>
        </w:rPr>
        <w:t xml:space="preserve"> </w:t>
      </w:r>
      <w:r w:rsidR="00F33C91" w:rsidRPr="003C6427">
        <w:rPr>
          <w:rFonts w:ascii="Times New Roman" w:hAnsi="Times New Roman" w:cs="Times New Roman"/>
          <w:sz w:val="24"/>
          <w:szCs w:val="24"/>
          <w:lang w:val="en-US"/>
        </w:rPr>
        <w:t xml:space="preserve">provides that carriage service providers must review their existing and proposed systems, processes and products to identify risks they may pose to relevant consumers who are, or may be, affected by domestic and family violence, and where relevant, sexual violence, and take action to reduce those risks. It </w:t>
      </w:r>
      <w:r w:rsidR="00323537" w:rsidRPr="003C6427">
        <w:rPr>
          <w:rFonts w:ascii="Times New Roman" w:hAnsi="Times New Roman" w:cs="Times New Roman"/>
          <w:sz w:val="24"/>
          <w:szCs w:val="24"/>
          <w:lang w:val="en-US"/>
        </w:rPr>
        <w:t>envisages that carriage service providers take a contemporary and forward leaning approach in thinking proactively about how their systems</w:t>
      </w:r>
      <w:r w:rsidR="00547110" w:rsidRPr="003C6427">
        <w:rPr>
          <w:rFonts w:ascii="Times New Roman" w:hAnsi="Times New Roman" w:cs="Times New Roman"/>
          <w:sz w:val="24"/>
          <w:szCs w:val="24"/>
          <w:lang w:val="en-US"/>
        </w:rPr>
        <w:t>,</w:t>
      </w:r>
      <w:r w:rsidR="00323537" w:rsidRPr="003C6427">
        <w:rPr>
          <w:rFonts w:ascii="Times New Roman" w:hAnsi="Times New Roman" w:cs="Times New Roman"/>
          <w:sz w:val="24"/>
          <w:szCs w:val="24"/>
          <w:lang w:val="en-US"/>
        </w:rPr>
        <w:t xml:space="preserve"> processes</w:t>
      </w:r>
      <w:r w:rsidR="00547110" w:rsidRPr="003C6427">
        <w:rPr>
          <w:rFonts w:ascii="Times New Roman" w:hAnsi="Times New Roman" w:cs="Times New Roman"/>
          <w:sz w:val="24"/>
          <w:szCs w:val="24"/>
          <w:lang w:val="en-US"/>
        </w:rPr>
        <w:t xml:space="preserve"> and products</w:t>
      </w:r>
      <w:r w:rsidR="00323537" w:rsidRPr="003C6427">
        <w:rPr>
          <w:rFonts w:ascii="Times New Roman" w:hAnsi="Times New Roman" w:cs="Times New Roman"/>
          <w:sz w:val="24"/>
          <w:szCs w:val="24"/>
          <w:lang w:val="en-US"/>
        </w:rPr>
        <w:t xml:space="preserve"> may impact on victim-survivors and </w:t>
      </w:r>
      <w:r w:rsidR="007746BF" w:rsidRPr="003C6427">
        <w:rPr>
          <w:rFonts w:ascii="Times New Roman" w:hAnsi="Times New Roman" w:cs="Times New Roman"/>
          <w:sz w:val="24"/>
          <w:szCs w:val="24"/>
          <w:lang w:val="en-US"/>
        </w:rPr>
        <w:t xml:space="preserve">unintentionally </w:t>
      </w:r>
      <w:r w:rsidR="00323537" w:rsidRPr="003C6427">
        <w:rPr>
          <w:rFonts w:ascii="Times New Roman" w:hAnsi="Times New Roman" w:cs="Times New Roman"/>
          <w:sz w:val="24"/>
          <w:szCs w:val="24"/>
          <w:lang w:val="en-US"/>
        </w:rPr>
        <w:t xml:space="preserve">facilitate harms or abuse. For example, consideration of whether automated messages should include a consumer’s personal information. Further, carriage service providers must take action to reduce </w:t>
      </w:r>
      <w:r w:rsidR="006D49B5" w:rsidRPr="003C6427">
        <w:rPr>
          <w:rFonts w:ascii="Times New Roman" w:hAnsi="Times New Roman" w:cs="Times New Roman"/>
          <w:sz w:val="24"/>
          <w:szCs w:val="24"/>
          <w:lang w:val="en-US"/>
        </w:rPr>
        <w:t>identified</w:t>
      </w:r>
      <w:r w:rsidR="00323537" w:rsidRPr="003C6427">
        <w:rPr>
          <w:rFonts w:ascii="Times New Roman" w:hAnsi="Times New Roman" w:cs="Times New Roman"/>
          <w:sz w:val="24"/>
          <w:szCs w:val="24"/>
          <w:lang w:val="en-US"/>
        </w:rPr>
        <w:t xml:space="preserve"> risks. This </w:t>
      </w:r>
      <w:r w:rsidR="00501D84" w:rsidRPr="003C6427">
        <w:rPr>
          <w:rFonts w:ascii="Times New Roman" w:hAnsi="Times New Roman" w:cs="Times New Roman"/>
          <w:sz w:val="24"/>
          <w:szCs w:val="24"/>
          <w:lang w:val="en-US"/>
        </w:rPr>
        <w:t>is intended as</w:t>
      </w:r>
      <w:r w:rsidR="00323537" w:rsidRPr="003C6427">
        <w:rPr>
          <w:rFonts w:ascii="Times New Roman" w:hAnsi="Times New Roman" w:cs="Times New Roman"/>
          <w:sz w:val="24"/>
          <w:szCs w:val="24"/>
          <w:lang w:val="en-US"/>
        </w:rPr>
        <w:t xml:space="preserve"> a safety by design approach</w:t>
      </w:r>
      <w:r w:rsidR="00501D84" w:rsidRPr="003C6427">
        <w:rPr>
          <w:rFonts w:ascii="Times New Roman" w:hAnsi="Times New Roman" w:cs="Times New Roman"/>
          <w:sz w:val="24"/>
          <w:szCs w:val="24"/>
          <w:lang w:val="en-US"/>
        </w:rPr>
        <w:t xml:space="preserve"> in which </w:t>
      </w:r>
      <w:r w:rsidR="00251799" w:rsidRPr="003C6427">
        <w:rPr>
          <w:rFonts w:ascii="Times New Roman" w:hAnsi="Times New Roman" w:cs="Times New Roman"/>
          <w:sz w:val="24"/>
          <w:szCs w:val="24"/>
          <w:lang w:val="en-US"/>
        </w:rPr>
        <w:t>organisations</w:t>
      </w:r>
      <w:r w:rsidR="00501D84" w:rsidRPr="003C6427">
        <w:rPr>
          <w:rFonts w:ascii="Times New Roman" w:hAnsi="Times New Roman" w:cs="Times New Roman"/>
          <w:sz w:val="24"/>
          <w:szCs w:val="24"/>
          <w:lang w:val="en-US"/>
        </w:rPr>
        <w:t xml:space="preserve"> can anticipate, detect and eliminate harms before they occur.</w:t>
      </w:r>
    </w:p>
    <w:p w14:paraId="5A6065A1"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3F27BAEA" w14:textId="3F047C4B" w:rsidR="009A759A" w:rsidRPr="002C3132"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w:t>
      </w:r>
      <w:r w:rsidR="00404A3E" w:rsidRPr="003C6427">
        <w:rPr>
          <w:rFonts w:ascii="Times New Roman" w:hAnsi="Times New Roman" w:cs="Times New Roman"/>
          <w:sz w:val="24"/>
          <w:szCs w:val="24"/>
          <w:lang w:val="en-US"/>
        </w:rPr>
        <w:t>i</w:t>
      </w:r>
      <w:r w:rsidR="009A759A" w:rsidRPr="003C6427">
        <w:rPr>
          <w:rFonts w:ascii="Times New Roman" w:hAnsi="Times New Roman" w:cs="Times New Roman"/>
          <w:sz w:val="24"/>
          <w:szCs w:val="24"/>
          <w:lang w:val="en-US"/>
        </w:rPr>
        <w:t>)</w:t>
      </w:r>
      <w:r w:rsidR="00806CBE" w:rsidRPr="003C6427">
        <w:rPr>
          <w:rFonts w:ascii="Times New Roman" w:hAnsi="Times New Roman" w:cs="Times New Roman"/>
          <w:sz w:val="24"/>
          <w:szCs w:val="24"/>
          <w:lang w:val="en-US"/>
        </w:rPr>
        <w:t xml:space="preserve"> provides that carriage service providers promote information about where </w:t>
      </w:r>
      <w:r w:rsidR="00F33C91" w:rsidRPr="003C6427">
        <w:rPr>
          <w:rFonts w:ascii="Times New Roman" w:hAnsi="Times New Roman" w:cs="Times New Roman"/>
          <w:sz w:val="24"/>
          <w:szCs w:val="24"/>
          <w:lang w:val="en-US"/>
        </w:rPr>
        <w:t xml:space="preserve">relevant </w:t>
      </w:r>
      <w:r w:rsidR="00806CBE" w:rsidRPr="003C6427">
        <w:rPr>
          <w:rFonts w:ascii="Times New Roman" w:hAnsi="Times New Roman" w:cs="Times New Roman"/>
          <w:sz w:val="24"/>
          <w:szCs w:val="24"/>
          <w:lang w:val="en-US"/>
        </w:rPr>
        <w:t>consumers who are, or may be, affected by domestic</w:t>
      </w:r>
      <w:r w:rsidR="00404A3E" w:rsidRPr="003C6427">
        <w:rPr>
          <w:rFonts w:ascii="Times New Roman" w:hAnsi="Times New Roman" w:cs="Times New Roman"/>
          <w:sz w:val="24"/>
          <w:szCs w:val="24"/>
          <w:lang w:val="en-US"/>
        </w:rPr>
        <w:t xml:space="preserve"> and </w:t>
      </w:r>
      <w:r w:rsidR="00806CBE" w:rsidRPr="003C6427">
        <w:rPr>
          <w:rFonts w:ascii="Times New Roman" w:hAnsi="Times New Roman" w:cs="Times New Roman"/>
          <w:sz w:val="24"/>
          <w:szCs w:val="24"/>
          <w:lang w:val="en-US"/>
        </w:rPr>
        <w:t>family</w:t>
      </w:r>
      <w:r w:rsidR="00F33C91" w:rsidRPr="003C6427">
        <w:rPr>
          <w:rFonts w:ascii="Times New Roman" w:hAnsi="Times New Roman" w:cs="Times New Roman"/>
          <w:sz w:val="24"/>
          <w:szCs w:val="24"/>
          <w:lang w:val="en-US"/>
        </w:rPr>
        <w:t xml:space="preserve"> violence</w:t>
      </w:r>
      <w:r w:rsidR="00404A3E" w:rsidRPr="003C6427">
        <w:rPr>
          <w:rFonts w:ascii="Times New Roman" w:hAnsi="Times New Roman" w:cs="Times New Roman"/>
          <w:sz w:val="24"/>
          <w:szCs w:val="24"/>
          <w:lang w:val="en-US"/>
        </w:rPr>
        <w:t>,</w:t>
      </w:r>
      <w:r w:rsidR="00806CBE" w:rsidRPr="003C6427">
        <w:rPr>
          <w:rFonts w:ascii="Times New Roman" w:hAnsi="Times New Roman" w:cs="Times New Roman"/>
          <w:sz w:val="24"/>
          <w:szCs w:val="24"/>
          <w:lang w:val="en-US"/>
        </w:rPr>
        <w:t xml:space="preserve"> and</w:t>
      </w:r>
      <w:r w:rsidR="00404A3E" w:rsidRPr="003C6427">
        <w:rPr>
          <w:rFonts w:ascii="Times New Roman" w:hAnsi="Times New Roman" w:cs="Times New Roman"/>
          <w:sz w:val="24"/>
          <w:szCs w:val="24"/>
          <w:lang w:val="en-US"/>
        </w:rPr>
        <w:t xml:space="preserve"> where relevant,</w:t>
      </w:r>
      <w:r w:rsidR="00806CBE" w:rsidRPr="003C6427">
        <w:rPr>
          <w:rFonts w:ascii="Times New Roman" w:hAnsi="Times New Roman" w:cs="Times New Roman"/>
          <w:sz w:val="24"/>
          <w:szCs w:val="24"/>
          <w:lang w:val="en-US"/>
        </w:rPr>
        <w:t xml:space="preserve"> sexual violence can seek assistance. For example, on its website or through relevant community or domestic, family and sexual violence organisations. </w:t>
      </w:r>
      <w:r w:rsidR="00832E14" w:rsidRPr="003C6427">
        <w:rPr>
          <w:rFonts w:ascii="Times New Roman" w:hAnsi="Times New Roman" w:cs="Times New Roman"/>
          <w:sz w:val="24"/>
          <w:szCs w:val="24"/>
          <w:lang w:val="en-US"/>
        </w:rPr>
        <w:t>It is intended that</w:t>
      </w:r>
      <w:r w:rsidR="00040DF2" w:rsidRPr="003C6427">
        <w:rPr>
          <w:rFonts w:ascii="Times New Roman" w:hAnsi="Times New Roman" w:cs="Times New Roman"/>
          <w:sz w:val="24"/>
          <w:szCs w:val="24"/>
          <w:lang w:val="en-US"/>
        </w:rPr>
        <w:t xml:space="preserve"> in </w:t>
      </w:r>
      <w:r w:rsidR="00751F15" w:rsidRPr="003C6427">
        <w:rPr>
          <w:rFonts w:ascii="Times New Roman" w:hAnsi="Times New Roman" w:cs="Times New Roman"/>
          <w:sz w:val="24"/>
          <w:szCs w:val="24"/>
          <w:lang w:val="en-US"/>
        </w:rPr>
        <w:t xml:space="preserve">providing </w:t>
      </w:r>
      <w:r w:rsidR="00040DF2" w:rsidRPr="003C6427">
        <w:rPr>
          <w:rFonts w:ascii="Times New Roman" w:hAnsi="Times New Roman" w:cs="Times New Roman"/>
          <w:sz w:val="24"/>
          <w:szCs w:val="24"/>
          <w:lang w:val="en-US"/>
        </w:rPr>
        <w:t>information about where to get assistance,</w:t>
      </w:r>
      <w:r w:rsidR="00832E14" w:rsidRPr="003C6427">
        <w:rPr>
          <w:rFonts w:ascii="Times New Roman" w:hAnsi="Times New Roman" w:cs="Times New Roman"/>
          <w:sz w:val="24"/>
          <w:szCs w:val="24"/>
          <w:lang w:val="en-US"/>
        </w:rPr>
        <w:t xml:space="preserve"> </w:t>
      </w:r>
      <w:r w:rsidR="00040DF2" w:rsidRPr="003C6427">
        <w:rPr>
          <w:rFonts w:ascii="Times New Roman" w:hAnsi="Times New Roman" w:cs="Times New Roman"/>
          <w:sz w:val="24"/>
          <w:szCs w:val="24"/>
          <w:lang w:val="en-US"/>
        </w:rPr>
        <w:t>carriage service provide</w:t>
      </w:r>
      <w:r w:rsidR="00FC4791" w:rsidRPr="003C6427">
        <w:rPr>
          <w:rFonts w:ascii="Times New Roman" w:hAnsi="Times New Roman" w:cs="Times New Roman"/>
          <w:sz w:val="24"/>
          <w:szCs w:val="24"/>
          <w:lang w:val="en-US"/>
        </w:rPr>
        <w:t>rs</w:t>
      </w:r>
      <w:r w:rsidR="00832E14" w:rsidRPr="003C6427">
        <w:rPr>
          <w:rFonts w:ascii="Times New Roman" w:hAnsi="Times New Roman" w:cs="Times New Roman"/>
          <w:sz w:val="24"/>
          <w:szCs w:val="24"/>
          <w:lang w:val="en-US"/>
        </w:rPr>
        <w:t xml:space="preserve"> </w:t>
      </w:r>
      <w:r w:rsidR="00751F15" w:rsidRPr="003C6427">
        <w:rPr>
          <w:rFonts w:ascii="Times New Roman" w:hAnsi="Times New Roman" w:cs="Times New Roman"/>
          <w:sz w:val="24"/>
          <w:szCs w:val="24"/>
          <w:lang w:val="en-US"/>
        </w:rPr>
        <w:t>provide</w:t>
      </w:r>
      <w:r w:rsidR="00040DF2" w:rsidRPr="003C6427">
        <w:rPr>
          <w:rFonts w:ascii="Times New Roman" w:hAnsi="Times New Roman" w:cs="Times New Roman"/>
          <w:sz w:val="24"/>
          <w:szCs w:val="24"/>
          <w:lang w:val="en-US"/>
        </w:rPr>
        <w:t xml:space="preserve"> information on</w:t>
      </w:r>
      <w:r w:rsidR="00832E14" w:rsidRPr="003C6427">
        <w:rPr>
          <w:rFonts w:ascii="Times New Roman" w:hAnsi="Times New Roman" w:cs="Times New Roman"/>
          <w:sz w:val="24"/>
          <w:szCs w:val="24"/>
          <w:lang w:val="en-US"/>
        </w:rPr>
        <w:t xml:space="preserve"> how relevant consumers can seek assistance. </w:t>
      </w:r>
      <w:r w:rsidR="00806CBE" w:rsidRPr="003C6427">
        <w:rPr>
          <w:rFonts w:ascii="Times New Roman" w:hAnsi="Times New Roman" w:cs="Times New Roman"/>
          <w:sz w:val="24"/>
          <w:szCs w:val="24"/>
          <w:lang w:val="en-US"/>
        </w:rPr>
        <w:t>It would</w:t>
      </w:r>
      <w:r w:rsidR="0026021D" w:rsidRPr="003C6427">
        <w:rPr>
          <w:rFonts w:ascii="Times New Roman" w:hAnsi="Times New Roman" w:cs="Times New Roman"/>
          <w:sz w:val="24"/>
          <w:szCs w:val="24"/>
          <w:lang w:val="en-US"/>
        </w:rPr>
        <w:t xml:space="preserve"> also</w:t>
      </w:r>
      <w:r w:rsidR="00806CBE" w:rsidRPr="003C6427">
        <w:rPr>
          <w:rFonts w:ascii="Times New Roman" w:hAnsi="Times New Roman" w:cs="Times New Roman"/>
          <w:sz w:val="24"/>
          <w:szCs w:val="24"/>
          <w:lang w:val="en-US"/>
        </w:rPr>
        <w:t xml:space="preserve"> be prudent to promote information to groups who are</w:t>
      </w:r>
      <w:r w:rsidR="009201A8" w:rsidRPr="003C6427">
        <w:rPr>
          <w:rFonts w:ascii="Times New Roman" w:hAnsi="Times New Roman" w:cs="Times New Roman"/>
          <w:sz w:val="24"/>
          <w:szCs w:val="24"/>
          <w:lang w:val="en-US"/>
        </w:rPr>
        <w:t>, or may be,</w:t>
      </w:r>
      <w:r w:rsidR="00806CBE" w:rsidRPr="003C6427">
        <w:rPr>
          <w:rFonts w:ascii="Times New Roman" w:hAnsi="Times New Roman" w:cs="Times New Roman"/>
          <w:sz w:val="24"/>
          <w:szCs w:val="24"/>
          <w:lang w:val="en-US"/>
        </w:rPr>
        <w:t xml:space="preserve"> </w:t>
      </w:r>
      <w:r w:rsidR="005536CB" w:rsidRPr="003C6427">
        <w:rPr>
          <w:rFonts w:ascii="Times New Roman" w:hAnsi="Times New Roman" w:cs="Times New Roman"/>
          <w:sz w:val="24"/>
          <w:szCs w:val="24"/>
          <w:lang w:val="en-US"/>
        </w:rPr>
        <w:t>disproportionately</w:t>
      </w:r>
      <w:r w:rsidR="00806CBE" w:rsidRPr="003C6427">
        <w:rPr>
          <w:rFonts w:ascii="Times New Roman" w:hAnsi="Times New Roman" w:cs="Times New Roman"/>
          <w:sz w:val="24"/>
          <w:szCs w:val="24"/>
          <w:lang w:val="en-US"/>
        </w:rPr>
        <w:t xml:space="preserve"> affected by domestic</w:t>
      </w:r>
      <w:r w:rsidR="002C3132">
        <w:rPr>
          <w:rFonts w:ascii="Times New Roman" w:hAnsi="Times New Roman" w:cs="Times New Roman"/>
          <w:sz w:val="24"/>
          <w:szCs w:val="24"/>
          <w:lang w:val="en-US"/>
        </w:rPr>
        <w:t xml:space="preserve"> and</w:t>
      </w:r>
      <w:r w:rsidR="00806CBE" w:rsidRPr="002C3132">
        <w:rPr>
          <w:rFonts w:ascii="Times New Roman" w:hAnsi="Times New Roman" w:cs="Times New Roman"/>
          <w:sz w:val="24"/>
          <w:szCs w:val="24"/>
          <w:lang w:val="en-US"/>
        </w:rPr>
        <w:t xml:space="preserve"> family</w:t>
      </w:r>
      <w:r w:rsidR="00B4491C">
        <w:rPr>
          <w:rFonts w:ascii="Times New Roman" w:hAnsi="Times New Roman" w:cs="Times New Roman"/>
          <w:sz w:val="24"/>
          <w:szCs w:val="24"/>
          <w:lang w:val="en-US"/>
        </w:rPr>
        <w:t xml:space="preserve"> violence</w:t>
      </w:r>
      <w:r w:rsidR="002C3132">
        <w:rPr>
          <w:rFonts w:ascii="Times New Roman" w:hAnsi="Times New Roman" w:cs="Times New Roman"/>
          <w:sz w:val="24"/>
          <w:szCs w:val="24"/>
          <w:lang w:val="en-US"/>
        </w:rPr>
        <w:t>,</w:t>
      </w:r>
      <w:r w:rsidR="00806CBE" w:rsidRPr="002C3132">
        <w:rPr>
          <w:rFonts w:ascii="Times New Roman" w:hAnsi="Times New Roman" w:cs="Times New Roman"/>
          <w:sz w:val="24"/>
          <w:szCs w:val="24"/>
          <w:lang w:val="en-US"/>
        </w:rPr>
        <w:t xml:space="preserve"> and</w:t>
      </w:r>
      <w:r w:rsidR="002C3132">
        <w:rPr>
          <w:rFonts w:ascii="Times New Roman" w:hAnsi="Times New Roman" w:cs="Times New Roman"/>
          <w:sz w:val="24"/>
          <w:szCs w:val="24"/>
          <w:lang w:val="en-US"/>
        </w:rPr>
        <w:t xml:space="preserve"> where relevant,</w:t>
      </w:r>
      <w:r w:rsidR="00806CBE" w:rsidRPr="002C3132">
        <w:rPr>
          <w:rFonts w:ascii="Times New Roman" w:hAnsi="Times New Roman" w:cs="Times New Roman"/>
          <w:sz w:val="24"/>
          <w:szCs w:val="24"/>
          <w:lang w:val="en-US"/>
        </w:rPr>
        <w:t xml:space="preserve"> sexual violence, such as </w:t>
      </w:r>
      <w:r w:rsidR="007477F9">
        <w:rPr>
          <w:rFonts w:ascii="Times New Roman" w:hAnsi="Times New Roman" w:cs="Times New Roman"/>
          <w:sz w:val="24"/>
          <w:szCs w:val="24"/>
          <w:lang w:val="en-US"/>
        </w:rPr>
        <w:t>persons</w:t>
      </w:r>
      <w:r w:rsidR="00806CBE" w:rsidRPr="002C3132">
        <w:rPr>
          <w:rFonts w:ascii="Times New Roman" w:hAnsi="Times New Roman" w:cs="Times New Roman"/>
          <w:sz w:val="24"/>
          <w:szCs w:val="24"/>
          <w:lang w:val="en-US"/>
        </w:rPr>
        <w:t xml:space="preserve"> with disabilit</w:t>
      </w:r>
      <w:r w:rsidR="007477F9">
        <w:rPr>
          <w:rFonts w:ascii="Times New Roman" w:hAnsi="Times New Roman" w:cs="Times New Roman"/>
          <w:sz w:val="24"/>
          <w:szCs w:val="24"/>
          <w:lang w:val="en-US"/>
        </w:rPr>
        <w:t>ies</w:t>
      </w:r>
      <w:r w:rsidR="00806CBE" w:rsidRPr="002C3132">
        <w:rPr>
          <w:rFonts w:ascii="Times New Roman" w:hAnsi="Times New Roman" w:cs="Times New Roman"/>
          <w:sz w:val="24"/>
          <w:szCs w:val="24"/>
          <w:lang w:val="en-US"/>
        </w:rPr>
        <w:t>, First Nations people, people from culturally and linguistically diverse backgrounds and</w:t>
      </w:r>
      <w:r w:rsidR="007477F9">
        <w:rPr>
          <w:rFonts w:ascii="Times New Roman" w:hAnsi="Times New Roman" w:cs="Times New Roman"/>
          <w:sz w:val="24"/>
          <w:szCs w:val="24"/>
          <w:lang w:val="en-US"/>
        </w:rPr>
        <w:t xml:space="preserve"> people who identify as</w:t>
      </w:r>
      <w:r w:rsidR="00806CBE" w:rsidRPr="002C3132">
        <w:rPr>
          <w:rFonts w:ascii="Times New Roman" w:hAnsi="Times New Roman" w:cs="Times New Roman"/>
          <w:sz w:val="24"/>
          <w:szCs w:val="24"/>
          <w:lang w:val="en-US"/>
        </w:rPr>
        <w:t xml:space="preserve"> LGBTQIA+.  </w:t>
      </w:r>
    </w:p>
    <w:p w14:paraId="723A6C49"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7A6BE0BE" w14:textId="6FB145D1" w:rsidR="00137621"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w:t>
      </w:r>
      <w:r w:rsidR="00824B8C" w:rsidRPr="003C6427">
        <w:rPr>
          <w:rFonts w:ascii="Times New Roman" w:hAnsi="Times New Roman" w:cs="Times New Roman"/>
          <w:sz w:val="24"/>
          <w:szCs w:val="24"/>
          <w:lang w:val="en-US"/>
        </w:rPr>
        <w:t>j</w:t>
      </w:r>
      <w:r w:rsidR="009A759A" w:rsidRPr="003C6427">
        <w:rPr>
          <w:rFonts w:ascii="Times New Roman" w:hAnsi="Times New Roman" w:cs="Times New Roman"/>
          <w:sz w:val="24"/>
          <w:szCs w:val="24"/>
          <w:lang w:val="en-US"/>
        </w:rPr>
        <w:t>)</w:t>
      </w:r>
      <w:r w:rsidR="00251799" w:rsidRPr="003C6427">
        <w:rPr>
          <w:rFonts w:ascii="Times New Roman" w:hAnsi="Times New Roman" w:cs="Times New Roman"/>
          <w:sz w:val="24"/>
          <w:szCs w:val="24"/>
          <w:lang w:val="en-US"/>
        </w:rPr>
        <w:t xml:space="preserve"> </w:t>
      </w:r>
      <w:r w:rsidR="00F33C91" w:rsidRPr="003C6427">
        <w:rPr>
          <w:rFonts w:ascii="Times New Roman" w:hAnsi="Times New Roman" w:cs="Times New Roman"/>
          <w:sz w:val="24"/>
          <w:szCs w:val="24"/>
          <w:lang w:val="en-US"/>
        </w:rPr>
        <w:t xml:space="preserve">requires that where appropriate, </w:t>
      </w:r>
      <w:r w:rsidR="00251799" w:rsidRPr="003C6427">
        <w:rPr>
          <w:rFonts w:ascii="Times New Roman" w:hAnsi="Times New Roman" w:cs="Times New Roman"/>
          <w:sz w:val="24"/>
          <w:szCs w:val="24"/>
          <w:lang w:val="en-US"/>
        </w:rPr>
        <w:t xml:space="preserve">carriage service providers </w:t>
      </w:r>
      <w:r w:rsidR="00137621" w:rsidRPr="003C6427">
        <w:rPr>
          <w:rFonts w:ascii="Times New Roman" w:hAnsi="Times New Roman" w:cs="Times New Roman"/>
          <w:sz w:val="24"/>
          <w:szCs w:val="24"/>
          <w:lang w:val="en-US"/>
        </w:rPr>
        <w:t xml:space="preserve">undertake relevant </w:t>
      </w:r>
      <w:r w:rsidR="00251799" w:rsidRPr="003C6427">
        <w:rPr>
          <w:rFonts w:ascii="Times New Roman" w:hAnsi="Times New Roman" w:cs="Times New Roman"/>
          <w:sz w:val="24"/>
          <w:szCs w:val="24"/>
          <w:lang w:val="en-US"/>
        </w:rPr>
        <w:t>consult</w:t>
      </w:r>
      <w:r w:rsidR="00137621" w:rsidRPr="003C6427">
        <w:rPr>
          <w:rFonts w:ascii="Times New Roman" w:hAnsi="Times New Roman" w:cs="Times New Roman"/>
          <w:sz w:val="24"/>
          <w:szCs w:val="24"/>
          <w:lang w:val="en-US"/>
        </w:rPr>
        <w:t>ation</w:t>
      </w:r>
      <w:r w:rsidR="00251799" w:rsidRPr="003C6427">
        <w:rPr>
          <w:rFonts w:ascii="Times New Roman" w:hAnsi="Times New Roman" w:cs="Times New Roman"/>
          <w:sz w:val="24"/>
          <w:szCs w:val="24"/>
          <w:lang w:val="en-US"/>
        </w:rPr>
        <w:t xml:space="preserve"> and collaborat</w:t>
      </w:r>
      <w:r w:rsidR="00137621" w:rsidRPr="003C6427">
        <w:rPr>
          <w:rFonts w:ascii="Times New Roman" w:hAnsi="Times New Roman" w:cs="Times New Roman"/>
          <w:sz w:val="24"/>
          <w:szCs w:val="24"/>
          <w:lang w:val="en-US"/>
        </w:rPr>
        <w:t>ion</w:t>
      </w:r>
      <w:r w:rsidR="00251799" w:rsidRPr="003C6427">
        <w:rPr>
          <w:rFonts w:ascii="Times New Roman" w:hAnsi="Times New Roman" w:cs="Times New Roman"/>
          <w:sz w:val="24"/>
          <w:szCs w:val="24"/>
          <w:lang w:val="en-US"/>
        </w:rPr>
        <w:t xml:space="preserve"> with relevant </w:t>
      </w:r>
      <w:r w:rsidR="00137621" w:rsidRPr="003C6427">
        <w:rPr>
          <w:rFonts w:ascii="Times New Roman" w:hAnsi="Times New Roman" w:cs="Times New Roman"/>
          <w:sz w:val="24"/>
          <w:szCs w:val="24"/>
          <w:lang w:val="en-US"/>
        </w:rPr>
        <w:t xml:space="preserve">groups </w:t>
      </w:r>
      <w:r w:rsidR="00251799" w:rsidRPr="003C6427">
        <w:rPr>
          <w:rFonts w:ascii="Times New Roman" w:hAnsi="Times New Roman" w:cs="Times New Roman"/>
          <w:sz w:val="24"/>
          <w:szCs w:val="24"/>
          <w:lang w:val="en-US"/>
        </w:rPr>
        <w:t xml:space="preserve">and organisations </w:t>
      </w:r>
      <w:r w:rsidR="00137621" w:rsidRPr="003C6427">
        <w:rPr>
          <w:rFonts w:ascii="Times New Roman" w:hAnsi="Times New Roman" w:cs="Times New Roman"/>
          <w:sz w:val="24"/>
          <w:szCs w:val="24"/>
          <w:lang w:val="en-US"/>
        </w:rPr>
        <w:t xml:space="preserve">in the </w:t>
      </w:r>
      <w:r w:rsidR="00251799" w:rsidRPr="003C6427">
        <w:rPr>
          <w:rFonts w:ascii="Times New Roman" w:hAnsi="Times New Roman" w:cs="Times New Roman"/>
          <w:sz w:val="24"/>
          <w:szCs w:val="24"/>
          <w:lang w:val="en-US"/>
        </w:rPr>
        <w:t>implement</w:t>
      </w:r>
      <w:r w:rsidR="00137621" w:rsidRPr="003C6427">
        <w:rPr>
          <w:rFonts w:ascii="Times New Roman" w:hAnsi="Times New Roman" w:cs="Times New Roman"/>
          <w:sz w:val="24"/>
          <w:szCs w:val="24"/>
          <w:lang w:val="en-US"/>
        </w:rPr>
        <w:t xml:space="preserve">ation of </w:t>
      </w:r>
      <w:r w:rsidR="00251799" w:rsidRPr="003C6427">
        <w:rPr>
          <w:rFonts w:ascii="Times New Roman" w:hAnsi="Times New Roman" w:cs="Times New Roman"/>
          <w:sz w:val="24"/>
          <w:szCs w:val="24"/>
          <w:lang w:val="en-US"/>
        </w:rPr>
        <w:t xml:space="preserve">obligations </w:t>
      </w:r>
      <w:r w:rsidR="00137621" w:rsidRPr="003C6427">
        <w:rPr>
          <w:rFonts w:ascii="Times New Roman" w:hAnsi="Times New Roman" w:cs="Times New Roman"/>
          <w:sz w:val="24"/>
          <w:szCs w:val="24"/>
          <w:lang w:val="en-US"/>
        </w:rPr>
        <w:t xml:space="preserve">in </w:t>
      </w:r>
      <w:r w:rsidR="00251799" w:rsidRPr="003C6427">
        <w:rPr>
          <w:rFonts w:ascii="Times New Roman" w:hAnsi="Times New Roman" w:cs="Times New Roman"/>
          <w:sz w:val="24"/>
          <w:szCs w:val="24"/>
          <w:lang w:val="en-US"/>
        </w:rPr>
        <w:t>the industry standard</w:t>
      </w:r>
      <w:r w:rsidR="00137621" w:rsidRPr="003C6427">
        <w:rPr>
          <w:rFonts w:ascii="Times New Roman" w:hAnsi="Times New Roman" w:cs="Times New Roman"/>
          <w:sz w:val="24"/>
          <w:szCs w:val="24"/>
          <w:lang w:val="en-US"/>
        </w:rPr>
        <w:t xml:space="preserve">, such as: </w:t>
      </w:r>
    </w:p>
    <w:p w14:paraId="664889A9" w14:textId="77777777" w:rsidR="00040DF2" w:rsidRPr="003C6427" w:rsidRDefault="00040DF2" w:rsidP="003C6427">
      <w:pPr>
        <w:pStyle w:val="ListParagraph"/>
        <w:widowControl w:val="0"/>
        <w:numPr>
          <w:ilvl w:val="0"/>
          <w:numId w:val="18"/>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domestic and family violence support services and organisations, and where relevant, sexual violence support services and organisations (s 7(1)(j)(i); and</w:t>
      </w:r>
    </w:p>
    <w:p w14:paraId="2AAAC6FB" w14:textId="77777777" w:rsidR="00040DF2" w:rsidRPr="003C6427" w:rsidRDefault="00040DF2" w:rsidP="003C6427">
      <w:pPr>
        <w:pStyle w:val="ListParagraph"/>
        <w:widowControl w:val="0"/>
        <w:numPr>
          <w:ilvl w:val="0"/>
          <w:numId w:val="18"/>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those with lived experience of domestic and family violence, and where relevant, sexual violence (s 7(1)(j)(ii); and</w:t>
      </w:r>
    </w:p>
    <w:p w14:paraId="295394EE" w14:textId="1894D995" w:rsidR="00040DF2" w:rsidRPr="003C6427" w:rsidRDefault="00040DF2" w:rsidP="003C6427">
      <w:pPr>
        <w:pStyle w:val="ListParagraph"/>
        <w:widowControl w:val="0"/>
        <w:numPr>
          <w:ilvl w:val="0"/>
          <w:numId w:val="18"/>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groups who are, or may be, disproportionately affected by domestic and family violence, and where relevant, sexual violence (s 7(1)(j)(iii); and</w:t>
      </w:r>
    </w:p>
    <w:p w14:paraId="5FE4D4DA" w14:textId="429810CE" w:rsidR="00040DF2" w:rsidRPr="003C6427" w:rsidRDefault="00040DF2" w:rsidP="003C6427">
      <w:pPr>
        <w:pStyle w:val="ListParagraph"/>
        <w:widowControl w:val="0"/>
        <w:numPr>
          <w:ilvl w:val="0"/>
          <w:numId w:val="18"/>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other </w:t>
      </w:r>
      <w:r w:rsidR="0079473C" w:rsidRPr="003C6427">
        <w:rPr>
          <w:rFonts w:ascii="Times New Roman" w:hAnsi="Times New Roman" w:cs="Times New Roman"/>
          <w:sz w:val="24"/>
          <w:szCs w:val="24"/>
          <w:lang w:val="en-US"/>
        </w:rPr>
        <w:t>sectors</w:t>
      </w:r>
      <w:r w:rsidRPr="003C6427">
        <w:rPr>
          <w:rFonts w:ascii="Times New Roman" w:hAnsi="Times New Roman" w:cs="Times New Roman"/>
          <w:sz w:val="24"/>
          <w:szCs w:val="24"/>
          <w:lang w:val="en-US"/>
        </w:rPr>
        <w:t xml:space="preserve"> with experience in implementing responses to domestic and family violence, and where relevant sexual violence (s 7(1)(j)(iv); and</w:t>
      </w:r>
    </w:p>
    <w:p w14:paraId="23910FFE" w14:textId="61C0E34C" w:rsidR="00137621" w:rsidRPr="003C6427" w:rsidRDefault="00040DF2" w:rsidP="003C6427">
      <w:pPr>
        <w:pStyle w:val="ListParagraph"/>
        <w:widowControl w:val="0"/>
        <w:numPr>
          <w:ilvl w:val="0"/>
          <w:numId w:val="18"/>
        </w:numPr>
        <w:spacing w:after="0" w:line="240" w:lineRule="auto"/>
        <w:contextualSpacing w:val="0"/>
        <w:rPr>
          <w:rFonts w:ascii="Times New Roman" w:hAnsi="Times New Roman" w:cs="Times New Roman"/>
          <w:sz w:val="24"/>
          <w:szCs w:val="24"/>
          <w:lang w:val="en-US"/>
        </w:rPr>
      </w:pPr>
      <w:r w:rsidRPr="003C6427">
        <w:rPr>
          <w:rFonts w:ascii="Times New Roman" w:hAnsi="Times New Roman" w:cs="Times New Roman"/>
          <w:sz w:val="24"/>
          <w:szCs w:val="24"/>
          <w:lang w:val="en-US"/>
        </w:rPr>
        <w:t>other carriage service providers (s 7(1)(j)(v).</w:t>
      </w:r>
    </w:p>
    <w:p w14:paraId="0FC12FE4" w14:textId="77777777" w:rsidR="00001A25" w:rsidRPr="003C6427" w:rsidRDefault="00001A25" w:rsidP="00087A4D">
      <w:pPr>
        <w:widowControl w:val="0"/>
        <w:spacing w:after="0" w:line="240" w:lineRule="auto"/>
        <w:rPr>
          <w:rFonts w:ascii="Times New Roman" w:hAnsi="Times New Roman" w:cs="Times New Roman"/>
          <w:sz w:val="24"/>
          <w:szCs w:val="24"/>
          <w:lang w:val="en-US"/>
        </w:rPr>
      </w:pPr>
    </w:p>
    <w:p w14:paraId="46591F16" w14:textId="6679D09E" w:rsidR="008B5ED3" w:rsidRPr="003C6427" w:rsidRDefault="0026021D"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It is intended that the ACMA determine which obligations in the industry standard require consultation and who the relevant group or organisation is to provide their e</w:t>
      </w:r>
      <w:r w:rsidR="0079473C" w:rsidRPr="003C6427">
        <w:rPr>
          <w:rFonts w:ascii="Times New Roman" w:hAnsi="Times New Roman" w:cs="Times New Roman"/>
          <w:sz w:val="24"/>
          <w:szCs w:val="24"/>
          <w:lang w:val="en-US"/>
        </w:rPr>
        <w:t>xperience</w:t>
      </w:r>
      <w:r w:rsidR="00251799" w:rsidRPr="003C6427">
        <w:rPr>
          <w:rFonts w:ascii="Times New Roman" w:hAnsi="Times New Roman" w:cs="Times New Roman"/>
          <w:sz w:val="24"/>
          <w:szCs w:val="24"/>
          <w:lang w:val="en-US"/>
        </w:rPr>
        <w:t xml:space="preserve"> and understanding </w:t>
      </w:r>
      <w:r w:rsidRPr="003C6427">
        <w:rPr>
          <w:rFonts w:ascii="Times New Roman" w:hAnsi="Times New Roman" w:cs="Times New Roman"/>
          <w:sz w:val="24"/>
          <w:szCs w:val="24"/>
          <w:lang w:val="en-US"/>
        </w:rPr>
        <w:t>of</w:t>
      </w:r>
      <w:r w:rsidR="0079473C" w:rsidRPr="003C6427">
        <w:rPr>
          <w:rFonts w:ascii="Times New Roman" w:hAnsi="Times New Roman" w:cs="Times New Roman"/>
          <w:sz w:val="24"/>
          <w:szCs w:val="24"/>
          <w:lang w:val="en-US"/>
        </w:rPr>
        <w:t xml:space="preserve"> </w:t>
      </w:r>
      <w:r w:rsidR="00251799" w:rsidRPr="003C6427">
        <w:rPr>
          <w:rFonts w:ascii="Times New Roman" w:hAnsi="Times New Roman" w:cs="Times New Roman"/>
          <w:sz w:val="24"/>
          <w:szCs w:val="24"/>
          <w:lang w:val="en-US"/>
        </w:rPr>
        <w:t>domestic</w:t>
      </w:r>
      <w:r w:rsidR="0079473C" w:rsidRPr="003C6427">
        <w:rPr>
          <w:rFonts w:ascii="Times New Roman" w:hAnsi="Times New Roman" w:cs="Times New Roman"/>
          <w:sz w:val="24"/>
          <w:szCs w:val="24"/>
          <w:lang w:val="en-US"/>
        </w:rPr>
        <w:t xml:space="preserve"> and</w:t>
      </w:r>
      <w:r w:rsidR="00251799" w:rsidRPr="003C6427">
        <w:rPr>
          <w:rFonts w:ascii="Times New Roman" w:hAnsi="Times New Roman" w:cs="Times New Roman"/>
          <w:sz w:val="24"/>
          <w:szCs w:val="24"/>
          <w:lang w:val="en-US"/>
        </w:rPr>
        <w:t xml:space="preserve"> family</w:t>
      </w:r>
      <w:r w:rsidR="0079473C" w:rsidRPr="003C6427">
        <w:rPr>
          <w:rFonts w:ascii="Times New Roman" w:hAnsi="Times New Roman" w:cs="Times New Roman"/>
          <w:sz w:val="24"/>
          <w:szCs w:val="24"/>
          <w:lang w:val="en-US"/>
        </w:rPr>
        <w:t xml:space="preserve"> violence, and where relevant,</w:t>
      </w:r>
      <w:r w:rsidR="00251799" w:rsidRPr="003C6427">
        <w:rPr>
          <w:rFonts w:ascii="Times New Roman" w:hAnsi="Times New Roman" w:cs="Times New Roman"/>
          <w:sz w:val="24"/>
          <w:szCs w:val="24"/>
          <w:lang w:val="en-US"/>
        </w:rPr>
        <w:t xml:space="preserve"> sexual violence</w:t>
      </w:r>
      <w:r w:rsidRPr="003C6427">
        <w:rPr>
          <w:rFonts w:ascii="Times New Roman" w:hAnsi="Times New Roman" w:cs="Times New Roman"/>
          <w:sz w:val="24"/>
          <w:szCs w:val="24"/>
          <w:lang w:val="en-US"/>
        </w:rPr>
        <w:t>.</w:t>
      </w:r>
      <w:r w:rsidR="0079473C" w:rsidRPr="003C6427">
        <w:rPr>
          <w:rFonts w:ascii="Times New Roman" w:hAnsi="Times New Roman" w:cs="Times New Roman"/>
          <w:sz w:val="24"/>
          <w:szCs w:val="24"/>
          <w:lang w:val="en-US"/>
        </w:rPr>
        <w:t xml:space="preserve"> </w:t>
      </w:r>
      <w:r w:rsidR="00824B8C" w:rsidRPr="003C6427">
        <w:rPr>
          <w:rFonts w:ascii="Times New Roman" w:hAnsi="Times New Roman" w:cs="Times New Roman"/>
          <w:sz w:val="24"/>
          <w:szCs w:val="24"/>
          <w:lang w:val="en-US"/>
        </w:rPr>
        <w:t>It is intended that the ACMA</w:t>
      </w:r>
      <w:r w:rsidR="00BB2E59" w:rsidRPr="003C6427">
        <w:rPr>
          <w:rFonts w:ascii="Times New Roman" w:hAnsi="Times New Roman" w:cs="Times New Roman"/>
          <w:sz w:val="24"/>
          <w:szCs w:val="24"/>
          <w:lang w:val="en-US"/>
        </w:rPr>
        <w:t xml:space="preserve"> take a considered approach to the practical and resourcing implications, particularly during the initial phase of implementation to ensure this is done efficiently and to avoid onus or overwhelm on relevant </w:t>
      </w:r>
      <w:r w:rsidR="00137621" w:rsidRPr="003C6427">
        <w:rPr>
          <w:rFonts w:ascii="Times New Roman" w:hAnsi="Times New Roman" w:cs="Times New Roman"/>
          <w:sz w:val="24"/>
          <w:szCs w:val="24"/>
          <w:lang w:val="en-US"/>
        </w:rPr>
        <w:t xml:space="preserve">groups, experts </w:t>
      </w:r>
      <w:r w:rsidR="00BB2E59" w:rsidRPr="003C6427">
        <w:rPr>
          <w:rFonts w:ascii="Times New Roman" w:hAnsi="Times New Roman" w:cs="Times New Roman"/>
          <w:sz w:val="24"/>
          <w:szCs w:val="24"/>
          <w:lang w:val="en-US"/>
        </w:rPr>
        <w:t>and organisations.</w:t>
      </w:r>
      <w:r w:rsidR="00251799" w:rsidRPr="003C6427">
        <w:rPr>
          <w:rFonts w:ascii="Times New Roman" w:hAnsi="Times New Roman" w:cs="Times New Roman"/>
          <w:sz w:val="24"/>
          <w:szCs w:val="24"/>
          <w:lang w:val="en-US"/>
        </w:rPr>
        <w:t xml:space="preserve"> </w:t>
      </w:r>
      <w:r w:rsidR="00BB2E59" w:rsidRPr="003C6427">
        <w:rPr>
          <w:rFonts w:ascii="Times New Roman" w:hAnsi="Times New Roman" w:cs="Times New Roman"/>
          <w:sz w:val="24"/>
          <w:szCs w:val="24"/>
          <w:lang w:val="en-US"/>
        </w:rPr>
        <w:t>It is also intended that this paragraph e</w:t>
      </w:r>
      <w:r w:rsidR="006D49B5" w:rsidRPr="003C6427">
        <w:rPr>
          <w:rFonts w:ascii="Times New Roman" w:hAnsi="Times New Roman" w:cs="Times New Roman"/>
          <w:sz w:val="24"/>
          <w:szCs w:val="24"/>
          <w:lang w:val="en-US"/>
        </w:rPr>
        <w:t xml:space="preserve">xtends </w:t>
      </w:r>
      <w:r w:rsidR="00BB2E59" w:rsidRPr="003C6427">
        <w:rPr>
          <w:rFonts w:ascii="Times New Roman" w:hAnsi="Times New Roman" w:cs="Times New Roman"/>
          <w:sz w:val="24"/>
          <w:szCs w:val="24"/>
          <w:lang w:val="en-US"/>
        </w:rPr>
        <w:t xml:space="preserve">across objectives </w:t>
      </w:r>
      <w:r w:rsidR="006D49B5" w:rsidRPr="003C6427">
        <w:rPr>
          <w:rFonts w:ascii="Times New Roman" w:hAnsi="Times New Roman" w:cs="Times New Roman"/>
          <w:sz w:val="24"/>
          <w:szCs w:val="24"/>
          <w:lang w:val="en-US"/>
        </w:rPr>
        <w:t>to</w:t>
      </w:r>
      <w:r w:rsidR="00BB2E59" w:rsidRPr="003C6427">
        <w:rPr>
          <w:rFonts w:ascii="Times New Roman" w:hAnsi="Times New Roman" w:cs="Times New Roman"/>
          <w:sz w:val="24"/>
          <w:szCs w:val="24"/>
          <w:lang w:val="en-US"/>
        </w:rPr>
        <w:t xml:space="preserve"> consulting and </w:t>
      </w:r>
      <w:r w:rsidR="00C4335D" w:rsidRPr="003C6427">
        <w:rPr>
          <w:rFonts w:ascii="Times New Roman" w:hAnsi="Times New Roman" w:cs="Times New Roman"/>
          <w:sz w:val="24"/>
          <w:szCs w:val="24"/>
          <w:lang w:val="en-US"/>
        </w:rPr>
        <w:t>collaborating</w:t>
      </w:r>
      <w:r w:rsidR="00BB2E59" w:rsidRPr="003C6427">
        <w:rPr>
          <w:rFonts w:ascii="Times New Roman" w:hAnsi="Times New Roman" w:cs="Times New Roman"/>
          <w:sz w:val="24"/>
          <w:szCs w:val="24"/>
          <w:lang w:val="en-US"/>
        </w:rPr>
        <w:t xml:space="preserve"> when </w:t>
      </w:r>
      <w:r w:rsidR="006D49B5" w:rsidRPr="003C6427">
        <w:rPr>
          <w:rFonts w:ascii="Times New Roman" w:hAnsi="Times New Roman" w:cs="Times New Roman"/>
          <w:sz w:val="24"/>
          <w:szCs w:val="24"/>
          <w:lang w:val="en-US"/>
        </w:rPr>
        <w:t>reviewing and updating policies, systems and processes</w:t>
      </w:r>
      <w:r w:rsidR="00BB2E59" w:rsidRPr="003C6427">
        <w:rPr>
          <w:rFonts w:ascii="Times New Roman" w:hAnsi="Times New Roman" w:cs="Times New Roman"/>
          <w:sz w:val="24"/>
          <w:szCs w:val="24"/>
          <w:lang w:val="en-US"/>
        </w:rPr>
        <w:t>, as per subparagraph 7(1)(f)(v)</w:t>
      </w:r>
      <w:r w:rsidR="006D49B5" w:rsidRPr="003C6427">
        <w:rPr>
          <w:rFonts w:ascii="Times New Roman" w:hAnsi="Times New Roman" w:cs="Times New Roman"/>
          <w:sz w:val="24"/>
          <w:szCs w:val="24"/>
          <w:lang w:val="en-US"/>
        </w:rPr>
        <w:t>.</w:t>
      </w:r>
    </w:p>
    <w:p w14:paraId="640A5E7D" w14:textId="77777777" w:rsidR="008B5ED3" w:rsidRPr="003C6427" w:rsidRDefault="008B5ED3" w:rsidP="003C6427">
      <w:pPr>
        <w:widowControl w:val="0"/>
        <w:spacing w:after="0" w:line="240" w:lineRule="auto"/>
        <w:rPr>
          <w:rFonts w:ascii="Times New Roman" w:hAnsi="Times New Roman" w:cs="Times New Roman"/>
          <w:sz w:val="24"/>
          <w:szCs w:val="24"/>
          <w:lang w:val="en-US"/>
        </w:rPr>
      </w:pPr>
    </w:p>
    <w:p w14:paraId="7CD7D6E5" w14:textId="6A452CE4" w:rsidR="008B5ED3" w:rsidRPr="003C6427" w:rsidRDefault="00251799"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Further,</w:t>
      </w:r>
      <w:r w:rsidR="00824B8C" w:rsidRPr="003C6427">
        <w:rPr>
          <w:rFonts w:ascii="Times New Roman" w:hAnsi="Times New Roman" w:cs="Times New Roman"/>
          <w:sz w:val="24"/>
          <w:szCs w:val="24"/>
          <w:lang w:val="en-US"/>
        </w:rPr>
        <w:t xml:space="preserve"> subparagraph 7(1)(j)(iv)</w:t>
      </w:r>
      <w:r w:rsidRPr="003C6427">
        <w:rPr>
          <w:rFonts w:ascii="Times New Roman" w:hAnsi="Times New Roman" w:cs="Times New Roman"/>
          <w:sz w:val="24"/>
          <w:szCs w:val="24"/>
          <w:lang w:val="en-US"/>
        </w:rPr>
        <w:t xml:space="preserve"> </w:t>
      </w:r>
      <w:r w:rsidR="00BB2E59" w:rsidRPr="003C6427">
        <w:rPr>
          <w:rFonts w:ascii="Times New Roman" w:hAnsi="Times New Roman" w:cs="Times New Roman"/>
          <w:sz w:val="24"/>
          <w:szCs w:val="24"/>
          <w:lang w:val="en-US"/>
        </w:rPr>
        <w:t xml:space="preserve">highlights the value in consulting and collaborating with </w:t>
      </w:r>
      <w:r w:rsidRPr="003C6427">
        <w:rPr>
          <w:rFonts w:ascii="Times New Roman" w:hAnsi="Times New Roman" w:cs="Times New Roman"/>
          <w:sz w:val="24"/>
          <w:szCs w:val="24"/>
          <w:lang w:val="en-US"/>
        </w:rPr>
        <w:t>other sectors</w:t>
      </w:r>
      <w:r w:rsidR="00B67002" w:rsidRPr="003C6427">
        <w:rPr>
          <w:rFonts w:ascii="Times New Roman" w:hAnsi="Times New Roman" w:cs="Times New Roman"/>
          <w:sz w:val="24"/>
          <w:szCs w:val="24"/>
          <w:lang w:val="en-US"/>
        </w:rPr>
        <w:t xml:space="preserve"> </w:t>
      </w:r>
      <w:r w:rsidR="00333ED2" w:rsidRPr="003C6427">
        <w:rPr>
          <w:rFonts w:ascii="Times New Roman" w:hAnsi="Times New Roman" w:cs="Times New Roman"/>
          <w:sz w:val="24"/>
          <w:szCs w:val="24"/>
          <w:lang w:val="en-US"/>
        </w:rPr>
        <w:t>that</w:t>
      </w:r>
      <w:r w:rsidRPr="003C6427">
        <w:rPr>
          <w:rFonts w:ascii="Times New Roman" w:hAnsi="Times New Roman" w:cs="Times New Roman"/>
          <w:sz w:val="24"/>
          <w:szCs w:val="24"/>
          <w:lang w:val="en-US"/>
        </w:rPr>
        <w:t xml:space="preserve"> have experience and lessons learned from implementing responses to domestic, family and sexual violence, such as Energy, Water and Banking. Additionally, </w:t>
      </w:r>
      <w:r w:rsidR="00BB2E59" w:rsidRPr="003C6427">
        <w:rPr>
          <w:rFonts w:ascii="Times New Roman" w:hAnsi="Times New Roman" w:cs="Times New Roman"/>
          <w:sz w:val="24"/>
          <w:szCs w:val="24"/>
          <w:lang w:val="en-US"/>
        </w:rPr>
        <w:t>sub</w:t>
      </w:r>
      <w:r w:rsidRPr="003C6427">
        <w:rPr>
          <w:rFonts w:ascii="Times New Roman" w:hAnsi="Times New Roman" w:cs="Times New Roman"/>
          <w:sz w:val="24"/>
          <w:szCs w:val="24"/>
          <w:lang w:val="en-US"/>
        </w:rPr>
        <w:t>paragraph 7(1)(</w:t>
      </w:r>
      <w:r w:rsidR="00BB2E59" w:rsidRPr="003C6427">
        <w:rPr>
          <w:rFonts w:ascii="Times New Roman" w:hAnsi="Times New Roman" w:cs="Times New Roman"/>
          <w:sz w:val="24"/>
          <w:szCs w:val="24"/>
          <w:lang w:val="en-US"/>
        </w:rPr>
        <w:t>j</w:t>
      </w:r>
      <w:r w:rsidRPr="003C6427">
        <w:rPr>
          <w:rFonts w:ascii="Times New Roman" w:hAnsi="Times New Roman" w:cs="Times New Roman"/>
          <w:sz w:val="24"/>
          <w:szCs w:val="24"/>
          <w:lang w:val="en-US"/>
        </w:rPr>
        <w:t>)</w:t>
      </w:r>
      <w:r w:rsidR="00BB2E59" w:rsidRPr="003C6427">
        <w:rPr>
          <w:rFonts w:ascii="Times New Roman" w:hAnsi="Times New Roman" w:cs="Times New Roman"/>
          <w:sz w:val="24"/>
          <w:szCs w:val="24"/>
          <w:lang w:val="en-US"/>
        </w:rPr>
        <w:t>(v)</w:t>
      </w:r>
      <w:r w:rsidRPr="003C6427">
        <w:rPr>
          <w:rFonts w:ascii="Times New Roman" w:hAnsi="Times New Roman" w:cs="Times New Roman"/>
          <w:sz w:val="24"/>
          <w:szCs w:val="24"/>
          <w:lang w:val="en-US"/>
        </w:rPr>
        <w:t xml:space="preserve"> envisions that carriage service providers collaborate with each other to </w:t>
      </w:r>
      <w:r w:rsidR="00BA6CBD" w:rsidRPr="003C6427">
        <w:rPr>
          <w:rFonts w:ascii="Times New Roman" w:hAnsi="Times New Roman" w:cs="Times New Roman"/>
          <w:sz w:val="24"/>
          <w:szCs w:val="24"/>
          <w:lang w:val="en-US"/>
        </w:rPr>
        <w:t xml:space="preserve">achieve good outcomes for </w:t>
      </w:r>
      <w:r w:rsidR="00692009" w:rsidRPr="003C6427">
        <w:rPr>
          <w:rFonts w:ascii="Times New Roman" w:hAnsi="Times New Roman" w:cs="Times New Roman"/>
          <w:sz w:val="24"/>
          <w:szCs w:val="24"/>
          <w:lang w:val="en-US"/>
        </w:rPr>
        <w:t>relevant consumers who are, or may be, affected by domestic</w:t>
      </w:r>
      <w:r w:rsidR="00EB0F15" w:rsidRPr="003C6427">
        <w:rPr>
          <w:rFonts w:ascii="Times New Roman" w:hAnsi="Times New Roman" w:cs="Times New Roman"/>
          <w:sz w:val="24"/>
          <w:szCs w:val="24"/>
          <w:lang w:val="en-US"/>
        </w:rPr>
        <w:t xml:space="preserve"> and family violence,</w:t>
      </w:r>
      <w:r w:rsidR="00692009" w:rsidRPr="003C6427">
        <w:rPr>
          <w:rFonts w:ascii="Times New Roman" w:hAnsi="Times New Roman" w:cs="Times New Roman"/>
          <w:sz w:val="24"/>
          <w:szCs w:val="24"/>
          <w:lang w:val="en-US"/>
        </w:rPr>
        <w:t xml:space="preserve"> and where </w:t>
      </w:r>
      <w:r w:rsidR="0079473C" w:rsidRPr="003C6427">
        <w:rPr>
          <w:rFonts w:ascii="Times New Roman" w:hAnsi="Times New Roman" w:cs="Times New Roman"/>
          <w:sz w:val="24"/>
          <w:szCs w:val="24"/>
          <w:lang w:val="en-US"/>
        </w:rPr>
        <w:t>relevant</w:t>
      </w:r>
      <w:r w:rsidR="00692009" w:rsidRPr="003C6427">
        <w:rPr>
          <w:rFonts w:ascii="Times New Roman" w:hAnsi="Times New Roman" w:cs="Times New Roman"/>
          <w:sz w:val="24"/>
          <w:szCs w:val="24"/>
          <w:lang w:val="en-US"/>
        </w:rPr>
        <w:t xml:space="preserve">, </w:t>
      </w:r>
      <w:r w:rsidR="00EB0F15" w:rsidRPr="003C6427">
        <w:rPr>
          <w:rFonts w:ascii="Times New Roman" w:hAnsi="Times New Roman" w:cs="Times New Roman"/>
          <w:sz w:val="24"/>
          <w:szCs w:val="24"/>
          <w:lang w:val="en-US"/>
        </w:rPr>
        <w:t>sexual</w:t>
      </w:r>
      <w:r w:rsidR="00692009" w:rsidRPr="003C6427">
        <w:rPr>
          <w:rFonts w:ascii="Times New Roman" w:hAnsi="Times New Roman" w:cs="Times New Roman"/>
          <w:sz w:val="24"/>
          <w:szCs w:val="24"/>
          <w:lang w:val="en-US"/>
        </w:rPr>
        <w:t xml:space="preserve"> violence.</w:t>
      </w:r>
      <w:r w:rsidR="00BA6CBD" w:rsidRPr="003C6427">
        <w:rPr>
          <w:rFonts w:ascii="Times New Roman" w:hAnsi="Times New Roman" w:cs="Times New Roman"/>
          <w:sz w:val="24"/>
          <w:szCs w:val="24"/>
          <w:lang w:val="en-US"/>
        </w:rPr>
        <w:t xml:space="preserve"> </w:t>
      </w:r>
    </w:p>
    <w:p w14:paraId="7F5C0832" w14:textId="77777777" w:rsidR="008B5ED3" w:rsidRPr="003C6427" w:rsidRDefault="008B5ED3" w:rsidP="003C6427">
      <w:pPr>
        <w:widowControl w:val="0"/>
        <w:spacing w:after="0" w:line="240" w:lineRule="auto"/>
        <w:rPr>
          <w:rFonts w:ascii="Times New Roman" w:hAnsi="Times New Roman" w:cs="Times New Roman"/>
          <w:sz w:val="24"/>
          <w:szCs w:val="24"/>
          <w:lang w:val="en-US"/>
        </w:rPr>
      </w:pPr>
    </w:p>
    <w:p w14:paraId="08B373DB" w14:textId="77777777" w:rsidR="009A759A"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w:t>
      </w:r>
      <w:r w:rsidR="009A759A" w:rsidRPr="003C6427">
        <w:rPr>
          <w:rFonts w:ascii="Times New Roman" w:hAnsi="Times New Roman" w:cs="Times New Roman"/>
          <w:sz w:val="24"/>
          <w:szCs w:val="24"/>
          <w:lang w:val="en-US"/>
        </w:rPr>
        <w:t xml:space="preserve"> 7(1)(</w:t>
      </w:r>
      <w:r w:rsidR="00BB2E59" w:rsidRPr="003C6427">
        <w:rPr>
          <w:rFonts w:ascii="Times New Roman" w:hAnsi="Times New Roman" w:cs="Times New Roman"/>
          <w:sz w:val="24"/>
          <w:szCs w:val="24"/>
          <w:lang w:val="en-US"/>
        </w:rPr>
        <w:t>k</w:t>
      </w:r>
      <w:r w:rsidR="009A759A" w:rsidRPr="003C6427">
        <w:rPr>
          <w:rFonts w:ascii="Times New Roman" w:hAnsi="Times New Roman" w:cs="Times New Roman"/>
          <w:sz w:val="24"/>
          <w:szCs w:val="24"/>
          <w:lang w:val="en-US"/>
        </w:rPr>
        <w:t>)</w:t>
      </w:r>
      <w:r w:rsidR="00BA6CBD" w:rsidRPr="003C6427">
        <w:rPr>
          <w:rFonts w:ascii="Times New Roman" w:hAnsi="Times New Roman" w:cs="Times New Roman"/>
          <w:sz w:val="24"/>
          <w:szCs w:val="24"/>
          <w:lang w:val="en-US"/>
        </w:rPr>
        <w:t xml:space="preserve"> provides that carriage service providers keep and maintain relevant records to demonstrate compliance with the requirements of the industry standard.</w:t>
      </w:r>
      <w:r w:rsidR="0052699A" w:rsidRPr="003C6427">
        <w:rPr>
          <w:rFonts w:ascii="Times New Roman" w:hAnsi="Times New Roman" w:cs="Times New Roman"/>
          <w:sz w:val="24"/>
          <w:szCs w:val="24"/>
          <w:lang w:val="en-US"/>
        </w:rPr>
        <w:t xml:space="preserve"> This is intended to </w:t>
      </w:r>
      <w:r w:rsidR="00EB135C" w:rsidRPr="003C6427">
        <w:rPr>
          <w:rFonts w:ascii="Times New Roman" w:hAnsi="Times New Roman" w:cs="Times New Roman"/>
          <w:sz w:val="24"/>
          <w:szCs w:val="24"/>
          <w:lang w:val="en-US"/>
        </w:rPr>
        <w:t>cover</w:t>
      </w:r>
      <w:r w:rsidR="0052699A" w:rsidRPr="003C6427">
        <w:rPr>
          <w:rFonts w:ascii="Times New Roman" w:hAnsi="Times New Roman" w:cs="Times New Roman"/>
          <w:sz w:val="24"/>
          <w:szCs w:val="24"/>
          <w:lang w:val="en-US"/>
        </w:rPr>
        <w:t xml:space="preserve"> records </w:t>
      </w:r>
      <w:r w:rsidR="00D91CBD" w:rsidRPr="003C6427">
        <w:rPr>
          <w:rFonts w:ascii="Times New Roman" w:hAnsi="Times New Roman" w:cs="Times New Roman"/>
          <w:sz w:val="24"/>
          <w:szCs w:val="24"/>
          <w:lang w:val="en-US"/>
        </w:rPr>
        <w:t>around policy, system and process obligations</w:t>
      </w:r>
      <w:r w:rsidR="00EB135C" w:rsidRPr="003C6427">
        <w:rPr>
          <w:rFonts w:ascii="Times New Roman" w:hAnsi="Times New Roman" w:cs="Times New Roman"/>
          <w:sz w:val="24"/>
          <w:szCs w:val="24"/>
          <w:lang w:val="en-US"/>
        </w:rPr>
        <w:t>, rather than those that</w:t>
      </w:r>
      <w:r w:rsidR="0052699A" w:rsidRPr="003C6427">
        <w:rPr>
          <w:rFonts w:ascii="Times New Roman" w:hAnsi="Times New Roman" w:cs="Times New Roman"/>
          <w:sz w:val="24"/>
          <w:szCs w:val="24"/>
          <w:lang w:val="en-US"/>
        </w:rPr>
        <w:t xml:space="preserve"> contain personal information relating to affected consumers. </w:t>
      </w:r>
      <w:r w:rsidR="00BB2E59" w:rsidRPr="003C6427">
        <w:rPr>
          <w:rFonts w:ascii="Times New Roman" w:hAnsi="Times New Roman" w:cs="Times New Roman"/>
          <w:sz w:val="24"/>
          <w:szCs w:val="24"/>
          <w:lang w:val="en-US"/>
        </w:rPr>
        <w:t xml:space="preserve">It is a matter for the ACMA to determine </w:t>
      </w:r>
      <w:r w:rsidR="00FF37B2" w:rsidRPr="003C6427">
        <w:rPr>
          <w:rFonts w:ascii="Times New Roman" w:hAnsi="Times New Roman" w:cs="Times New Roman"/>
          <w:sz w:val="24"/>
          <w:szCs w:val="24"/>
          <w:lang w:val="en-US"/>
        </w:rPr>
        <w:t>reporting requirements for carriage service providers, such as how and when</w:t>
      </w:r>
      <w:r w:rsidR="00162248" w:rsidRPr="003C6427">
        <w:rPr>
          <w:rFonts w:ascii="Times New Roman" w:hAnsi="Times New Roman" w:cs="Times New Roman"/>
          <w:sz w:val="24"/>
          <w:szCs w:val="24"/>
          <w:lang w:val="en-US"/>
        </w:rPr>
        <w:t xml:space="preserve"> records are provided to the ACMA to demonstrate compliance.</w:t>
      </w:r>
      <w:r w:rsidR="00EB135C" w:rsidRPr="003C6427">
        <w:rPr>
          <w:rFonts w:ascii="Times New Roman" w:hAnsi="Times New Roman" w:cs="Times New Roman"/>
          <w:sz w:val="24"/>
          <w:szCs w:val="24"/>
          <w:lang w:val="en-US"/>
        </w:rPr>
        <w:t xml:space="preserve"> </w:t>
      </w:r>
      <w:r w:rsidR="003D7B89" w:rsidRPr="003C6427">
        <w:rPr>
          <w:rFonts w:ascii="Times New Roman" w:hAnsi="Times New Roman" w:cs="Times New Roman"/>
          <w:sz w:val="24"/>
          <w:szCs w:val="24"/>
          <w:lang w:val="en-US"/>
        </w:rPr>
        <w:t>Also,</w:t>
      </w:r>
      <w:r w:rsidR="00EB135C" w:rsidRPr="003C6427">
        <w:rPr>
          <w:rFonts w:ascii="Times New Roman" w:hAnsi="Times New Roman" w:cs="Times New Roman"/>
          <w:sz w:val="24"/>
          <w:szCs w:val="24"/>
          <w:lang w:val="en-US"/>
        </w:rPr>
        <w:t xml:space="preserve"> if and how the ACMA chooses to report </w:t>
      </w:r>
      <w:r w:rsidR="003D7B89" w:rsidRPr="003C6427">
        <w:rPr>
          <w:rFonts w:ascii="Times New Roman" w:hAnsi="Times New Roman" w:cs="Times New Roman"/>
          <w:sz w:val="24"/>
          <w:szCs w:val="24"/>
          <w:lang w:val="en-US"/>
        </w:rPr>
        <w:t>publicly</w:t>
      </w:r>
      <w:r w:rsidR="00EB135C" w:rsidRPr="003C6427">
        <w:rPr>
          <w:rFonts w:ascii="Times New Roman" w:hAnsi="Times New Roman" w:cs="Times New Roman"/>
          <w:sz w:val="24"/>
          <w:szCs w:val="24"/>
          <w:lang w:val="en-US"/>
        </w:rPr>
        <w:t xml:space="preserve"> on any related matters, subject to legislative authority.</w:t>
      </w:r>
    </w:p>
    <w:p w14:paraId="67705E9D" w14:textId="77777777" w:rsidR="00251799" w:rsidRPr="003C6427" w:rsidRDefault="00251799" w:rsidP="003C6427">
      <w:pPr>
        <w:widowControl w:val="0"/>
        <w:spacing w:after="0" w:line="240" w:lineRule="auto"/>
        <w:rPr>
          <w:rFonts w:ascii="Times New Roman" w:hAnsi="Times New Roman" w:cs="Times New Roman"/>
          <w:sz w:val="24"/>
          <w:szCs w:val="24"/>
          <w:lang w:val="en-US"/>
        </w:rPr>
      </w:pPr>
    </w:p>
    <w:p w14:paraId="5CEAA6DE" w14:textId="7369DD49" w:rsidR="00251799" w:rsidRPr="003C6427" w:rsidRDefault="00251799"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Paragraph 7(1)(</w:t>
      </w:r>
      <w:r w:rsidR="00BB2E59" w:rsidRPr="003C6427">
        <w:rPr>
          <w:rFonts w:ascii="Times New Roman" w:hAnsi="Times New Roman" w:cs="Times New Roman"/>
          <w:sz w:val="24"/>
          <w:szCs w:val="24"/>
          <w:lang w:val="en-US"/>
        </w:rPr>
        <w:t>l</w:t>
      </w:r>
      <w:r w:rsidRPr="003C6427">
        <w:rPr>
          <w:rFonts w:ascii="Times New Roman" w:hAnsi="Times New Roman" w:cs="Times New Roman"/>
          <w:sz w:val="24"/>
          <w:szCs w:val="24"/>
          <w:lang w:val="en-US"/>
        </w:rPr>
        <w:t>)</w:t>
      </w:r>
      <w:r w:rsidR="0052699A" w:rsidRPr="003C6427">
        <w:rPr>
          <w:rFonts w:ascii="Times New Roman" w:hAnsi="Times New Roman" w:cs="Times New Roman"/>
          <w:sz w:val="24"/>
          <w:szCs w:val="24"/>
          <w:lang w:val="en-US"/>
        </w:rPr>
        <w:t xml:space="preserve"> </w:t>
      </w:r>
      <w:r w:rsidR="00692009" w:rsidRPr="003C6427">
        <w:rPr>
          <w:rFonts w:ascii="Times New Roman" w:hAnsi="Times New Roman" w:cs="Times New Roman"/>
          <w:sz w:val="24"/>
          <w:szCs w:val="24"/>
          <w:lang w:val="en-US"/>
        </w:rPr>
        <w:t xml:space="preserve">provides that if appropriate, </w:t>
      </w:r>
      <w:r w:rsidR="0052699A" w:rsidRPr="003C6427">
        <w:rPr>
          <w:rFonts w:ascii="Times New Roman" w:hAnsi="Times New Roman" w:cs="Times New Roman"/>
          <w:sz w:val="24"/>
          <w:szCs w:val="24"/>
          <w:lang w:val="en-US"/>
        </w:rPr>
        <w:t>carriage service provide</w:t>
      </w:r>
      <w:r w:rsidR="008B5ED3" w:rsidRPr="003C6427">
        <w:rPr>
          <w:rFonts w:ascii="Times New Roman" w:hAnsi="Times New Roman" w:cs="Times New Roman"/>
          <w:sz w:val="24"/>
          <w:szCs w:val="24"/>
          <w:lang w:val="en-US"/>
        </w:rPr>
        <w:t>r</w:t>
      </w:r>
      <w:r w:rsidR="0052699A" w:rsidRPr="003C6427">
        <w:rPr>
          <w:rFonts w:ascii="Times New Roman" w:hAnsi="Times New Roman" w:cs="Times New Roman"/>
          <w:sz w:val="24"/>
          <w:szCs w:val="24"/>
          <w:lang w:val="en-US"/>
        </w:rPr>
        <w:t xml:space="preserve">s implement </w:t>
      </w:r>
      <w:r w:rsidR="00692009" w:rsidRPr="003C6427">
        <w:rPr>
          <w:rFonts w:ascii="Times New Roman" w:hAnsi="Times New Roman" w:cs="Times New Roman"/>
          <w:sz w:val="24"/>
          <w:szCs w:val="24"/>
          <w:lang w:val="en-US"/>
        </w:rPr>
        <w:t>policies and processes relating to their engagement with alleged perpetrator</w:t>
      </w:r>
      <w:r w:rsidR="0026021D" w:rsidRPr="003C6427">
        <w:rPr>
          <w:rFonts w:ascii="Times New Roman" w:hAnsi="Times New Roman" w:cs="Times New Roman"/>
          <w:sz w:val="24"/>
          <w:szCs w:val="24"/>
          <w:lang w:val="en-US"/>
        </w:rPr>
        <w:t>s</w:t>
      </w:r>
      <w:r w:rsidR="00692009" w:rsidRPr="003C6427">
        <w:rPr>
          <w:rFonts w:ascii="Times New Roman" w:hAnsi="Times New Roman" w:cs="Times New Roman"/>
          <w:sz w:val="24"/>
          <w:szCs w:val="24"/>
          <w:lang w:val="en-US"/>
        </w:rPr>
        <w:t xml:space="preserve"> of domestic and family violence, and where relevant sexual </w:t>
      </w:r>
      <w:r w:rsidR="0079473C" w:rsidRPr="003C6427">
        <w:rPr>
          <w:rFonts w:ascii="Times New Roman" w:hAnsi="Times New Roman" w:cs="Times New Roman"/>
          <w:sz w:val="24"/>
          <w:szCs w:val="24"/>
          <w:lang w:val="en-US"/>
        </w:rPr>
        <w:t>violence. This</w:t>
      </w:r>
      <w:r w:rsidR="00692009" w:rsidRPr="003C6427">
        <w:rPr>
          <w:rFonts w:ascii="Times New Roman" w:hAnsi="Times New Roman" w:cs="Times New Roman"/>
          <w:sz w:val="24"/>
          <w:szCs w:val="24"/>
          <w:lang w:val="en-US"/>
        </w:rPr>
        <w:t xml:space="preserve"> could extend to requirement</w:t>
      </w:r>
      <w:r w:rsidR="00331DD9" w:rsidRPr="003C6427">
        <w:rPr>
          <w:rFonts w:ascii="Times New Roman" w:hAnsi="Times New Roman" w:cs="Times New Roman"/>
          <w:sz w:val="24"/>
          <w:szCs w:val="24"/>
          <w:lang w:val="en-US"/>
        </w:rPr>
        <w:t>s</w:t>
      </w:r>
      <w:r w:rsidR="00692009" w:rsidRPr="003C6427">
        <w:rPr>
          <w:rFonts w:ascii="Times New Roman" w:hAnsi="Times New Roman" w:cs="Times New Roman"/>
          <w:sz w:val="24"/>
          <w:szCs w:val="24"/>
          <w:lang w:val="en-US"/>
        </w:rPr>
        <w:t xml:space="preserve"> relating to, </w:t>
      </w:r>
      <w:r w:rsidR="0052699A" w:rsidRPr="003C6427">
        <w:rPr>
          <w:rFonts w:ascii="Times New Roman" w:hAnsi="Times New Roman" w:cs="Times New Roman"/>
          <w:sz w:val="24"/>
          <w:szCs w:val="24"/>
          <w:lang w:val="en-US"/>
        </w:rPr>
        <w:t>for example</w:t>
      </w:r>
      <w:r w:rsidR="00692009" w:rsidRPr="003C6427">
        <w:rPr>
          <w:rFonts w:ascii="Times New Roman" w:hAnsi="Times New Roman" w:cs="Times New Roman"/>
          <w:sz w:val="24"/>
          <w:szCs w:val="24"/>
          <w:lang w:val="en-US"/>
        </w:rPr>
        <w:t>,</w:t>
      </w:r>
      <w:r w:rsidR="0052699A" w:rsidRPr="003C6427">
        <w:rPr>
          <w:rFonts w:ascii="Times New Roman" w:hAnsi="Times New Roman" w:cs="Times New Roman"/>
          <w:sz w:val="24"/>
          <w:szCs w:val="24"/>
          <w:lang w:val="en-US"/>
        </w:rPr>
        <w:t xml:space="preserve"> the way an alleged perpetrator is communicated with or the level of information shared by their carriage service provider. It is</w:t>
      </w:r>
      <w:r w:rsidR="00FF37B2" w:rsidRPr="003C6427">
        <w:rPr>
          <w:rFonts w:ascii="Times New Roman" w:hAnsi="Times New Roman" w:cs="Times New Roman"/>
          <w:sz w:val="24"/>
          <w:szCs w:val="24"/>
          <w:lang w:val="en-US"/>
        </w:rPr>
        <w:t xml:space="preserve"> intended to empower </w:t>
      </w:r>
      <w:r w:rsidR="0052699A" w:rsidRPr="003C6427">
        <w:rPr>
          <w:rFonts w:ascii="Times New Roman" w:hAnsi="Times New Roman" w:cs="Times New Roman"/>
          <w:sz w:val="24"/>
          <w:szCs w:val="24"/>
          <w:lang w:val="en-US"/>
        </w:rPr>
        <w:t>the ACMA</w:t>
      </w:r>
      <w:r w:rsidR="00FF37B2" w:rsidRPr="003C6427">
        <w:rPr>
          <w:rFonts w:ascii="Times New Roman" w:hAnsi="Times New Roman" w:cs="Times New Roman"/>
          <w:sz w:val="24"/>
          <w:szCs w:val="24"/>
          <w:lang w:val="en-US"/>
        </w:rPr>
        <w:t xml:space="preserve"> to make rules relating to alleged perpetrators, </w:t>
      </w:r>
      <w:r w:rsidR="00692009" w:rsidRPr="003C6427">
        <w:rPr>
          <w:rFonts w:ascii="Times New Roman" w:hAnsi="Times New Roman" w:cs="Times New Roman"/>
          <w:sz w:val="24"/>
          <w:szCs w:val="24"/>
          <w:lang w:val="en-US"/>
        </w:rPr>
        <w:t xml:space="preserve">if they consider that would be appropriate following consultation. </w:t>
      </w:r>
      <w:r w:rsidR="0052699A" w:rsidRPr="003C6427">
        <w:rPr>
          <w:rFonts w:ascii="Times New Roman" w:hAnsi="Times New Roman" w:cs="Times New Roman"/>
          <w:sz w:val="24"/>
          <w:szCs w:val="24"/>
          <w:lang w:val="en-US"/>
        </w:rPr>
        <w:t xml:space="preserve"> </w:t>
      </w:r>
    </w:p>
    <w:p w14:paraId="311079D3" w14:textId="77777777" w:rsidR="009A759A" w:rsidRPr="003C6427" w:rsidRDefault="009A759A" w:rsidP="003C6427">
      <w:pPr>
        <w:widowControl w:val="0"/>
        <w:spacing w:after="0" w:line="240" w:lineRule="auto"/>
        <w:rPr>
          <w:rFonts w:ascii="Times New Roman" w:hAnsi="Times New Roman" w:cs="Times New Roman"/>
          <w:sz w:val="24"/>
          <w:szCs w:val="24"/>
          <w:lang w:val="en-US"/>
        </w:rPr>
      </w:pPr>
    </w:p>
    <w:p w14:paraId="0609F679" w14:textId="7AD80B74" w:rsidR="0037520D" w:rsidRPr="003C6427" w:rsidRDefault="00D5496B"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Subsection 7(2) </w:t>
      </w:r>
      <w:r w:rsidR="00692009" w:rsidRPr="003C6427">
        <w:rPr>
          <w:rFonts w:ascii="Times New Roman" w:hAnsi="Times New Roman" w:cs="Times New Roman"/>
          <w:sz w:val="24"/>
          <w:szCs w:val="24"/>
          <w:lang w:val="en-US"/>
        </w:rPr>
        <w:t xml:space="preserve">provides that the </w:t>
      </w:r>
      <w:r w:rsidRPr="003C6427">
        <w:rPr>
          <w:rFonts w:ascii="Times New Roman" w:hAnsi="Times New Roman" w:cs="Times New Roman"/>
          <w:sz w:val="24"/>
          <w:szCs w:val="24"/>
          <w:lang w:val="en-US"/>
        </w:rPr>
        <w:t>industry standard is to be drafted to give effect to</w:t>
      </w:r>
      <w:r w:rsidR="00692009" w:rsidRPr="003C6427">
        <w:rPr>
          <w:rFonts w:ascii="Times New Roman" w:hAnsi="Times New Roman" w:cs="Times New Roman"/>
          <w:sz w:val="24"/>
          <w:szCs w:val="24"/>
          <w:lang w:val="en-US"/>
        </w:rPr>
        <w:t xml:space="preserve"> the objective</w:t>
      </w:r>
      <w:r w:rsidRPr="003C6427">
        <w:rPr>
          <w:rFonts w:ascii="Times New Roman" w:hAnsi="Times New Roman" w:cs="Times New Roman"/>
          <w:sz w:val="24"/>
          <w:szCs w:val="24"/>
          <w:lang w:val="en-US"/>
        </w:rPr>
        <w:t xml:space="preserve">, </w:t>
      </w:r>
      <w:r w:rsidR="00692009" w:rsidRPr="003C6427">
        <w:rPr>
          <w:rFonts w:ascii="Times New Roman" w:hAnsi="Times New Roman" w:cs="Times New Roman"/>
          <w:sz w:val="24"/>
          <w:szCs w:val="24"/>
          <w:lang w:val="en-US"/>
        </w:rPr>
        <w:t>as it relates to the</w:t>
      </w:r>
      <w:r w:rsidRPr="003C6427">
        <w:rPr>
          <w:rFonts w:ascii="Times New Roman" w:hAnsi="Times New Roman" w:cs="Times New Roman"/>
          <w:sz w:val="24"/>
          <w:szCs w:val="24"/>
          <w:lang w:val="en-US"/>
        </w:rPr>
        <w:t xml:space="preserve"> telecommunications activities of carriers and carriage service providers</w:t>
      </w:r>
      <w:r w:rsidR="00832E14" w:rsidRPr="003C6427">
        <w:rPr>
          <w:rFonts w:ascii="Times New Roman" w:hAnsi="Times New Roman" w:cs="Times New Roman"/>
          <w:sz w:val="24"/>
          <w:szCs w:val="24"/>
          <w:lang w:val="en-US"/>
        </w:rPr>
        <w:t>, to</w:t>
      </w:r>
      <w:r w:rsidR="009A759A" w:rsidRPr="003C6427">
        <w:rPr>
          <w:rFonts w:ascii="Times New Roman" w:hAnsi="Times New Roman" w:cs="Times New Roman"/>
          <w:sz w:val="24"/>
          <w:szCs w:val="24"/>
          <w:lang w:val="en-US"/>
        </w:rPr>
        <w:t xml:space="preserve"> </w:t>
      </w:r>
      <w:r w:rsidR="00F36F3B" w:rsidRPr="003C6427">
        <w:rPr>
          <w:rFonts w:ascii="Times New Roman" w:hAnsi="Times New Roman" w:cs="Times New Roman"/>
          <w:sz w:val="24"/>
          <w:szCs w:val="24"/>
          <w:lang w:val="en-US"/>
        </w:rPr>
        <w:t>take action to limit or prevent the disclosure of information on customer invoices, bills and other customer facing material</w:t>
      </w:r>
      <w:r w:rsidR="00EB0F15" w:rsidRPr="003C6427">
        <w:rPr>
          <w:rFonts w:ascii="Times New Roman" w:hAnsi="Times New Roman" w:cs="Times New Roman"/>
          <w:sz w:val="24"/>
          <w:szCs w:val="24"/>
          <w:lang w:val="en-US"/>
        </w:rPr>
        <w:t>s</w:t>
      </w:r>
      <w:r w:rsidR="00F36F3B" w:rsidRPr="003C6427">
        <w:rPr>
          <w:rFonts w:ascii="Times New Roman" w:hAnsi="Times New Roman" w:cs="Times New Roman"/>
          <w:sz w:val="24"/>
          <w:szCs w:val="24"/>
          <w:lang w:val="en-US"/>
        </w:rPr>
        <w:t xml:space="preserve"> which may contribute </w:t>
      </w:r>
      <w:r w:rsidR="00122E47" w:rsidRPr="003C6427">
        <w:rPr>
          <w:rFonts w:ascii="Times New Roman" w:hAnsi="Times New Roman" w:cs="Times New Roman"/>
          <w:sz w:val="24"/>
          <w:szCs w:val="24"/>
          <w:lang w:val="en-US"/>
        </w:rPr>
        <w:t>safety</w:t>
      </w:r>
      <w:r w:rsidR="00F36F3B" w:rsidRPr="003C6427">
        <w:rPr>
          <w:rFonts w:ascii="Times New Roman" w:hAnsi="Times New Roman" w:cs="Times New Roman"/>
          <w:sz w:val="24"/>
          <w:szCs w:val="24"/>
          <w:lang w:val="en-US"/>
        </w:rPr>
        <w:t xml:space="preserve"> risks to consumers who are, or may be, affected by domestic</w:t>
      </w:r>
      <w:r w:rsidR="00692009" w:rsidRPr="003C6427">
        <w:rPr>
          <w:rFonts w:ascii="Times New Roman" w:hAnsi="Times New Roman" w:cs="Times New Roman"/>
          <w:sz w:val="24"/>
          <w:szCs w:val="24"/>
          <w:lang w:val="en-US"/>
        </w:rPr>
        <w:t xml:space="preserve"> and</w:t>
      </w:r>
      <w:r w:rsidR="00F36F3B" w:rsidRPr="003C6427">
        <w:rPr>
          <w:rFonts w:ascii="Times New Roman" w:hAnsi="Times New Roman" w:cs="Times New Roman"/>
          <w:sz w:val="24"/>
          <w:szCs w:val="24"/>
          <w:lang w:val="en-US"/>
        </w:rPr>
        <w:t xml:space="preserve"> family</w:t>
      </w:r>
      <w:r w:rsidR="00692009" w:rsidRPr="003C6427">
        <w:rPr>
          <w:rFonts w:ascii="Times New Roman" w:hAnsi="Times New Roman" w:cs="Times New Roman"/>
          <w:sz w:val="24"/>
          <w:szCs w:val="24"/>
          <w:lang w:val="en-US"/>
        </w:rPr>
        <w:t xml:space="preserve"> violence, </w:t>
      </w:r>
      <w:r w:rsidR="0026021D" w:rsidRPr="003C6427">
        <w:rPr>
          <w:rFonts w:ascii="Times New Roman" w:hAnsi="Times New Roman" w:cs="Times New Roman"/>
          <w:sz w:val="24"/>
          <w:szCs w:val="24"/>
          <w:lang w:val="en-US"/>
        </w:rPr>
        <w:t xml:space="preserve">and </w:t>
      </w:r>
      <w:r w:rsidR="00692009" w:rsidRPr="003C6427">
        <w:rPr>
          <w:rFonts w:ascii="Times New Roman" w:hAnsi="Times New Roman" w:cs="Times New Roman"/>
          <w:sz w:val="24"/>
          <w:szCs w:val="24"/>
          <w:lang w:val="en-US"/>
        </w:rPr>
        <w:t>where relevant, s</w:t>
      </w:r>
      <w:r w:rsidR="00F36F3B" w:rsidRPr="003C6427">
        <w:rPr>
          <w:rFonts w:ascii="Times New Roman" w:hAnsi="Times New Roman" w:cs="Times New Roman"/>
          <w:sz w:val="24"/>
          <w:szCs w:val="24"/>
          <w:lang w:val="en-US"/>
        </w:rPr>
        <w:t>exual violence.</w:t>
      </w:r>
      <w:r w:rsidR="000F3759" w:rsidRPr="003C6427">
        <w:rPr>
          <w:rFonts w:ascii="Times New Roman" w:hAnsi="Times New Roman" w:cs="Times New Roman"/>
          <w:sz w:val="24"/>
          <w:szCs w:val="24"/>
          <w:lang w:val="en-US"/>
        </w:rPr>
        <w:t xml:space="preserve"> </w:t>
      </w:r>
    </w:p>
    <w:p w14:paraId="2DC61F52" w14:textId="77777777" w:rsidR="0037520D" w:rsidRPr="003C6427" w:rsidRDefault="0037520D" w:rsidP="003C6427">
      <w:pPr>
        <w:widowControl w:val="0"/>
        <w:spacing w:after="0" w:line="240" w:lineRule="auto"/>
        <w:rPr>
          <w:rFonts w:ascii="Times New Roman" w:hAnsi="Times New Roman" w:cs="Times New Roman"/>
          <w:sz w:val="24"/>
          <w:szCs w:val="24"/>
          <w:lang w:val="en-US"/>
        </w:rPr>
      </w:pPr>
    </w:p>
    <w:p w14:paraId="3257C623" w14:textId="2B10FFA8" w:rsidR="00801B52" w:rsidRPr="003C6427" w:rsidRDefault="000F3759"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This is intended to </w:t>
      </w:r>
      <w:r w:rsidR="00692009" w:rsidRPr="003C6427">
        <w:rPr>
          <w:rFonts w:ascii="Times New Roman" w:hAnsi="Times New Roman" w:cs="Times New Roman"/>
          <w:sz w:val="24"/>
          <w:szCs w:val="24"/>
          <w:lang w:val="en-US"/>
        </w:rPr>
        <w:t>allow for requirement</w:t>
      </w:r>
      <w:r w:rsidR="0026021D" w:rsidRPr="003C6427">
        <w:rPr>
          <w:rFonts w:ascii="Times New Roman" w:hAnsi="Times New Roman" w:cs="Times New Roman"/>
          <w:sz w:val="24"/>
          <w:szCs w:val="24"/>
          <w:lang w:val="en-US"/>
        </w:rPr>
        <w:t>s</w:t>
      </w:r>
      <w:r w:rsidR="00692009" w:rsidRPr="003C6427">
        <w:rPr>
          <w:rFonts w:ascii="Times New Roman" w:hAnsi="Times New Roman" w:cs="Times New Roman"/>
          <w:sz w:val="24"/>
          <w:szCs w:val="24"/>
          <w:lang w:val="en-US"/>
        </w:rPr>
        <w:t xml:space="preserve"> that cover, for example, </w:t>
      </w:r>
      <w:r w:rsidRPr="003C6427">
        <w:rPr>
          <w:rFonts w:ascii="Times New Roman" w:hAnsi="Times New Roman" w:cs="Times New Roman"/>
          <w:sz w:val="24"/>
          <w:szCs w:val="24"/>
          <w:lang w:val="en-US"/>
        </w:rPr>
        <w:t>the suppression of 1800RESPECT and other support services numbers</w:t>
      </w:r>
      <w:r w:rsidR="008B5ED3" w:rsidRPr="003C6427">
        <w:rPr>
          <w:rFonts w:ascii="Times New Roman" w:hAnsi="Times New Roman" w:cs="Times New Roman"/>
          <w:sz w:val="24"/>
          <w:szCs w:val="24"/>
          <w:lang w:val="en-US"/>
        </w:rPr>
        <w:t xml:space="preserve"> on customer invoices, bills and other customer facing material. Other customer facing material means other locations where a customer may acce</w:t>
      </w:r>
      <w:r w:rsidR="0051481B" w:rsidRPr="003C6427">
        <w:rPr>
          <w:rFonts w:ascii="Times New Roman" w:hAnsi="Times New Roman" w:cs="Times New Roman"/>
          <w:sz w:val="24"/>
          <w:szCs w:val="24"/>
          <w:lang w:val="en-US"/>
        </w:rPr>
        <w:t>s</w:t>
      </w:r>
      <w:r w:rsidR="008B5ED3" w:rsidRPr="003C6427">
        <w:rPr>
          <w:rFonts w:ascii="Times New Roman" w:hAnsi="Times New Roman" w:cs="Times New Roman"/>
          <w:sz w:val="24"/>
          <w:szCs w:val="24"/>
          <w:lang w:val="en-US"/>
        </w:rPr>
        <w:t xml:space="preserve">s their invoice or bill, for example, through their carriage service provider’s website or app. </w:t>
      </w:r>
      <w:r w:rsidR="00181CB0" w:rsidRPr="003C6427">
        <w:rPr>
          <w:rFonts w:ascii="Times New Roman" w:hAnsi="Times New Roman" w:cs="Times New Roman"/>
          <w:sz w:val="24"/>
          <w:szCs w:val="24"/>
          <w:lang w:val="en-US"/>
        </w:rPr>
        <w:t>T</w:t>
      </w:r>
      <w:r w:rsidR="00D5496B" w:rsidRPr="003C6427">
        <w:rPr>
          <w:rFonts w:ascii="Times New Roman" w:hAnsi="Times New Roman" w:cs="Times New Roman"/>
          <w:sz w:val="24"/>
          <w:szCs w:val="24"/>
          <w:lang w:val="en-US"/>
        </w:rPr>
        <w:t>he</w:t>
      </w:r>
      <w:r w:rsidRPr="003C6427">
        <w:rPr>
          <w:rFonts w:ascii="Times New Roman" w:hAnsi="Times New Roman" w:cs="Times New Roman"/>
          <w:sz w:val="24"/>
          <w:szCs w:val="24"/>
          <w:lang w:val="en-US"/>
        </w:rPr>
        <w:t xml:space="preserve"> framing of this objective will allow the</w:t>
      </w:r>
      <w:r w:rsidR="00D5496B" w:rsidRPr="003C6427">
        <w:rPr>
          <w:rFonts w:ascii="Times New Roman" w:hAnsi="Times New Roman" w:cs="Times New Roman"/>
          <w:sz w:val="24"/>
          <w:szCs w:val="24"/>
          <w:lang w:val="en-US"/>
        </w:rPr>
        <w:t xml:space="preserve"> ACMA </w:t>
      </w:r>
      <w:r w:rsidRPr="003C6427">
        <w:rPr>
          <w:rFonts w:ascii="Times New Roman" w:hAnsi="Times New Roman" w:cs="Times New Roman"/>
          <w:sz w:val="24"/>
          <w:szCs w:val="24"/>
          <w:lang w:val="en-US"/>
        </w:rPr>
        <w:t xml:space="preserve">to investigate and consult on the best way to </w:t>
      </w:r>
      <w:r w:rsidR="00801B52" w:rsidRPr="003C6427">
        <w:rPr>
          <w:rFonts w:ascii="Times New Roman" w:hAnsi="Times New Roman" w:cs="Times New Roman"/>
          <w:sz w:val="24"/>
          <w:szCs w:val="24"/>
          <w:lang w:val="en-US"/>
        </w:rPr>
        <w:t>achieve the overarching objective.</w:t>
      </w:r>
      <w:r w:rsidR="00FF37B2" w:rsidRPr="003C6427">
        <w:rPr>
          <w:rFonts w:ascii="Times New Roman" w:hAnsi="Times New Roman" w:cs="Times New Roman"/>
          <w:sz w:val="24"/>
          <w:szCs w:val="24"/>
          <w:lang w:val="en-US"/>
        </w:rPr>
        <w:t xml:space="preserve"> This includes enabling the ACMA to determine </w:t>
      </w:r>
      <w:r w:rsidR="00EB135C" w:rsidRPr="003C6427">
        <w:rPr>
          <w:rFonts w:ascii="Times New Roman" w:hAnsi="Times New Roman" w:cs="Times New Roman"/>
          <w:sz w:val="24"/>
          <w:szCs w:val="24"/>
          <w:lang w:val="en-US"/>
        </w:rPr>
        <w:t xml:space="preserve">which </w:t>
      </w:r>
      <w:r w:rsidR="00FF37B2" w:rsidRPr="003C6427">
        <w:rPr>
          <w:rFonts w:ascii="Times New Roman" w:hAnsi="Times New Roman" w:cs="Times New Roman"/>
          <w:sz w:val="24"/>
          <w:szCs w:val="24"/>
          <w:lang w:val="en-US"/>
        </w:rPr>
        <w:t xml:space="preserve">support service numbers </w:t>
      </w:r>
      <w:r w:rsidR="00EB135C" w:rsidRPr="003C6427">
        <w:rPr>
          <w:rFonts w:ascii="Times New Roman" w:hAnsi="Times New Roman" w:cs="Times New Roman"/>
          <w:sz w:val="24"/>
          <w:szCs w:val="24"/>
          <w:lang w:val="en-US"/>
        </w:rPr>
        <w:t xml:space="preserve">are </w:t>
      </w:r>
      <w:r w:rsidR="00FF37B2" w:rsidRPr="003C6427">
        <w:rPr>
          <w:rFonts w:ascii="Times New Roman" w:hAnsi="Times New Roman" w:cs="Times New Roman"/>
          <w:sz w:val="24"/>
          <w:szCs w:val="24"/>
          <w:lang w:val="en-US"/>
        </w:rPr>
        <w:t>to be suppressed</w:t>
      </w:r>
      <w:r w:rsidR="00EB135C" w:rsidRPr="003C6427">
        <w:rPr>
          <w:rFonts w:ascii="Times New Roman" w:hAnsi="Times New Roman" w:cs="Times New Roman"/>
          <w:sz w:val="24"/>
          <w:szCs w:val="24"/>
          <w:lang w:val="en-US"/>
        </w:rPr>
        <w:t>, or a process for determining that</w:t>
      </w:r>
      <w:r w:rsidR="00FF37B2" w:rsidRPr="003C6427">
        <w:rPr>
          <w:rFonts w:ascii="Times New Roman" w:hAnsi="Times New Roman" w:cs="Times New Roman"/>
          <w:sz w:val="24"/>
          <w:szCs w:val="24"/>
          <w:lang w:val="en-US"/>
        </w:rPr>
        <w:t xml:space="preserve">. </w:t>
      </w:r>
    </w:p>
    <w:p w14:paraId="6C58EB6D" w14:textId="77777777" w:rsidR="00801B52" w:rsidRPr="003C6427" w:rsidRDefault="00801B52" w:rsidP="003C6427">
      <w:pPr>
        <w:widowControl w:val="0"/>
        <w:spacing w:after="0" w:line="240" w:lineRule="auto"/>
        <w:rPr>
          <w:rFonts w:ascii="Times New Roman" w:hAnsi="Times New Roman" w:cs="Times New Roman"/>
          <w:sz w:val="24"/>
          <w:szCs w:val="24"/>
          <w:lang w:val="en-US"/>
        </w:rPr>
      </w:pPr>
    </w:p>
    <w:p w14:paraId="2A4CB613" w14:textId="4D3C5F2B" w:rsidR="00181CB0" w:rsidRPr="003C6427" w:rsidRDefault="00181CB0"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 xml:space="preserve">Subsection 7(3) provides that the ACMA may deal with arrangements for handling </w:t>
      </w:r>
      <w:r w:rsidR="00EB0F15" w:rsidRPr="003C6427">
        <w:rPr>
          <w:rFonts w:ascii="Times New Roman" w:hAnsi="Times New Roman" w:cs="Times New Roman"/>
          <w:sz w:val="24"/>
          <w:szCs w:val="24"/>
          <w:lang w:val="en-US"/>
        </w:rPr>
        <w:t xml:space="preserve">consumer </w:t>
      </w:r>
      <w:r w:rsidRPr="003C6427">
        <w:rPr>
          <w:rFonts w:ascii="Times New Roman" w:hAnsi="Times New Roman" w:cs="Times New Roman"/>
          <w:sz w:val="24"/>
          <w:szCs w:val="24"/>
          <w:lang w:val="en-US"/>
        </w:rPr>
        <w:lastRenderedPageBreak/>
        <w:t xml:space="preserve">complaints about domestic, family and sexual violence matters and may confer </w:t>
      </w:r>
      <w:r w:rsidR="00122E47" w:rsidRPr="003C6427">
        <w:rPr>
          <w:rFonts w:ascii="Times New Roman" w:hAnsi="Times New Roman" w:cs="Times New Roman"/>
          <w:sz w:val="24"/>
          <w:szCs w:val="24"/>
          <w:lang w:val="en-US"/>
        </w:rPr>
        <w:t>functions</w:t>
      </w:r>
      <w:r w:rsidRPr="003C6427">
        <w:rPr>
          <w:rFonts w:ascii="Times New Roman" w:hAnsi="Times New Roman" w:cs="Times New Roman"/>
          <w:sz w:val="24"/>
          <w:szCs w:val="24"/>
          <w:lang w:val="en-US"/>
        </w:rPr>
        <w:t xml:space="preserve"> and powers on the Telecommunications Industry Ombudsman. The ACMA is expected to ensure any conferral operates effectively (and without duplication) with other in</w:t>
      </w:r>
      <w:r w:rsidR="00F36F3B" w:rsidRPr="003C6427">
        <w:rPr>
          <w:rFonts w:ascii="Times New Roman" w:hAnsi="Times New Roman" w:cs="Times New Roman"/>
          <w:sz w:val="24"/>
          <w:szCs w:val="24"/>
          <w:lang w:val="en-US"/>
        </w:rPr>
        <w:t>s</w:t>
      </w:r>
      <w:r w:rsidRPr="003C6427">
        <w:rPr>
          <w:rFonts w:ascii="Times New Roman" w:hAnsi="Times New Roman" w:cs="Times New Roman"/>
          <w:sz w:val="24"/>
          <w:szCs w:val="24"/>
          <w:lang w:val="en-US"/>
        </w:rPr>
        <w:t>t</w:t>
      </w:r>
      <w:r w:rsidR="00F36F3B" w:rsidRPr="003C6427">
        <w:rPr>
          <w:rFonts w:ascii="Times New Roman" w:hAnsi="Times New Roman" w:cs="Times New Roman"/>
          <w:sz w:val="24"/>
          <w:szCs w:val="24"/>
          <w:lang w:val="en-US"/>
        </w:rPr>
        <w:t>r</w:t>
      </w:r>
      <w:r w:rsidRPr="003C6427">
        <w:rPr>
          <w:rFonts w:ascii="Times New Roman" w:hAnsi="Times New Roman" w:cs="Times New Roman"/>
          <w:sz w:val="24"/>
          <w:szCs w:val="24"/>
          <w:lang w:val="en-US"/>
        </w:rPr>
        <w:t xml:space="preserve">uments and processes, including the </w:t>
      </w:r>
      <w:r w:rsidRPr="003C6427">
        <w:rPr>
          <w:rFonts w:ascii="Times New Roman" w:hAnsi="Times New Roman" w:cs="Times New Roman"/>
          <w:i/>
          <w:sz w:val="24"/>
          <w:szCs w:val="24"/>
          <w:lang w:val="en-US"/>
        </w:rPr>
        <w:t>Telecommunications (Consumer Complaints Handling) Industry Standard 2018</w:t>
      </w:r>
      <w:r w:rsidRPr="003C6427">
        <w:rPr>
          <w:rFonts w:ascii="Times New Roman" w:hAnsi="Times New Roman" w:cs="Times New Roman"/>
          <w:sz w:val="24"/>
          <w:szCs w:val="24"/>
          <w:lang w:val="en-US"/>
        </w:rPr>
        <w:t>.</w:t>
      </w:r>
    </w:p>
    <w:p w14:paraId="5BF1CBF2" w14:textId="77777777" w:rsidR="00181CB0" w:rsidRPr="003C6427" w:rsidRDefault="00181CB0" w:rsidP="003C6427">
      <w:pPr>
        <w:widowControl w:val="0"/>
        <w:spacing w:after="0" w:line="240" w:lineRule="auto"/>
        <w:rPr>
          <w:rFonts w:ascii="Times New Roman" w:hAnsi="Times New Roman" w:cs="Times New Roman"/>
          <w:sz w:val="24"/>
          <w:szCs w:val="24"/>
          <w:lang w:val="en-US"/>
        </w:rPr>
      </w:pPr>
    </w:p>
    <w:p w14:paraId="6629E2F8" w14:textId="77777777" w:rsidR="00AD73A8" w:rsidRPr="003C6427" w:rsidRDefault="00181CB0" w:rsidP="003C6427">
      <w:pPr>
        <w:widowControl w:val="0"/>
        <w:spacing w:after="0" w:line="240" w:lineRule="auto"/>
        <w:rPr>
          <w:rFonts w:ascii="Times New Roman" w:hAnsi="Times New Roman" w:cs="Times New Roman"/>
          <w:sz w:val="24"/>
          <w:szCs w:val="24"/>
          <w:lang w:val="en-US"/>
        </w:rPr>
      </w:pPr>
      <w:r w:rsidRPr="003C6427">
        <w:rPr>
          <w:rFonts w:ascii="Times New Roman" w:hAnsi="Times New Roman" w:cs="Times New Roman"/>
          <w:sz w:val="24"/>
          <w:szCs w:val="24"/>
          <w:lang w:val="en-US"/>
        </w:rPr>
        <w:t>Subsection 7(4) provides that the ACMA may define any terms it considers appropriate or necessary in the industry standard that are not defined in section 4 of the Direction</w:t>
      </w:r>
      <w:r w:rsidR="002F0EE8" w:rsidRPr="003C6427">
        <w:rPr>
          <w:rFonts w:ascii="Times New Roman" w:hAnsi="Times New Roman" w:cs="Times New Roman"/>
          <w:sz w:val="24"/>
          <w:szCs w:val="24"/>
          <w:lang w:val="en-US"/>
        </w:rPr>
        <w:t>.</w:t>
      </w:r>
    </w:p>
    <w:sectPr w:rsidR="00AD73A8" w:rsidRPr="003C642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01E5" w14:textId="77777777" w:rsidR="007F5D41" w:rsidRDefault="007F5D41" w:rsidP="00691C63">
      <w:pPr>
        <w:spacing w:after="0" w:line="240" w:lineRule="auto"/>
      </w:pPr>
      <w:r>
        <w:separator/>
      </w:r>
    </w:p>
  </w:endnote>
  <w:endnote w:type="continuationSeparator" w:id="0">
    <w:p w14:paraId="260D02FE" w14:textId="77777777" w:rsidR="007F5D41" w:rsidRDefault="007F5D41" w:rsidP="00691C63">
      <w:pPr>
        <w:spacing w:after="0" w:line="240" w:lineRule="auto"/>
      </w:pPr>
      <w:r>
        <w:continuationSeparator/>
      </w:r>
    </w:p>
  </w:endnote>
  <w:endnote w:type="continuationNotice" w:id="1">
    <w:p w14:paraId="03394701" w14:textId="77777777" w:rsidR="007F5D41" w:rsidRDefault="007F5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E284" w14:textId="77777777" w:rsidR="009D0068" w:rsidRDefault="009D0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3104" w14:textId="77777777" w:rsidR="007F5D41" w:rsidRDefault="007F5D41" w:rsidP="00691C63">
      <w:pPr>
        <w:spacing w:after="0" w:line="240" w:lineRule="auto"/>
      </w:pPr>
      <w:r>
        <w:separator/>
      </w:r>
    </w:p>
  </w:footnote>
  <w:footnote w:type="continuationSeparator" w:id="0">
    <w:p w14:paraId="79911F44" w14:textId="77777777" w:rsidR="007F5D41" w:rsidRDefault="007F5D41" w:rsidP="00691C63">
      <w:pPr>
        <w:spacing w:after="0" w:line="240" w:lineRule="auto"/>
      </w:pPr>
      <w:r>
        <w:continuationSeparator/>
      </w:r>
    </w:p>
  </w:footnote>
  <w:footnote w:type="continuationNotice" w:id="1">
    <w:p w14:paraId="1B81FDC1" w14:textId="77777777" w:rsidR="007F5D41" w:rsidRDefault="007F5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CA62" w14:textId="77777777" w:rsidR="009D0068" w:rsidRDefault="009D0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F95"/>
    <w:multiLevelType w:val="hybridMultilevel"/>
    <w:tmpl w:val="FC12D3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E25A4A"/>
    <w:multiLevelType w:val="hybridMultilevel"/>
    <w:tmpl w:val="B296C7BA"/>
    <w:lvl w:ilvl="0" w:tplc="C4105234">
      <w:start w:val="1"/>
      <w:numFmt w:val="bullet"/>
      <w:lvlText w:val=""/>
      <w:lvlJc w:val="left"/>
      <w:pPr>
        <w:ind w:left="3196" w:hanging="360"/>
      </w:pPr>
      <w:rPr>
        <w:rFonts w:ascii="Symbol" w:hAnsi="Symbol" w:hint="default"/>
        <w:sz w:val="24"/>
      </w:rPr>
    </w:lvl>
    <w:lvl w:ilvl="1" w:tplc="B2086F84">
      <w:start w:val="1"/>
      <w:numFmt w:val="bullet"/>
      <w:lvlText w:val="o"/>
      <w:lvlJc w:val="left"/>
      <w:pPr>
        <w:ind w:left="1440" w:hanging="360"/>
      </w:pPr>
      <w:rPr>
        <w:rFonts w:ascii="Courier New" w:hAnsi="Courier New" w:cs="Courier New" w:hint="default"/>
      </w:rPr>
    </w:lvl>
    <w:lvl w:ilvl="2" w:tplc="A94C7AC6">
      <w:start w:val="1"/>
      <w:numFmt w:val="bullet"/>
      <w:lvlText w:val=""/>
      <w:lvlJc w:val="left"/>
      <w:pPr>
        <w:ind w:left="2160" w:hanging="360"/>
      </w:pPr>
      <w:rPr>
        <w:rFonts w:ascii="Wingdings" w:hAnsi="Wingdings" w:hint="default"/>
      </w:rPr>
    </w:lvl>
    <w:lvl w:ilvl="3" w:tplc="73B2D9B6">
      <w:start w:val="1"/>
      <w:numFmt w:val="bullet"/>
      <w:lvlText w:val=""/>
      <w:lvlJc w:val="left"/>
      <w:pPr>
        <w:ind w:left="2880" w:hanging="360"/>
      </w:pPr>
      <w:rPr>
        <w:rFonts w:ascii="Symbol" w:hAnsi="Symbol" w:hint="default"/>
      </w:rPr>
    </w:lvl>
    <w:lvl w:ilvl="4" w:tplc="B2E8EFB6">
      <w:start w:val="1"/>
      <w:numFmt w:val="bullet"/>
      <w:lvlText w:val="o"/>
      <w:lvlJc w:val="left"/>
      <w:pPr>
        <w:ind w:left="3600" w:hanging="360"/>
      </w:pPr>
      <w:rPr>
        <w:rFonts w:ascii="Courier New" w:hAnsi="Courier New" w:cs="Courier New" w:hint="default"/>
      </w:rPr>
    </w:lvl>
    <w:lvl w:ilvl="5" w:tplc="D182F566">
      <w:start w:val="1"/>
      <w:numFmt w:val="bullet"/>
      <w:lvlText w:val=""/>
      <w:lvlJc w:val="left"/>
      <w:pPr>
        <w:ind w:left="4320" w:hanging="360"/>
      </w:pPr>
      <w:rPr>
        <w:rFonts w:ascii="Wingdings" w:hAnsi="Wingdings" w:hint="default"/>
      </w:rPr>
    </w:lvl>
    <w:lvl w:ilvl="6" w:tplc="E82A1A52">
      <w:start w:val="1"/>
      <w:numFmt w:val="bullet"/>
      <w:lvlText w:val=""/>
      <w:lvlJc w:val="left"/>
      <w:pPr>
        <w:ind w:left="5040" w:hanging="360"/>
      </w:pPr>
      <w:rPr>
        <w:rFonts w:ascii="Symbol" w:hAnsi="Symbol" w:hint="default"/>
      </w:rPr>
    </w:lvl>
    <w:lvl w:ilvl="7" w:tplc="046CE932">
      <w:start w:val="1"/>
      <w:numFmt w:val="bullet"/>
      <w:lvlText w:val="o"/>
      <w:lvlJc w:val="left"/>
      <w:pPr>
        <w:ind w:left="5760" w:hanging="360"/>
      </w:pPr>
      <w:rPr>
        <w:rFonts w:ascii="Courier New" w:hAnsi="Courier New" w:cs="Courier New" w:hint="default"/>
      </w:rPr>
    </w:lvl>
    <w:lvl w:ilvl="8" w:tplc="B4F249CC">
      <w:start w:val="1"/>
      <w:numFmt w:val="bullet"/>
      <w:lvlText w:val=""/>
      <w:lvlJc w:val="left"/>
      <w:pPr>
        <w:ind w:left="6480" w:hanging="360"/>
      </w:pPr>
      <w:rPr>
        <w:rFonts w:ascii="Wingdings" w:hAnsi="Wingdings" w:hint="default"/>
      </w:rPr>
    </w:lvl>
  </w:abstractNum>
  <w:abstractNum w:abstractNumId="2" w15:restartNumberingAfterBreak="0">
    <w:nsid w:val="0D592F15"/>
    <w:multiLevelType w:val="hybridMultilevel"/>
    <w:tmpl w:val="C7A20C30"/>
    <w:lvl w:ilvl="0" w:tplc="F98AC7B4">
      <w:start w:val="1"/>
      <w:numFmt w:val="lowerRoman"/>
      <w:lvlText w:val="(%1)"/>
      <w:lvlJc w:val="right"/>
      <w:pPr>
        <w:ind w:left="2265" w:hanging="360"/>
      </w:pPr>
      <w:rPr>
        <w:rFonts w:ascii="Times New Roman" w:eastAsia="Times New Roman" w:hAnsi="Times New Roman" w:cs="Times New Roman"/>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3" w15:restartNumberingAfterBreak="0">
    <w:nsid w:val="0D757C02"/>
    <w:multiLevelType w:val="hybridMultilevel"/>
    <w:tmpl w:val="989E5E90"/>
    <w:lvl w:ilvl="0" w:tplc="C778033E">
      <w:start w:val="1"/>
      <w:numFmt w:val="lowerLetter"/>
      <w:lvlText w:val="(%1)"/>
      <w:lvlJc w:val="left"/>
      <w:pPr>
        <w:ind w:left="1490" w:hanging="360"/>
      </w:pPr>
    </w:lvl>
    <w:lvl w:ilvl="1" w:tplc="0C090019">
      <w:start w:val="1"/>
      <w:numFmt w:val="lowerLetter"/>
      <w:lvlText w:val="%2."/>
      <w:lvlJc w:val="left"/>
      <w:pPr>
        <w:ind w:left="2210" w:hanging="360"/>
      </w:pPr>
    </w:lvl>
    <w:lvl w:ilvl="2" w:tplc="0C09001B">
      <w:start w:val="1"/>
      <w:numFmt w:val="lowerRoman"/>
      <w:lvlText w:val="%3."/>
      <w:lvlJc w:val="right"/>
      <w:pPr>
        <w:ind w:left="2930" w:hanging="180"/>
      </w:pPr>
    </w:lvl>
    <w:lvl w:ilvl="3" w:tplc="0C09000F">
      <w:start w:val="1"/>
      <w:numFmt w:val="decimal"/>
      <w:lvlText w:val="%4."/>
      <w:lvlJc w:val="left"/>
      <w:pPr>
        <w:ind w:left="3650" w:hanging="360"/>
      </w:pPr>
    </w:lvl>
    <w:lvl w:ilvl="4" w:tplc="0C090019">
      <w:start w:val="1"/>
      <w:numFmt w:val="lowerLetter"/>
      <w:lvlText w:val="%5."/>
      <w:lvlJc w:val="left"/>
      <w:pPr>
        <w:ind w:left="4370" w:hanging="360"/>
      </w:pPr>
    </w:lvl>
    <w:lvl w:ilvl="5" w:tplc="0C09001B">
      <w:start w:val="1"/>
      <w:numFmt w:val="lowerRoman"/>
      <w:lvlText w:val="%6."/>
      <w:lvlJc w:val="right"/>
      <w:pPr>
        <w:ind w:left="5090" w:hanging="180"/>
      </w:pPr>
    </w:lvl>
    <w:lvl w:ilvl="6" w:tplc="0C09000F">
      <w:start w:val="1"/>
      <w:numFmt w:val="decimal"/>
      <w:lvlText w:val="%7."/>
      <w:lvlJc w:val="left"/>
      <w:pPr>
        <w:ind w:left="5810" w:hanging="360"/>
      </w:pPr>
    </w:lvl>
    <w:lvl w:ilvl="7" w:tplc="0C090019">
      <w:start w:val="1"/>
      <w:numFmt w:val="lowerLetter"/>
      <w:lvlText w:val="%8."/>
      <w:lvlJc w:val="left"/>
      <w:pPr>
        <w:ind w:left="6530" w:hanging="360"/>
      </w:pPr>
    </w:lvl>
    <w:lvl w:ilvl="8" w:tplc="0C09001B">
      <w:start w:val="1"/>
      <w:numFmt w:val="lowerRoman"/>
      <w:lvlText w:val="%9."/>
      <w:lvlJc w:val="right"/>
      <w:pPr>
        <w:ind w:left="7250" w:hanging="180"/>
      </w:pPr>
    </w:lvl>
  </w:abstractNum>
  <w:abstractNum w:abstractNumId="4" w15:restartNumberingAfterBreak="0">
    <w:nsid w:val="1B1A6B5C"/>
    <w:multiLevelType w:val="hybridMultilevel"/>
    <w:tmpl w:val="DEA898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D0170DE"/>
    <w:multiLevelType w:val="hybridMultilevel"/>
    <w:tmpl w:val="677A1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DD6B85"/>
    <w:multiLevelType w:val="hybridMultilevel"/>
    <w:tmpl w:val="54CEB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F12CAB"/>
    <w:multiLevelType w:val="hybridMultilevel"/>
    <w:tmpl w:val="1BAE4A7C"/>
    <w:lvl w:ilvl="0" w:tplc="F4C81E22">
      <w:start w:val="1"/>
      <w:numFmt w:val="lowerLetter"/>
      <w:lvlText w:val="(%1)"/>
      <w:lvlJc w:val="left"/>
      <w:pPr>
        <w:ind w:left="1490" w:hanging="360"/>
      </w:pPr>
    </w:lvl>
    <w:lvl w:ilvl="1" w:tplc="0C090019">
      <w:start w:val="1"/>
      <w:numFmt w:val="lowerLetter"/>
      <w:lvlText w:val="%2."/>
      <w:lvlJc w:val="left"/>
      <w:pPr>
        <w:ind w:left="2210" w:hanging="360"/>
      </w:pPr>
    </w:lvl>
    <w:lvl w:ilvl="2" w:tplc="0C09001B">
      <w:start w:val="1"/>
      <w:numFmt w:val="lowerRoman"/>
      <w:lvlText w:val="%3."/>
      <w:lvlJc w:val="right"/>
      <w:pPr>
        <w:ind w:left="2930" w:hanging="180"/>
      </w:pPr>
    </w:lvl>
    <w:lvl w:ilvl="3" w:tplc="0C09000F">
      <w:start w:val="1"/>
      <w:numFmt w:val="decimal"/>
      <w:lvlText w:val="%4."/>
      <w:lvlJc w:val="left"/>
      <w:pPr>
        <w:ind w:left="3650" w:hanging="360"/>
      </w:pPr>
    </w:lvl>
    <w:lvl w:ilvl="4" w:tplc="0C090019">
      <w:start w:val="1"/>
      <w:numFmt w:val="lowerLetter"/>
      <w:lvlText w:val="%5."/>
      <w:lvlJc w:val="left"/>
      <w:pPr>
        <w:ind w:left="4370" w:hanging="360"/>
      </w:pPr>
    </w:lvl>
    <w:lvl w:ilvl="5" w:tplc="0C09001B">
      <w:start w:val="1"/>
      <w:numFmt w:val="lowerRoman"/>
      <w:lvlText w:val="%6."/>
      <w:lvlJc w:val="right"/>
      <w:pPr>
        <w:ind w:left="5090" w:hanging="180"/>
      </w:pPr>
    </w:lvl>
    <w:lvl w:ilvl="6" w:tplc="0C09000F">
      <w:start w:val="1"/>
      <w:numFmt w:val="decimal"/>
      <w:lvlText w:val="%7."/>
      <w:lvlJc w:val="left"/>
      <w:pPr>
        <w:ind w:left="5810" w:hanging="360"/>
      </w:pPr>
    </w:lvl>
    <w:lvl w:ilvl="7" w:tplc="0C090019">
      <w:start w:val="1"/>
      <w:numFmt w:val="lowerLetter"/>
      <w:lvlText w:val="%8."/>
      <w:lvlJc w:val="left"/>
      <w:pPr>
        <w:ind w:left="6530" w:hanging="360"/>
      </w:pPr>
    </w:lvl>
    <w:lvl w:ilvl="8" w:tplc="0C09001B">
      <w:start w:val="1"/>
      <w:numFmt w:val="lowerRoman"/>
      <w:lvlText w:val="%9."/>
      <w:lvlJc w:val="right"/>
      <w:pPr>
        <w:ind w:left="7250" w:hanging="180"/>
      </w:pPr>
    </w:lvl>
  </w:abstractNum>
  <w:abstractNum w:abstractNumId="8" w15:restartNumberingAfterBreak="0">
    <w:nsid w:val="3FA024F9"/>
    <w:multiLevelType w:val="hybridMultilevel"/>
    <w:tmpl w:val="5F28D7CA"/>
    <w:lvl w:ilvl="0" w:tplc="0C72D6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5A48CA"/>
    <w:multiLevelType w:val="hybridMultilevel"/>
    <w:tmpl w:val="4FCE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B976D2"/>
    <w:multiLevelType w:val="hybridMultilevel"/>
    <w:tmpl w:val="5246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2869DA"/>
    <w:multiLevelType w:val="hybridMultilevel"/>
    <w:tmpl w:val="4B96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B9377C"/>
    <w:multiLevelType w:val="hybridMultilevel"/>
    <w:tmpl w:val="7AF6B3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211017F"/>
    <w:multiLevelType w:val="hybridMultilevel"/>
    <w:tmpl w:val="4B0453B8"/>
    <w:lvl w:ilvl="0" w:tplc="01A8C8E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9B52E2"/>
    <w:multiLevelType w:val="hybridMultilevel"/>
    <w:tmpl w:val="2CECD8AE"/>
    <w:lvl w:ilvl="0" w:tplc="F4C81E2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77584B13"/>
    <w:multiLevelType w:val="hybridMultilevel"/>
    <w:tmpl w:val="06E03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B5B368E"/>
    <w:multiLevelType w:val="hybridMultilevel"/>
    <w:tmpl w:val="9F4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0"/>
  </w:num>
  <w:num w:numId="6">
    <w:abstractNumId w:val="5"/>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4"/>
  </w:num>
  <w:num w:numId="12">
    <w:abstractNumId w:val="15"/>
  </w:num>
  <w:num w:numId="13">
    <w:abstractNumId w:val="14"/>
  </w:num>
  <w:num w:numId="14">
    <w:abstractNumId w:val="2"/>
  </w:num>
  <w:num w:numId="15">
    <w:abstractNumId w:val="16"/>
  </w:num>
  <w:num w:numId="16">
    <w:abstractNumId w:val="9"/>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52"/>
    <w:rsid w:val="000012A2"/>
    <w:rsid w:val="0000160A"/>
    <w:rsid w:val="00001A25"/>
    <w:rsid w:val="00006A7E"/>
    <w:rsid w:val="000161BF"/>
    <w:rsid w:val="000176A1"/>
    <w:rsid w:val="00022FAE"/>
    <w:rsid w:val="0002385A"/>
    <w:rsid w:val="00024660"/>
    <w:rsid w:val="000256B4"/>
    <w:rsid w:val="00026F9C"/>
    <w:rsid w:val="000270DE"/>
    <w:rsid w:val="000301C5"/>
    <w:rsid w:val="000331EA"/>
    <w:rsid w:val="000344D6"/>
    <w:rsid w:val="00040DF2"/>
    <w:rsid w:val="00045077"/>
    <w:rsid w:val="00047EA4"/>
    <w:rsid w:val="00052AAA"/>
    <w:rsid w:val="00055391"/>
    <w:rsid w:val="00055570"/>
    <w:rsid w:val="0006280F"/>
    <w:rsid w:val="000633ED"/>
    <w:rsid w:val="000774D7"/>
    <w:rsid w:val="0008057E"/>
    <w:rsid w:val="00080B9F"/>
    <w:rsid w:val="00083E17"/>
    <w:rsid w:val="000843F2"/>
    <w:rsid w:val="00085468"/>
    <w:rsid w:val="00087A4D"/>
    <w:rsid w:val="00090B13"/>
    <w:rsid w:val="0009696E"/>
    <w:rsid w:val="000976EA"/>
    <w:rsid w:val="000A1484"/>
    <w:rsid w:val="000A7C9A"/>
    <w:rsid w:val="000B2057"/>
    <w:rsid w:val="000B4010"/>
    <w:rsid w:val="000C0836"/>
    <w:rsid w:val="000C1821"/>
    <w:rsid w:val="000C57E8"/>
    <w:rsid w:val="000C79D5"/>
    <w:rsid w:val="000D0B72"/>
    <w:rsid w:val="000D3715"/>
    <w:rsid w:val="000D6BEC"/>
    <w:rsid w:val="000E0FC0"/>
    <w:rsid w:val="000E1016"/>
    <w:rsid w:val="000E29DD"/>
    <w:rsid w:val="000E5569"/>
    <w:rsid w:val="000E5B5A"/>
    <w:rsid w:val="000F3759"/>
    <w:rsid w:val="000F5428"/>
    <w:rsid w:val="000F5607"/>
    <w:rsid w:val="00100083"/>
    <w:rsid w:val="00101F61"/>
    <w:rsid w:val="001037D1"/>
    <w:rsid w:val="00105408"/>
    <w:rsid w:val="001100B1"/>
    <w:rsid w:val="00114ABD"/>
    <w:rsid w:val="00115950"/>
    <w:rsid w:val="00120931"/>
    <w:rsid w:val="001211CF"/>
    <w:rsid w:val="00122657"/>
    <w:rsid w:val="00122E47"/>
    <w:rsid w:val="00124929"/>
    <w:rsid w:val="0012780B"/>
    <w:rsid w:val="0013409C"/>
    <w:rsid w:val="00135E96"/>
    <w:rsid w:val="00137621"/>
    <w:rsid w:val="00137F2B"/>
    <w:rsid w:val="00140600"/>
    <w:rsid w:val="0014191B"/>
    <w:rsid w:val="00146F49"/>
    <w:rsid w:val="00147CFC"/>
    <w:rsid w:val="00150979"/>
    <w:rsid w:val="00152AD5"/>
    <w:rsid w:val="00154DF9"/>
    <w:rsid w:val="001579E2"/>
    <w:rsid w:val="00162248"/>
    <w:rsid w:val="0016667E"/>
    <w:rsid w:val="00166C40"/>
    <w:rsid w:val="00170FA0"/>
    <w:rsid w:val="0018039A"/>
    <w:rsid w:val="00181CB0"/>
    <w:rsid w:val="00193DF4"/>
    <w:rsid w:val="00194D37"/>
    <w:rsid w:val="00196543"/>
    <w:rsid w:val="001A2D37"/>
    <w:rsid w:val="001A726B"/>
    <w:rsid w:val="001B1792"/>
    <w:rsid w:val="001B3E56"/>
    <w:rsid w:val="001B6B85"/>
    <w:rsid w:val="001C4AFF"/>
    <w:rsid w:val="001C74A1"/>
    <w:rsid w:val="001D42C1"/>
    <w:rsid w:val="001D4CCB"/>
    <w:rsid w:val="001D688E"/>
    <w:rsid w:val="001E10E2"/>
    <w:rsid w:val="001E1861"/>
    <w:rsid w:val="001E412D"/>
    <w:rsid w:val="00201206"/>
    <w:rsid w:val="002016CC"/>
    <w:rsid w:val="00203304"/>
    <w:rsid w:val="00215140"/>
    <w:rsid w:val="00225B5D"/>
    <w:rsid w:val="00226B54"/>
    <w:rsid w:val="00233CC4"/>
    <w:rsid w:val="00233E49"/>
    <w:rsid w:val="00251799"/>
    <w:rsid w:val="00251C26"/>
    <w:rsid w:val="0026021D"/>
    <w:rsid w:val="00267221"/>
    <w:rsid w:val="0026762C"/>
    <w:rsid w:val="002740E3"/>
    <w:rsid w:val="0027483F"/>
    <w:rsid w:val="00274F16"/>
    <w:rsid w:val="00275721"/>
    <w:rsid w:val="00283F20"/>
    <w:rsid w:val="00284115"/>
    <w:rsid w:val="00287186"/>
    <w:rsid w:val="002912B5"/>
    <w:rsid w:val="002927D4"/>
    <w:rsid w:val="00294A38"/>
    <w:rsid w:val="0029666A"/>
    <w:rsid w:val="00296963"/>
    <w:rsid w:val="00297C27"/>
    <w:rsid w:val="002A0579"/>
    <w:rsid w:val="002A1E9F"/>
    <w:rsid w:val="002A357E"/>
    <w:rsid w:val="002A4849"/>
    <w:rsid w:val="002A70C3"/>
    <w:rsid w:val="002B06C4"/>
    <w:rsid w:val="002B098A"/>
    <w:rsid w:val="002B286E"/>
    <w:rsid w:val="002C09F9"/>
    <w:rsid w:val="002C1789"/>
    <w:rsid w:val="002C2C95"/>
    <w:rsid w:val="002C3132"/>
    <w:rsid w:val="002D3ABE"/>
    <w:rsid w:val="002D58A1"/>
    <w:rsid w:val="002E0339"/>
    <w:rsid w:val="002E18E1"/>
    <w:rsid w:val="002E20EC"/>
    <w:rsid w:val="002E3503"/>
    <w:rsid w:val="002E3AA7"/>
    <w:rsid w:val="002E4751"/>
    <w:rsid w:val="002F0EE8"/>
    <w:rsid w:val="002F447A"/>
    <w:rsid w:val="002F45F8"/>
    <w:rsid w:val="002F562A"/>
    <w:rsid w:val="003016F6"/>
    <w:rsid w:val="003023BC"/>
    <w:rsid w:val="00303EB3"/>
    <w:rsid w:val="00305616"/>
    <w:rsid w:val="00311B50"/>
    <w:rsid w:val="003128F8"/>
    <w:rsid w:val="00316132"/>
    <w:rsid w:val="003177DE"/>
    <w:rsid w:val="00321CA6"/>
    <w:rsid w:val="003233A6"/>
    <w:rsid w:val="00323537"/>
    <w:rsid w:val="00331DD9"/>
    <w:rsid w:val="00333ED2"/>
    <w:rsid w:val="00335F2A"/>
    <w:rsid w:val="00351BA2"/>
    <w:rsid w:val="00351D6A"/>
    <w:rsid w:val="003537B5"/>
    <w:rsid w:val="003538BA"/>
    <w:rsid w:val="003551F5"/>
    <w:rsid w:val="003702F5"/>
    <w:rsid w:val="00370A29"/>
    <w:rsid w:val="003746DD"/>
    <w:rsid w:val="0037520D"/>
    <w:rsid w:val="003761B2"/>
    <w:rsid w:val="003820BA"/>
    <w:rsid w:val="0038251B"/>
    <w:rsid w:val="00383A08"/>
    <w:rsid w:val="0038656E"/>
    <w:rsid w:val="00392502"/>
    <w:rsid w:val="003A529D"/>
    <w:rsid w:val="003A5A9E"/>
    <w:rsid w:val="003B22D6"/>
    <w:rsid w:val="003B3EA8"/>
    <w:rsid w:val="003B4D60"/>
    <w:rsid w:val="003B67E7"/>
    <w:rsid w:val="003B7449"/>
    <w:rsid w:val="003C3AD2"/>
    <w:rsid w:val="003C6427"/>
    <w:rsid w:val="003D1FD5"/>
    <w:rsid w:val="003D20A8"/>
    <w:rsid w:val="003D7B89"/>
    <w:rsid w:val="003E2607"/>
    <w:rsid w:val="003E3A88"/>
    <w:rsid w:val="003E4C75"/>
    <w:rsid w:val="003F03D0"/>
    <w:rsid w:val="003F47C6"/>
    <w:rsid w:val="003F6BF0"/>
    <w:rsid w:val="00404A3E"/>
    <w:rsid w:val="0040686F"/>
    <w:rsid w:val="00406B52"/>
    <w:rsid w:val="00407A7F"/>
    <w:rsid w:val="00411DEB"/>
    <w:rsid w:val="00417111"/>
    <w:rsid w:val="00421203"/>
    <w:rsid w:val="004217D3"/>
    <w:rsid w:val="00426554"/>
    <w:rsid w:val="00426769"/>
    <w:rsid w:val="004378FA"/>
    <w:rsid w:val="00442200"/>
    <w:rsid w:val="00442368"/>
    <w:rsid w:val="004437DD"/>
    <w:rsid w:val="004532EE"/>
    <w:rsid w:val="00472248"/>
    <w:rsid w:val="00474DE4"/>
    <w:rsid w:val="00483B7C"/>
    <w:rsid w:val="00490061"/>
    <w:rsid w:val="004940DD"/>
    <w:rsid w:val="00495B8F"/>
    <w:rsid w:val="00496627"/>
    <w:rsid w:val="00497EFC"/>
    <w:rsid w:val="004A060F"/>
    <w:rsid w:val="004A0D38"/>
    <w:rsid w:val="004A219D"/>
    <w:rsid w:val="004A5E18"/>
    <w:rsid w:val="004A62BC"/>
    <w:rsid w:val="004A6F5E"/>
    <w:rsid w:val="004A7A30"/>
    <w:rsid w:val="004B3A08"/>
    <w:rsid w:val="004B3C8D"/>
    <w:rsid w:val="004B5F8E"/>
    <w:rsid w:val="004B72BD"/>
    <w:rsid w:val="004C57E5"/>
    <w:rsid w:val="004C5B57"/>
    <w:rsid w:val="004C6ACE"/>
    <w:rsid w:val="004C74AE"/>
    <w:rsid w:val="004D59D5"/>
    <w:rsid w:val="004E5C66"/>
    <w:rsid w:val="004E5D43"/>
    <w:rsid w:val="004E603E"/>
    <w:rsid w:val="004F2786"/>
    <w:rsid w:val="004F3E83"/>
    <w:rsid w:val="004F7112"/>
    <w:rsid w:val="00501D84"/>
    <w:rsid w:val="00501E62"/>
    <w:rsid w:val="005052A1"/>
    <w:rsid w:val="0050557B"/>
    <w:rsid w:val="00506999"/>
    <w:rsid w:val="005110FE"/>
    <w:rsid w:val="0051290E"/>
    <w:rsid w:val="0051331D"/>
    <w:rsid w:val="0051481B"/>
    <w:rsid w:val="00525D53"/>
    <w:rsid w:val="0052699A"/>
    <w:rsid w:val="005308A2"/>
    <w:rsid w:val="005328B9"/>
    <w:rsid w:val="00535E8A"/>
    <w:rsid w:val="00540744"/>
    <w:rsid w:val="005410D5"/>
    <w:rsid w:val="0054123F"/>
    <w:rsid w:val="00543F90"/>
    <w:rsid w:val="00547110"/>
    <w:rsid w:val="005517B1"/>
    <w:rsid w:val="00553248"/>
    <w:rsid w:val="005536CB"/>
    <w:rsid w:val="005549A5"/>
    <w:rsid w:val="005551B1"/>
    <w:rsid w:val="005621C4"/>
    <w:rsid w:val="00565293"/>
    <w:rsid w:val="00565D1D"/>
    <w:rsid w:val="00573159"/>
    <w:rsid w:val="00575635"/>
    <w:rsid w:val="00581F48"/>
    <w:rsid w:val="00583D1C"/>
    <w:rsid w:val="00584A14"/>
    <w:rsid w:val="00584E2D"/>
    <w:rsid w:val="00586F88"/>
    <w:rsid w:val="00590036"/>
    <w:rsid w:val="00595156"/>
    <w:rsid w:val="005974E9"/>
    <w:rsid w:val="005B17BC"/>
    <w:rsid w:val="005B1CB9"/>
    <w:rsid w:val="005B2159"/>
    <w:rsid w:val="005B29A6"/>
    <w:rsid w:val="005C6DFF"/>
    <w:rsid w:val="005D0515"/>
    <w:rsid w:val="005E3F3C"/>
    <w:rsid w:val="005E5465"/>
    <w:rsid w:val="005F28AC"/>
    <w:rsid w:val="005F38A0"/>
    <w:rsid w:val="00602D3D"/>
    <w:rsid w:val="0060654E"/>
    <w:rsid w:val="00606574"/>
    <w:rsid w:val="006117F9"/>
    <w:rsid w:val="006148B5"/>
    <w:rsid w:val="00614A79"/>
    <w:rsid w:val="00615E7B"/>
    <w:rsid w:val="006200E5"/>
    <w:rsid w:val="00622EB6"/>
    <w:rsid w:val="00623898"/>
    <w:rsid w:val="00627125"/>
    <w:rsid w:val="00630CC4"/>
    <w:rsid w:val="00631CF2"/>
    <w:rsid w:val="00640246"/>
    <w:rsid w:val="00646713"/>
    <w:rsid w:val="006467C1"/>
    <w:rsid w:val="00650FE3"/>
    <w:rsid w:val="00651D2E"/>
    <w:rsid w:val="006542CF"/>
    <w:rsid w:val="00656337"/>
    <w:rsid w:val="00665DEC"/>
    <w:rsid w:val="00667640"/>
    <w:rsid w:val="0067088C"/>
    <w:rsid w:val="0067119D"/>
    <w:rsid w:val="006717DF"/>
    <w:rsid w:val="0067585F"/>
    <w:rsid w:val="006773A2"/>
    <w:rsid w:val="00681FB4"/>
    <w:rsid w:val="006832AA"/>
    <w:rsid w:val="00684A50"/>
    <w:rsid w:val="006875C9"/>
    <w:rsid w:val="00691C63"/>
    <w:rsid w:val="00692009"/>
    <w:rsid w:val="006960D8"/>
    <w:rsid w:val="006A186C"/>
    <w:rsid w:val="006A1E75"/>
    <w:rsid w:val="006A34F3"/>
    <w:rsid w:val="006A7291"/>
    <w:rsid w:val="006B0C6D"/>
    <w:rsid w:val="006B1438"/>
    <w:rsid w:val="006B16F2"/>
    <w:rsid w:val="006B75BB"/>
    <w:rsid w:val="006C7F5F"/>
    <w:rsid w:val="006D34BB"/>
    <w:rsid w:val="006D49B5"/>
    <w:rsid w:val="006F3DBD"/>
    <w:rsid w:val="006F40B7"/>
    <w:rsid w:val="007020C3"/>
    <w:rsid w:val="00710C1C"/>
    <w:rsid w:val="00712350"/>
    <w:rsid w:val="00712852"/>
    <w:rsid w:val="007237AA"/>
    <w:rsid w:val="00730A12"/>
    <w:rsid w:val="00731C46"/>
    <w:rsid w:val="0074634D"/>
    <w:rsid w:val="007477F9"/>
    <w:rsid w:val="00751F15"/>
    <w:rsid w:val="00753A33"/>
    <w:rsid w:val="007631B8"/>
    <w:rsid w:val="0077166A"/>
    <w:rsid w:val="007723BD"/>
    <w:rsid w:val="007746BF"/>
    <w:rsid w:val="00775F79"/>
    <w:rsid w:val="00776AFC"/>
    <w:rsid w:val="00782792"/>
    <w:rsid w:val="0079098D"/>
    <w:rsid w:val="00790BAD"/>
    <w:rsid w:val="00791F50"/>
    <w:rsid w:val="0079473C"/>
    <w:rsid w:val="00796F6F"/>
    <w:rsid w:val="007A0DF7"/>
    <w:rsid w:val="007A309D"/>
    <w:rsid w:val="007A52E0"/>
    <w:rsid w:val="007B07B8"/>
    <w:rsid w:val="007B197D"/>
    <w:rsid w:val="007B2366"/>
    <w:rsid w:val="007B4C15"/>
    <w:rsid w:val="007B572F"/>
    <w:rsid w:val="007B68AB"/>
    <w:rsid w:val="007C4840"/>
    <w:rsid w:val="007C628C"/>
    <w:rsid w:val="007C7E2B"/>
    <w:rsid w:val="007C7FBC"/>
    <w:rsid w:val="007E06D7"/>
    <w:rsid w:val="007F5D41"/>
    <w:rsid w:val="007F61E5"/>
    <w:rsid w:val="007F6645"/>
    <w:rsid w:val="00800902"/>
    <w:rsid w:val="00801B52"/>
    <w:rsid w:val="00803376"/>
    <w:rsid w:val="00806CBE"/>
    <w:rsid w:val="00807824"/>
    <w:rsid w:val="00811191"/>
    <w:rsid w:val="00812053"/>
    <w:rsid w:val="008125CF"/>
    <w:rsid w:val="008160B9"/>
    <w:rsid w:val="00824B8C"/>
    <w:rsid w:val="00832E14"/>
    <w:rsid w:val="00833F34"/>
    <w:rsid w:val="00841BA9"/>
    <w:rsid w:val="0084368E"/>
    <w:rsid w:val="00852F23"/>
    <w:rsid w:val="00853271"/>
    <w:rsid w:val="00853DB7"/>
    <w:rsid w:val="00861E8F"/>
    <w:rsid w:val="00873165"/>
    <w:rsid w:val="008735D7"/>
    <w:rsid w:val="00873D3D"/>
    <w:rsid w:val="00873F6E"/>
    <w:rsid w:val="0087477E"/>
    <w:rsid w:val="00874BD6"/>
    <w:rsid w:val="00877A79"/>
    <w:rsid w:val="00881231"/>
    <w:rsid w:val="008822DB"/>
    <w:rsid w:val="00882C7B"/>
    <w:rsid w:val="00883366"/>
    <w:rsid w:val="00891DB1"/>
    <w:rsid w:val="008947AC"/>
    <w:rsid w:val="00896D0F"/>
    <w:rsid w:val="008A2730"/>
    <w:rsid w:val="008A4F10"/>
    <w:rsid w:val="008A6FEE"/>
    <w:rsid w:val="008B0FBB"/>
    <w:rsid w:val="008B37A1"/>
    <w:rsid w:val="008B49D9"/>
    <w:rsid w:val="008B5ED3"/>
    <w:rsid w:val="008B7A59"/>
    <w:rsid w:val="008C4369"/>
    <w:rsid w:val="008D5740"/>
    <w:rsid w:val="008D6142"/>
    <w:rsid w:val="008E2B46"/>
    <w:rsid w:val="008E52C5"/>
    <w:rsid w:val="008E6170"/>
    <w:rsid w:val="008E7BDA"/>
    <w:rsid w:val="008F0ABD"/>
    <w:rsid w:val="008F203D"/>
    <w:rsid w:val="008F27C1"/>
    <w:rsid w:val="008F3896"/>
    <w:rsid w:val="008F50C3"/>
    <w:rsid w:val="0091683F"/>
    <w:rsid w:val="009201A8"/>
    <w:rsid w:val="009217AD"/>
    <w:rsid w:val="00921ACB"/>
    <w:rsid w:val="00922FF0"/>
    <w:rsid w:val="00934110"/>
    <w:rsid w:val="00935EF6"/>
    <w:rsid w:val="009363A4"/>
    <w:rsid w:val="00937177"/>
    <w:rsid w:val="00937407"/>
    <w:rsid w:val="0094441F"/>
    <w:rsid w:val="009463B2"/>
    <w:rsid w:val="00950922"/>
    <w:rsid w:val="00960E7A"/>
    <w:rsid w:val="00961055"/>
    <w:rsid w:val="00962ECE"/>
    <w:rsid w:val="0096729B"/>
    <w:rsid w:val="009724BE"/>
    <w:rsid w:val="00972CCE"/>
    <w:rsid w:val="00973552"/>
    <w:rsid w:val="00974339"/>
    <w:rsid w:val="009770AF"/>
    <w:rsid w:val="00982A6E"/>
    <w:rsid w:val="0098571D"/>
    <w:rsid w:val="00985B2E"/>
    <w:rsid w:val="00993354"/>
    <w:rsid w:val="0099610B"/>
    <w:rsid w:val="009A1705"/>
    <w:rsid w:val="009A1A22"/>
    <w:rsid w:val="009A60C1"/>
    <w:rsid w:val="009A6AE3"/>
    <w:rsid w:val="009A759A"/>
    <w:rsid w:val="009B6592"/>
    <w:rsid w:val="009C01D7"/>
    <w:rsid w:val="009C1267"/>
    <w:rsid w:val="009C7CBE"/>
    <w:rsid w:val="009D0068"/>
    <w:rsid w:val="009D074B"/>
    <w:rsid w:val="009D5B76"/>
    <w:rsid w:val="009E0DD1"/>
    <w:rsid w:val="009E57B7"/>
    <w:rsid w:val="009F1E0B"/>
    <w:rsid w:val="009F25F5"/>
    <w:rsid w:val="009F36C7"/>
    <w:rsid w:val="009F5BD2"/>
    <w:rsid w:val="009F6249"/>
    <w:rsid w:val="009F6299"/>
    <w:rsid w:val="00A13193"/>
    <w:rsid w:val="00A2189A"/>
    <w:rsid w:val="00A22E71"/>
    <w:rsid w:val="00A2546A"/>
    <w:rsid w:val="00A279F7"/>
    <w:rsid w:val="00A30804"/>
    <w:rsid w:val="00A31D45"/>
    <w:rsid w:val="00A355D6"/>
    <w:rsid w:val="00A4272A"/>
    <w:rsid w:val="00A43B5C"/>
    <w:rsid w:val="00A50DC3"/>
    <w:rsid w:val="00A50E2A"/>
    <w:rsid w:val="00A51411"/>
    <w:rsid w:val="00A516DA"/>
    <w:rsid w:val="00A55435"/>
    <w:rsid w:val="00A61165"/>
    <w:rsid w:val="00A62914"/>
    <w:rsid w:val="00A6359F"/>
    <w:rsid w:val="00A65086"/>
    <w:rsid w:val="00A663A7"/>
    <w:rsid w:val="00A75FD4"/>
    <w:rsid w:val="00A7731F"/>
    <w:rsid w:val="00A81D57"/>
    <w:rsid w:val="00A866E0"/>
    <w:rsid w:val="00A907CC"/>
    <w:rsid w:val="00A93389"/>
    <w:rsid w:val="00A93AD9"/>
    <w:rsid w:val="00AA6253"/>
    <w:rsid w:val="00AB12AB"/>
    <w:rsid w:val="00AC1419"/>
    <w:rsid w:val="00AC34E6"/>
    <w:rsid w:val="00AC5568"/>
    <w:rsid w:val="00AC6DD4"/>
    <w:rsid w:val="00AD5120"/>
    <w:rsid w:val="00AD6957"/>
    <w:rsid w:val="00AD73A8"/>
    <w:rsid w:val="00AD7970"/>
    <w:rsid w:val="00AE3C80"/>
    <w:rsid w:val="00AE6C2E"/>
    <w:rsid w:val="00AE6FF8"/>
    <w:rsid w:val="00AE790B"/>
    <w:rsid w:val="00AF0FBF"/>
    <w:rsid w:val="00AF193A"/>
    <w:rsid w:val="00AF1D29"/>
    <w:rsid w:val="00AF1F38"/>
    <w:rsid w:val="00AF20CD"/>
    <w:rsid w:val="00AF278F"/>
    <w:rsid w:val="00AF5AF5"/>
    <w:rsid w:val="00B00FDE"/>
    <w:rsid w:val="00B029DA"/>
    <w:rsid w:val="00B032E5"/>
    <w:rsid w:val="00B034F7"/>
    <w:rsid w:val="00B06589"/>
    <w:rsid w:val="00B07F27"/>
    <w:rsid w:val="00B1053A"/>
    <w:rsid w:val="00B360B0"/>
    <w:rsid w:val="00B4241B"/>
    <w:rsid w:val="00B4436D"/>
    <w:rsid w:val="00B4491C"/>
    <w:rsid w:val="00B46D20"/>
    <w:rsid w:val="00B47F9F"/>
    <w:rsid w:val="00B554C9"/>
    <w:rsid w:val="00B55B91"/>
    <w:rsid w:val="00B56E99"/>
    <w:rsid w:val="00B6214A"/>
    <w:rsid w:val="00B6291B"/>
    <w:rsid w:val="00B66133"/>
    <w:rsid w:val="00B67002"/>
    <w:rsid w:val="00B75899"/>
    <w:rsid w:val="00B8315C"/>
    <w:rsid w:val="00BA488F"/>
    <w:rsid w:val="00BA6CBD"/>
    <w:rsid w:val="00BA6EA8"/>
    <w:rsid w:val="00BA77CA"/>
    <w:rsid w:val="00BB2E59"/>
    <w:rsid w:val="00BB7AA5"/>
    <w:rsid w:val="00BC1965"/>
    <w:rsid w:val="00BC7093"/>
    <w:rsid w:val="00BD5530"/>
    <w:rsid w:val="00BD6023"/>
    <w:rsid w:val="00BD61D1"/>
    <w:rsid w:val="00BD75C1"/>
    <w:rsid w:val="00BE00E0"/>
    <w:rsid w:val="00BE35B1"/>
    <w:rsid w:val="00BE382C"/>
    <w:rsid w:val="00BF0B09"/>
    <w:rsid w:val="00C00C6A"/>
    <w:rsid w:val="00C01961"/>
    <w:rsid w:val="00C01B75"/>
    <w:rsid w:val="00C01C58"/>
    <w:rsid w:val="00C050E1"/>
    <w:rsid w:val="00C202E6"/>
    <w:rsid w:val="00C257E6"/>
    <w:rsid w:val="00C2759D"/>
    <w:rsid w:val="00C3295B"/>
    <w:rsid w:val="00C34638"/>
    <w:rsid w:val="00C365D4"/>
    <w:rsid w:val="00C37B6C"/>
    <w:rsid w:val="00C427BA"/>
    <w:rsid w:val="00C431C2"/>
    <w:rsid w:val="00C4335D"/>
    <w:rsid w:val="00C444B5"/>
    <w:rsid w:val="00C45D4A"/>
    <w:rsid w:val="00C46B70"/>
    <w:rsid w:val="00C504D0"/>
    <w:rsid w:val="00C50C3C"/>
    <w:rsid w:val="00C51847"/>
    <w:rsid w:val="00C52457"/>
    <w:rsid w:val="00C52619"/>
    <w:rsid w:val="00C52B0C"/>
    <w:rsid w:val="00C5415C"/>
    <w:rsid w:val="00C56A60"/>
    <w:rsid w:val="00C57B2E"/>
    <w:rsid w:val="00C57DD5"/>
    <w:rsid w:val="00C60C08"/>
    <w:rsid w:val="00C63079"/>
    <w:rsid w:val="00C6343F"/>
    <w:rsid w:val="00C65D5E"/>
    <w:rsid w:val="00C67152"/>
    <w:rsid w:val="00C7683D"/>
    <w:rsid w:val="00C81A51"/>
    <w:rsid w:val="00C91455"/>
    <w:rsid w:val="00C91727"/>
    <w:rsid w:val="00C932CF"/>
    <w:rsid w:val="00C968F9"/>
    <w:rsid w:val="00CB09FC"/>
    <w:rsid w:val="00CC163E"/>
    <w:rsid w:val="00CD0CD6"/>
    <w:rsid w:val="00CD297A"/>
    <w:rsid w:val="00CD4718"/>
    <w:rsid w:val="00CD7DA3"/>
    <w:rsid w:val="00CE15FD"/>
    <w:rsid w:val="00CE345B"/>
    <w:rsid w:val="00CE432E"/>
    <w:rsid w:val="00CE43D8"/>
    <w:rsid w:val="00CF5609"/>
    <w:rsid w:val="00CF7509"/>
    <w:rsid w:val="00CF7E7E"/>
    <w:rsid w:val="00D040D7"/>
    <w:rsid w:val="00D10778"/>
    <w:rsid w:val="00D22CE5"/>
    <w:rsid w:val="00D27DD6"/>
    <w:rsid w:val="00D3625E"/>
    <w:rsid w:val="00D41415"/>
    <w:rsid w:val="00D43517"/>
    <w:rsid w:val="00D43961"/>
    <w:rsid w:val="00D45DFE"/>
    <w:rsid w:val="00D46C42"/>
    <w:rsid w:val="00D46E82"/>
    <w:rsid w:val="00D4790F"/>
    <w:rsid w:val="00D545E7"/>
    <w:rsid w:val="00D5496B"/>
    <w:rsid w:val="00D672A6"/>
    <w:rsid w:val="00D75B13"/>
    <w:rsid w:val="00D76C0F"/>
    <w:rsid w:val="00D80C55"/>
    <w:rsid w:val="00D82903"/>
    <w:rsid w:val="00D91CBD"/>
    <w:rsid w:val="00D937F4"/>
    <w:rsid w:val="00DA1DEE"/>
    <w:rsid w:val="00DA3420"/>
    <w:rsid w:val="00DA5E24"/>
    <w:rsid w:val="00DB3394"/>
    <w:rsid w:val="00DB4B3C"/>
    <w:rsid w:val="00DB783A"/>
    <w:rsid w:val="00DC3890"/>
    <w:rsid w:val="00DC5D48"/>
    <w:rsid w:val="00DC63D7"/>
    <w:rsid w:val="00DD7EA2"/>
    <w:rsid w:val="00DE20D0"/>
    <w:rsid w:val="00DE29C6"/>
    <w:rsid w:val="00DE3675"/>
    <w:rsid w:val="00DF46B3"/>
    <w:rsid w:val="00E04080"/>
    <w:rsid w:val="00E0473D"/>
    <w:rsid w:val="00E061A3"/>
    <w:rsid w:val="00E07C53"/>
    <w:rsid w:val="00E2040D"/>
    <w:rsid w:val="00E20C97"/>
    <w:rsid w:val="00E20E4E"/>
    <w:rsid w:val="00E23B0F"/>
    <w:rsid w:val="00E27AA3"/>
    <w:rsid w:val="00E302A2"/>
    <w:rsid w:val="00E33746"/>
    <w:rsid w:val="00E34D23"/>
    <w:rsid w:val="00E41BD4"/>
    <w:rsid w:val="00E41C89"/>
    <w:rsid w:val="00E43FCF"/>
    <w:rsid w:val="00E46A10"/>
    <w:rsid w:val="00E54617"/>
    <w:rsid w:val="00E557EB"/>
    <w:rsid w:val="00E72EAD"/>
    <w:rsid w:val="00E74086"/>
    <w:rsid w:val="00E743B0"/>
    <w:rsid w:val="00E753CB"/>
    <w:rsid w:val="00E85B82"/>
    <w:rsid w:val="00E86EC4"/>
    <w:rsid w:val="00E87906"/>
    <w:rsid w:val="00E93533"/>
    <w:rsid w:val="00E93C1B"/>
    <w:rsid w:val="00E947A8"/>
    <w:rsid w:val="00EA20FD"/>
    <w:rsid w:val="00EA43B3"/>
    <w:rsid w:val="00EB0F15"/>
    <w:rsid w:val="00EB135C"/>
    <w:rsid w:val="00EB5DE8"/>
    <w:rsid w:val="00EC573D"/>
    <w:rsid w:val="00ED248B"/>
    <w:rsid w:val="00ED7E9A"/>
    <w:rsid w:val="00EE15F6"/>
    <w:rsid w:val="00EE2E43"/>
    <w:rsid w:val="00EE3BC6"/>
    <w:rsid w:val="00EE4D3C"/>
    <w:rsid w:val="00EE4FFF"/>
    <w:rsid w:val="00EE7223"/>
    <w:rsid w:val="00EF2758"/>
    <w:rsid w:val="00EF3ED6"/>
    <w:rsid w:val="00EF5515"/>
    <w:rsid w:val="00EF6834"/>
    <w:rsid w:val="00F1182F"/>
    <w:rsid w:val="00F149F5"/>
    <w:rsid w:val="00F16E71"/>
    <w:rsid w:val="00F31EC9"/>
    <w:rsid w:val="00F33C91"/>
    <w:rsid w:val="00F34343"/>
    <w:rsid w:val="00F3573D"/>
    <w:rsid w:val="00F36F3B"/>
    <w:rsid w:val="00F37C30"/>
    <w:rsid w:val="00F41172"/>
    <w:rsid w:val="00F4741F"/>
    <w:rsid w:val="00F510BA"/>
    <w:rsid w:val="00F518AC"/>
    <w:rsid w:val="00F5208B"/>
    <w:rsid w:val="00F52EB1"/>
    <w:rsid w:val="00F53284"/>
    <w:rsid w:val="00F552EE"/>
    <w:rsid w:val="00F55C18"/>
    <w:rsid w:val="00F609A8"/>
    <w:rsid w:val="00F6143E"/>
    <w:rsid w:val="00F709E2"/>
    <w:rsid w:val="00F745DA"/>
    <w:rsid w:val="00F75F95"/>
    <w:rsid w:val="00F833A4"/>
    <w:rsid w:val="00F8673B"/>
    <w:rsid w:val="00F94917"/>
    <w:rsid w:val="00F955A3"/>
    <w:rsid w:val="00FA52AA"/>
    <w:rsid w:val="00FA65CB"/>
    <w:rsid w:val="00FB1462"/>
    <w:rsid w:val="00FB4125"/>
    <w:rsid w:val="00FB674B"/>
    <w:rsid w:val="00FC0370"/>
    <w:rsid w:val="00FC4791"/>
    <w:rsid w:val="00FC4EFD"/>
    <w:rsid w:val="00FC7ECC"/>
    <w:rsid w:val="00FD5655"/>
    <w:rsid w:val="00FF1E5E"/>
    <w:rsid w:val="00FF3242"/>
    <w:rsid w:val="00FF37B2"/>
    <w:rsid w:val="00FF3B01"/>
    <w:rsid w:val="00FF4797"/>
    <w:rsid w:val="00FF4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A85D"/>
  <w15:chartTrackingRefBased/>
  <w15:docId w15:val="{DFB61A70-66DC-4036-8EF7-FD4CDA9C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BC"/>
  </w:style>
  <w:style w:type="paragraph" w:styleId="Heading2">
    <w:name w:val="heading 2"/>
    <w:basedOn w:val="Normal"/>
    <w:link w:val="Heading2Char"/>
    <w:uiPriority w:val="9"/>
    <w:qFormat/>
    <w:rsid w:val="00AF20C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74E9"/>
    <w:rPr>
      <w:sz w:val="16"/>
      <w:szCs w:val="16"/>
    </w:rPr>
  </w:style>
  <w:style w:type="paragraph" w:styleId="CommentText">
    <w:name w:val="annotation text"/>
    <w:basedOn w:val="Normal"/>
    <w:link w:val="CommentTextChar"/>
    <w:uiPriority w:val="99"/>
    <w:unhideWhenUsed/>
    <w:rsid w:val="005974E9"/>
    <w:pPr>
      <w:spacing w:line="240" w:lineRule="auto"/>
    </w:pPr>
    <w:rPr>
      <w:sz w:val="20"/>
      <w:szCs w:val="20"/>
    </w:rPr>
  </w:style>
  <w:style w:type="character" w:customStyle="1" w:styleId="CommentTextChar">
    <w:name w:val="Comment Text Char"/>
    <w:basedOn w:val="DefaultParagraphFont"/>
    <w:link w:val="CommentText"/>
    <w:uiPriority w:val="99"/>
    <w:rsid w:val="005974E9"/>
    <w:rPr>
      <w:sz w:val="20"/>
      <w:szCs w:val="20"/>
    </w:rPr>
  </w:style>
  <w:style w:type="paragraph" w:styleId="CommentSubject">
    <w:name w:val="annotation subject"/>
    <w:basedOn w:val="CommentText"/>
    <w:next w:val="CommentText"/>
    <w:link w:val="CommentSubjectChar"/>
    <w:uiPriority w:val="99"/>
    <w:semiHidden/>
    <w:unhideWhenUsed/>
    <w:rsid w:val="005974E9"/>
    <w:rPr>
      <w:b/>
      <w:bCs/>
    </w:rPr>
  </w:style>
  <w:style w:type="character" w:customStyle="1" w:styleId="CommentSubjectChar">
    <w:name w:val="Comment Subject Char"/>
    <w:basedOn w:val="CommentTextChar"/>
    <w:link w:val="CommentSubject"/>
    <w:uiPriority w:val="99"/>
    <w:semiHidden/>
    <w:rsid w:val="005974E9"/>
    <w:rPr>
      <w:b/>
      <w:bCs/>
      <w:sz w:val="20"/>
      <w:szCs w:val="20"/>
    </w:rPr>
  </w:style>
  <w:style w:type="paragraph" w:styleId="BalloonText">
    <w:name w:val="Balloon Text"/>
    <w:basedOn w:val="Normal"/>
    <w:link w:val="BalloonTextChar"/>
    <w:uiPriority w:val="99"/>
    <w:semiHidden/>
    <w:unhideWhenUsed/>
    <w:rsid w:val="00597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4E9"/>
    <w:rPr>
      <w:rFonts w:ascii="Segoe UI" w:hAnsi="Segoe UI" w:cs="Segoe UI"/>
      <w:sz w:val="18"/>
      <w:szCs w:val="18"/>
    </w:rPr>
  </w:style>
  <w:style w:type="character" w:styleId="Hyperlink">
    <w:name w:val="Hyperlink"/>
    <w:basedOn w:val="DefaultParagraphFont"/>
    <w:uiPriority w:val="99"/>
    <w:unhideWhenUsed/>
    <w:rsid w:val="00A516DA"/>
    <w:rPr>
      <w:color w:val="0000FF"/>
      <w:u w:val="single"/>
    </w:rPr>
  </w:style>
  <w:style w:type="character" w:customStyle="1" w:styleId="Heading2Char">
    <w:name w:val="Heading 2 Char"/>
    <w:basedOn w:val="DefaultParagraphFont"/>
    <w:link w:val="Heading2"/>
    <w:uiPriority w:val="9"/>
    <w:rsid w:val="00AF20CD"/>
    <w:rPr>
      <w:rFonts w:ascii="Times New Roman" w:eastAsia="Times New Roman" w:hAnsi="Times New Roman" w:cs="Times New Roman"/>
      <w:b/>
      <w:bCs/>
      <w:sz w:val="36"/>
      <w:szCs w:val="36"/>
      <w:lang w:eastAsia="en-AU"/>
    </w:rPr>
  </w:style>
  <w:style w:type="character" w:customStyle="1" w:styleId="ListParagraphChar">
    <w:name w:val="List Paragraph Char"/>
    <w:aliases w:val="Bullet Char,Bullet 1 Char,Bullet Points Char,CV text Char,Dot pt Char,F5 List Paragraph Char,Indicator Text Char,L Char,List Paragraph Char Char Char Char,List Paragraph1 Char,List Paragraph11 Char,List Paragraph12 Char,列出段 Char"/>
    <w:link w:val="ListParagraph"/>
    <w:uiPriority w:val="34"/>
    <w:qFormat/>
    <w:locked/>
    <w:rsid w:val="002B286E"/>
  </w:style>
  <w:style w:type="paragraph" w:styleId="ListParagraph">
    <w:name w:val="List Paragraph"/>
    <w:aliases w:val="Bullet,Bullet 1,Bullet Points,CV text,Dot pt,F5 List Paragraph,Indicator Text,L,List Paragraph Char Char Char,List Paragraph1,List Paragraph11,List Paragraph12,MAIN CONTENT,No Spacing1,Numbered Para 1,Recommendation,bullet point list,列出段"/>
    <w:basedOn w:val="Normal"/>
    <w:link w:val="ListParagraphChar"/>
    <w:uiPriority w:val="34"/>
    <w:qFormat/>
    <w:rsid w:val="002B286E"/>
    <w:pPr>
      <w:spacing w:after="200" w:line="276" w:lineRule="auto"/>
      <w:ind w:left="720"/>
      <w:contextualSpacing/>
    </w:pPr>
  </w:style>
  <w:style w:type="paragraph" w:styleId="NoSpacing">
    <w:name w:val="No Spacing"/>
    <w:uiPriority w:val="1"/>
    <w:qFormat/>
    <w:rsid w:val="00FC4EFD"/>
    <w:pPr>
      <w:spacing w:after="0" w:line="240" w:lineRule="auto"/>
    </w:pPr>
  </w:style>
  <w:style w:type="character" w:customStyle="1" w:styleId="subsectionChar">
    <w:name w:val="subsection Char"/>
    <w:aliases w:val="ss Char"/>
    <w:basedOn w:val="DefaultParagraphFont"/>
    <w:link w:val="subsection"/>
    <w:locked/>
    <w:rsid w:val="00E04080"/>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E04080"/>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styleId="Emphasis">
    <w:name w:val="Emphasis"/>
    <w:basedOn w:val="DefaultParagraphFont"/>
    <w:uiPriority w:val="20"/>
    <w:qFormat/>
    <w:rsid w:val="00861E8F"/>
    <w:rPr>
      <w:i/>
      <w:iCs/>
    </w:rPr>
  </w:style>
  <w:style w:type="character" w:styleId="UnresolvedMention">
    <w:name w:val="Unresolved Mention"/>
    <w:basedOn w:val="DefaultParagraphFont"/>
    <w:uiPriority w:val="99"/>
    <w:semiHidden/>
    <w:unhideWhenUsed/>
    <w:rsid w:val="00961055"/>
    <w:rPr>
      <w:color w:val="605E5C"/>
      <w:shd w:val="clear" w:color="auto" w:fill="E1DFDD"/>
    </w:rPr>
  </w:style>
  <w:style w:type="paragraph" w:styleId="Revision">
    <w:name w:val="Revision"/>
    <w:hidden/>
    <w:uiPriority w:val="99"/>
    <w:semiHidden/>
    <w:rsid w:val="00C5415C"/>
    <w:pPr>
      <w:spacing w:after="0" w:line="240" w:lineRule="auto"/>
    </w:pPr>
  </w:style>
  <w:style w:type="paragraph" w:customStyle="1" w:styleId="ShortT">
    <w:name w:val="ShortT"/>
    <w:basedOn w:val="Normal"/>
    <w:next w:val="Normal"/>
    <w:qFormat/>
    <w:rsid w:val="005D0515"/>
    <w:pPr>
      <w:spacing w:after="0" w:line="240" w:lineRule="auto"/>
    </w:pPr>
    <w:rPr>
      <w:rFonts w:ascii="Times New Roman" w:eastAsia="Times New Roman" w:hAnsi="Times New Roman" w:cs="Times New Roman"/>
      <w:b/>
      <w:sz w:val="40"/>
      <w:szCs w:val="20"/>
      <w:lang w:eastAsia="en-AU"/>
    </w:rPr>
  </w:style>
  <w:style w:type="paragraph" w:customStyle="1" w:styleId="Definition">
    <w:name w:val="Definition"/>
    <w:aliases w:val="dd"/>
    <w:basedOn w:val="Normal"/>
    <w:rsid w:val="008735D7"/>
    <w:pPr>
      <w:spacing w:before="180" w:after="0" w:line="240" w:lineRule="auto"/>
      <w:ind w:left="1134"/>
    </w:pPr>
    <w:rPr>
      <w:rFonts w:ascii="Times New Roman" w:eastAsia="Times New Roman" w:hAnsi="Times New Roman" w:cs="Times New Roman"/>
      <w:szCs w:val="20"/>
      <w:lang w:eastAsia="en-AU"/>
    </w:rPr>
  </w:style>
  <w:style w:type="paragraph" w:styleId="FootnoteText">
    <w:name w:val="footnote text"/>
    <w:basedOn w:val="Normal"/>
    <w:link w:val="FootnoteTextChar"/>
    <w:uiPriority w:val="99"/>
    <w:semiHidden/>
    <w:unhideWhenUsed/>
    <w:rsid w:val="00691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C63"/>
    <w:rPr>
      <w:sz w:val="20"/>
      <w:szCs w:val="20"/>
    </w:rPr>
  </w:style>
  <w:style w:type="character" w:styleId="FootnoteReference">
    <w:name w:val="footnote reference"/>
    <w:basedOn w:val="DefaultParagraphFont"/>
    <w:uiPriority w:val="99"/>
    <w:semiHidden/>
    <w:unhideWhenUsed/>
    <w:rsid w:val="00691C63"/>
    <w:rPr>
      <w:vertAlign w:val="superscript"/>
    </w:rPr>
  </w:style>
  <w:style w:type="paragraph" w:styleId="NormalWeb">
    <w:name w:val="Normal (Web)"/>
    <w:basedOn w:val="Normal"/>
    <w:uiPriority w:val="99"/>
    <w:semiHidden/>
    <w:unhideWhenUsed/>
    <w:rsid w:val="004217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51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AC"/>
  </w:style>
  <w:style w:type="paragraph" w:styleId="Footer">
    <w:name w:val="footer"/>
    <w:basedOn w:val="Normal"/>
    <w:link w:val="FooterChar"/>
    <w:uiPriority w:val="99"/>
    <w:unhideWhenUsed/>
    <w:rsid w:val="00F5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5379">
      <w:bodyDiv w:val="1"/>
      <w:marLeft w:val="0"/>
      <w:marRight w:val="0"/>
      <w:marTop w:val="0"/>
      <w:marBottom w:val="0"/>
      <w:divBdr>
        <w:top w:val="none" w:sz="0" w:space="0" w:color="auto"/>
        <w:left w:val="none" w:sz="0" w:space="0" w:color="auto"/>
        <w:bottom w:val="none" w:sz="0" w:space="0" w:color="auto"/>
        <w:right w:val="none" w:sz="0" w:space="0" w:color="auto"/>
      </w:divBdr>
    </w:div>
    <w:div w:id="100998003">
      <w:bodyDiv w:val="1"/>
      <w:marLeft w:val="0"/>
      <w:marRight w:val="0"/>
      <w:marTop w:val="0"/>
      <w:marBottom w:val="0"/>
      <w:divBdr>
        <w:top w:val="none" w:sz="0" w:space="0" w:color="auto"/>
        <w:left w:val="none" w:sz="0" w:space="0" w:color="auto"/>
        <w:bottom w:val="none" w:sz="0" w:space="0" w:color="auto"/>
        <w:right w:val="none" w:sz="0" w:space="0" w:color="auto"/>
      </w:divBdr>
    </w:div>
    <w:div w:id="298998417">
      <w:bodyDiv w:val="1"/>
      <w:marLeft w:val="0"/>
      <w:marRight w:val="0"/>
      <w:marTop w:val="0"/>
      <w:marBottom w:val="0"/>
      <w:divBdr>
        <w:top w:val="none" w:sz="0" w:space="0" w:color="auto"/>
        <w:left w:val="none" w:sz="0" w:space="0" w:color="auto"/>
        <w:bottom w:val="none" w:sz="0" w:space="0" w:color="auto"/>
        <w:right w:val="none" w:sz="0" w:space="0" w:color="auto"/>
      </w:divBdr>
      <w:divsChild>
        <w:div w:id="362826898">
          <w:marLeft w:val="0"/>
          <w:marRight w:val="0"/>
          <w:marTop w:val="0"/>
          <w:marBottom w:val="0"/>
          <w:divBdr>
            <w:top w:val="none" w:sz="0" w:space="0" w:color="auto"/>
            <w:left w:val="none" w:sz="0" w:space="0" w:color="auto"/>
            <w:bottom w:val="none" w:sz="0" w:space="0" w:color="auto"/>
            <w:right w:val="none" w:sz="0" w:space="0" w:color="auto"/>
          </w:divBdr>
          <w:divsChild>
            <w:div w:id="1855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6265">
      <w:bodyDiv w:val="1"/>
      <w:marLeft w:val="0"/>
      <w:marRight w:val="0"/>
      <w:marTop w:val="0"/>
      <w:marBottom w:val="0"/>
      <w:divBdr>
        <w:top w:val="none" w:sz="0" w:space="0" w:color="auto"/>
        <w:left w:val="none" w:sz="0" w:space="0" w:color="auto"/>
        <w:bottom w:val="none" w:sz="0" w:space="0" w:color="auto"/>
        <w:right w:val="none" w:sz="0" w:space="0" w:color="auto"/>
      </w:divBdr>
    </w:div>
    <w:div w:id="401832868">
      <w:bodyDiv w:val="1"/>
      <w:marLeft w:val="0"/>
      <w:marRight w:val="0"/>
      <w:marTop w:val="0"/>
      <w:marBottom w:val="0"/>
      <w:divBdr>
        <w:top w:val="none" w:sz="0" w:space="0" w:color="auto"/>
        <w:left w:val="none" w:sz="0" w:space="0" w:color="auto"/>
        <w:bottom w:val="none" w:sz="0" w:space="0" w:color="auto"/>
        <w:right w:val="none" w:sz="0" w:space="0" w:color="auto"/>
      </w:divBdr>
    </w:div>
    <w:div w:id="502668955">
      <w:bodyDiv w:val="1"/>
      <w:marLeft w:val="0"/>
      <w:marRight w:val="0"/>
      <w:marTop w:val="0"/>
      <w:marBottom w:val="0"/>
      <w:divBdr>
        <w:top w:val="none" w:sz="0" w:space="0" w:color="auto"/>
        <w:left w:val="none" w:sz="0" w:space="0" w:color="auto"/>
        <w:bottom w:val="none" w:sz="0" w:space="0" w:color="auto"/>
        <w:right w:val="none" w:sz="0" w:space="0" w:color="auto"/>
      </w:divBdr>
    </w:div>
    <w:div w:id="710114111">
      <w:bodyDiv w:val="1"/>
      <w:marLeft w:val="0"/>
      <w:marRight w:val="0"/>
      <w:marTop w:val="0"/>
      <w:marBottom w:val="0"/>
      <w:divBdr>
        <w:top w:val="none" w:sz="0" w:space="0" w:color="auto"/>
        <w:left w:val="none" w:sz="0" w:space="0" w:color="auto"/>
        <w:bottom w:val="none" w:sz="0" w:space="0" w:color="auto"/>
        <w:right w:val="none" w:sz="0" w:space="0" w:color="auto"/>
      </w:divBdr>
    </w:div>
    <w:div w:id="986013713">
      <w:bodyDiv w:val="1"/>
      <w:marLeft w:val="0"/>
      <w:marRight w:val="0"/>
      <w:marTop w:val="0"/>
      <w:marBottom w:val="0"/>
      <w:divBdr>
        <w:top w:val="none" w:sz="0" w:space="0" w:color="auto"/>
        <w:left w:val="none" w:sz="0" w:space="0" w:color="auto"/>
        <w:bottom w:val="none" w:sz="0" w:space="0" w:color="auto"/>
        <w:right w:val="none" w:sz="0" w:space="0" w:color="auto"/>
      </w:divBdr>
    </w:div>
    <w:div w:id="1343507964">
      <w:bodyDiv w:val="1"/>
      <w:marLeft w:val="0"/>
      <w:marRight w:val="0"/>
      <w:marTop w:val="0"/>
      <w:marBottom w:val="0"/>
      <w:divBdr>
        <w:top w:val="none" w:sz="0" w:space="0" w:color="auto"/>
        <w:left w:val="none" w:sz="0" w:space="0" w:color="auto"/>
        <w:bottom w:val="none" w:sz="0" w:space="0" w:color="auto"/>
        <w:right w:val="none" w:sz="0" w:space="0" w:color="auto"/>
      </w:divBdr>
    </w:div>
    <w:div w:id="1472940898">
      <w:bodyDiv w:val="1"/>
      <w:marLeft w:val="0"/>
      <w:marRight w:val="0"/>
      <w:marTop w:val="0"/>
      <w:marBottom w:val="0"/>
      <w:divBdr>
        <w:top w:val="none" w:sz="0" w:space="0" w:color="auto"/>
        <w:left w:val="none" w:sz="0" w:space="0" w:color="auto"/>
        <w:bottom w:val="none" w:sz="0" w:space="0" w:color="auto"/>
        <w:right w:val="none" w:sz="0" w:space="0" w:color="auto"/>
      </w:divBdr>
    </w:div>
    <w:div w:id="1536887901">
      <w:bodyDiv w:val="1"/>
      <w:marLeft w:val="0"/>
      <w:marRight w:val="0"/>
      <w:marTop w:val="0"/>
      <w:marBottom w:val="0"/>
      <w:divBdr>
        <w:top w:val="none" w:sz="0" w:space="0" w:color="auto"/>
        <w:left w:val="none" w:sz="0" w:space="0" w:color="auto"/>
        <w:bottom w:val="none" w:sz="0" w:space="0" w:color="auto"/>
        <w:right w:val="none" w:sz="0" w:space="0" w:color="auto"/>
      </w:divBdr>
    </w:div>
    <w:div w:id="1681348286">
      <w:bodyDiv w:val="1"/>
      <w:marLeft w:val="0"/>
      <w:marRight w:val="0"/>
      <w:marTop w:val="0"/>
      <w:marBottom w:val="0"/>
      <w:divBdr>
        <w:top w:val="none" w:sz="0" w:space="0" w:color="auto"/>
        <w:left w:val="none" w:sz="0" w:space="0" w:color="auto"/>
        <w:bottom w:val="none" w:sz="0" w:space="0" w:color="auto"/>
        <w:right w:val="none" w:sz="0" w:space="0" w:color="auto"/>
      </w:divBdr>
    </w:div>
    <w:div w:id="1682704014">
      <w:bodyDiv w:val="1"/>
      <w:marLeft w:val="0"/>
      <w:marRight w:val="0"/>
      <w:marTop w:val="0"/>
      <w:marBottom w:val="0"/>
      <w:divBdr>
        <w:top w:val="none" w:sz="0" w:space="0" w:color="auto"/>
        <w:left w:val="none" w:sz="0" w:space="0" w:color="auto"/>
        <w:bottom w:val="none" w:sz="0" w:space="0" w:color="auto"/>
        <w:right w:val="none" w:sz="0" w:space="0" w:color="auto"/>
      </w:divBdr>
    </w:div>
    <w:div w:id="1733580536">
      <w:bodyDiv w:val="1"/>
      <w:marLeft w:val="0"/>
      <w:marRight w:val="0"/>
      <w:marTop w:val="0"/>
      <w:marBottom w:val="0"/>
      <w:divBdr>
        <w:top w:val="none" w:sz="0" w:space="0" w:color="auto"/>
        <w:left w:val="none" w:sz="0" w:space="0" w:color="auto"/>
        <w:bottom w:val="none" w:sz="0" w:space="0" w:color="auto"/>
        <w:right w:val="none" w:sz="0" w:space="0" w:color="auto"/>
      </w:divBdr>
    </w:div>
    <w:div w:id="1848864226">
      <w:bodyDiv w:val="1"/>
      <w:marLeft w:val="0"/>
      <w:marRight w:val="0"/>
      <w:marTop w:val="0"/>
      <w:marBottom w:val="0"/>
      <w:divBdr>
        <w:top w:val="none" w:sz="0" w:space="0" w:color="auto"/>
        <w:left w:val="none" w:sz="0" w:space="0" w:color="auto"/>
        <w:bottom w:val="none" w:sz="0" w:space="0" w:color="auto"/>
        <w:right w:val="none" w:sz="0" w:space="0" w:color="auto"/>
      </w:divBdr>
    </w:div>
    <w:div w:id="1919553379">
      <w:bodyDiv w:val="1"/>
      <w:marLeft w:val="0"/>
      <w:marRight w:val="0"/>
      <w:marTop w:val="0"/>
      <w:marBottom w:val="0"/>
      <w:divBdr>
        <w:top w:val="none" w:sz="0" w:space="0" w:color="auto"/>
        <w:left w:val="none" w:sz="0" w:space="0" w:color="auto"/>
        <w:bottom w:val="none" w:sz="0" w:space="0" w:color="auto"/>
        <w:right w:val="none" w:sz="0" w:space="0" w:color="auto"/>
      </w:divBdr>
    </w:div>
    <w:div w:id="1924103167">
      <w:bodyDiv w:val="1"/>
      <w:marLeft w:val="0"/>
      <w:marRight w:val="0"/>
      <w:marTop w:val="0"/>
      <w:marBottom w:val="0"/>
      <w:divBdr>
        <w:top w:val="none" w:sz="0" w:space="0" w:color="auto"/>
        <w:left w:val="none" w:sz="0" w:space="0" w:color="auto"/>
        <w:bottom w:val="none" w:sz="0" w:space="0" w:color="auto"/>
        <w:right w:val="none" w:sz="0" w:space="0" w:color="auto"/>
      </w:divBdr>
    </w:div>
    <w:div w:id="1930386379">
      <w:bodyDiv w:val="1"/>
      <w:marLeft w:val="0"/>
      <w:marRight w:val="0"/>
      <w:marTop w:val="0"/>
      <w:marBottom w:val="0"/>
      <w:divBdr>
        <w:top w:val="none" w:sz="0" w:space="0" w:color="auto"/>
        <w:left w:val="none" w:sz="0" w:space="0" w:color="auto"/>
        <w:bottom w:val="none" w:sz="0" w:space="0" w:color="auto"/>
        <w:right w:val="none" w:sz="0" w:space="0" w:color="auto"/>
      </w:divBdr>
    </w:div>
    <w:div w:id="1939485036">
      <w:bodyDiv w:val="1"/>
      <w:marLeft w:val="0"/>
      <w:marRight w:val="0"/>
      <w:marTop w:val="0"/>
      <w:marBottom w:val="0"/>
      <w:divBdr>
        <w:top w:val="none" w:sz="0" w:space="0" w:color="auto"/>
        <w:left w:val="none" w:sz="0" w:space="0" w:color="auto"/>
        <w:bottom w:val="none" w:sz="0" w:space="0" w:color="auto"/>
        <w:right w:val="none" w:sz="0" w:space="0" w:color="auto"/>
      </w:divBdr>
    </w:div>
    <w:div w:id="20268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CD0E0F3-DBA0-4137-8C64-89F5EB5CD5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FD4CA68D149A49A777F2C9EFDF5ABB" ma:contentTypeVersion="" ma:contentTypeDescription="PDMS Document Site Content Type" ma:contentTypeScope="" ma:versionID="41a3805506a69ad973cf125621a0695d">
  <xsd:schema xmlns:xsd="http://www.w3.org/2001/XMLSchema" xmlns:xs="http://www.w3.org/2001/XMLSchema" xmlns:p="http://schemas.microsoft.com/office/2006/metadata/properties" xmlns:ns2="4CD0E0F3-DBA0-4137-8C64-89F5EB5CD504" targetNamespace="http://schemas.microsoft.com/office/2006/metadata/properties" ma:root="true" ma:fieldsID="1134d661790390070872997a9b9b1f99" ns2:_="">
    <xsd:import namespace="4CD0E0F3-DBA0-4137-8C64-89F5EB5CD50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E0F3-DBA0-4137-8C64-89F5EB5CD50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8459-5C59-459C-A143-4B50BAA2C8D6}">
  <ds:schemaRefs>
    <ds:schemaRef ds:uri="http://schemas.microsoft.com/sharepoint/v3/contenttype/forms"/>
  </ds:schemaRefs>
</ds:datastoreItem>
</file>

<file path=customXml/itemProps2.xml><?xml version="1.0" encoding="utf-8"?>
<ds:datastoreItem xmlns:ds="http://schemas.openxmlformats.org/officeDocument/2006/customXml" ds:itemID="{9A8AAB90-17F5-4F8A-A452-F0EBCD7782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D0E0F3-DBA0-4137-8C64-89F5EB5CD50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495212-B85E-47CE-AA3F-D61D4CBCC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0E0F3-DBA0-4137-8C64-89F5EB5CD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D2777-7FDD-4C20-B367-3795B5E6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4182</Words>
  <Characters>23838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Jacqui</dc:creator>
  <cp:keywords/>
  <dc:description/>
  <cp:lastModifiedBy>O'DEA, Michael</cp:lastModifiedBy>
  <cp:revision>2</cp:revision>
  <dcterms:created xsi:type="dcterms:W3CDTF">2024-12-09T00:21:00Z</dcterms:created>
  <dcterms:modified xsi:type="dcterms:W3CDTF">2024-12-09T00:21:00Z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0x010100266966F133664895A6EE3632470D45F50008FD4CA68D149A49A777F2C9EFDF5ABB</vt:lpwstr>
  </property>
  <property fmtid="{D5CDD505-2E9C-101B-9397-08002B2CF9AE}" pid="3" name="_dlc_DocIdItemGuid">
    <vt:lpwstr>e4f24d25-cee8-4325-a395-6686cd42e869</vt:lpwstr>
  </property>
</Properties>
</file>