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B76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45FB16" wp14:editId="5767457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977F" w14:textId="77777777" w:rsidR="00715914" w:rsidRPr="00E500D4" w:rsidRDefault="00715914" w:rsidP="00715914">
      <w:pPr>
        <w:rPr>
          <w:sz w:val="19"/>
        </w:rPr>
      </w:pPr>
    </w:p>
    <w:p w14:paraId="02E1B0C4" w14:textId="5B34D289" w:rsidR="00554826" w:rsidRPr="00E500D4" w:rsidRDefault="00337BD6" w:rsidP="00554826">
      <w:pPr>
        <w:pStyle w:val="ShortT"/>
      </w:pPr>
      <w:r w:rsidRPr="00337BD6">
        <w:t>Universities Accord</w:t>
      </w:r>
      <w:r w:rsidR="00554826" w:rsidRPr="00337BD6">
        <w:t xml:space="preserve"> (</w:t>
      </w:r>
      <w:r w:rsidRPr="00337BD6">
        <w:t>Student Support and Other Measures</w:t>
      </w:r>
      <w:r w:rsidR="00554826" w:rsidRPr="00337BD6">
        <w:t xml:space="preserve">) </w:t>
      </w:r>
      <w:r w:rsidRPr="00337BD6">
        <w:t>Transitional Rules</w:t>
      </w:r>
      <w:r w:rsidR="00554826" w:rsidRPr="00337BD6">
        <w:t xml:space="preserve"> </w:t>
      </w:r>
      <w:r w:rsidRPr="00337BD6">
        <w:t>2024</w:t>
      </w:r>
    </w:p>
    <w:p w14:paraId="27470993" w14:textId="083C1678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337BD6">
        <w:rPr>
          <w:szCs w:val="22"/>
        </w:rPr>
        <w:t>Jason Clare</w:t>
      </w:r>
      <w:r w:rsidRPr="00DA182D">
        <w:rPr>
          <w:szCs w:val="22"/>
        </w:rPr>
        <w:t xml:space="preserve">, </w:t>
      </w:r>
      <w:r w:rsidR="00337BD6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337BD6">
        <w:rPr>
          <w:szCs w:val="22"/>
        </w:rPr>
        <w:t>rules</w:t>
      </w:r>
      <w:r w:rsidRPr="00DA182D">
        <w:rPr>
          <w:szCs w:val="22"/>
        </w:rPr>
        <w:t>.</w:t>
      </w:r>
    </w:p>
    <w:p w14:paraId="6B4712FC" w14:textId="67AAF26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936A26">
        <w:rPr>
          <w:szCs w:val="22"/>
        </w:rPr>
        <w:t>d</w:t>
      </w:r>
      <w:r w:rsidR="00936A26">
        <w:rPr>
          <w:szCs w:val="22"/>
        </w:rPr>
        <w:tab/>
        <w:t>9 December 202</w:t>
      </w:r>
      <w:r w:rsidR="000B23EB">
        <w:rPr>
          <w:szCs w:val="22"/>
        </w:rPr>
        <w:t>4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0B04270" w14:textId="22A3427B" w:rsidR="00554826" w:rsidRDefault="00337BD6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Jason Clare</w:t>
      </w:r>
      <w:r w:rsidR="00554826" w:rsidRPr="00A75FE9">
        <w:rPr>
          <w:szCs w:val="22"/>
        </w:rPr>
        <w:t xml:space="preserve"> </w:t>
      </w:r>
    </w:p>
    <w:p w14:paraId="24F183F4" w14:textId="762C0B6F" w:rsidR="00554826" w:rsidRPr="008E0027" w:rsidRDefault="00337BD6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605FE322" w14:textId="77777777" w:rsidR="00554826" w:rsidRDefault="00554826" w:rsidP="00554826"/>
    <w:p w14:paraId="599971BB" w14:textId="77777777" w:rsidR="00554826" w:rsidRPr="00ED79B6" w:rsidRDefault="00554826" w:rsidP="00554826"/>
    <w:p w14:paraId="6EACFFBA" w14:textId="77777777" w:rsidR="00F6696E" w:rsidRDefault="00F6696E" w:rsidP="00F6696E"/>
    <w:p w14:paraId="7DDB78E1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7B948BF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F3639C8" w14:textId="4E8DE469" w:rsidR="00B97EC0" w:rsidRDefault="00B418C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97EC0">
        <w:rPr>
          <w:noProof/>
        </w:rPr>
        <w:t>1  Name</w:t>
      </w:r>
      <w:r w:rsidR="00B97EC0">
        <w:rPr>
          <w:noProof/>
        </w:rPr>
        <w:tab/>
      </w:r>
      <w:r w:rsidR="00B97EC0">
        <w:rPr>
          <w:noProof/>
        </w:rPr>
        <w:fldChar w:fldCharType="begin"/>
      </w:r>
      <w:r w:rsidR="00B97EC0">
        <w:rPr>
          <w:noProof/>
        </w:rPr>
        <w:instrText xml:space="preserve"> PAGEREF _Toc183596038 \h </w:instrText>
      </w:r>
      <w:r w:rsidR="00B97EC0">
        <w:rPr>
          <w:noProof/>
        </w:rPr>
      </w:r>
      <w:r w:rsidR="00B97EC0">
        <w:rPr>
          <w:noProof/>
        </w:rPr>
        <w:fldChar w:fldCharType="separate"/>
      </w:r>
      <w:r w:rsidR="00B97EC0">
        <w:rPr>
          <w:noProof/>
        </w:rPr>
        <w:t>1</w:t>
      </w:r>
      <w:r w:rsidR="00B97EC0">
        <w:rPr>
          <w:noProof/>
        </w:rPr>
        <w:fldChar w:fldCharType="end"/>
      </w:r>
    </w:p>
    <w:p w14:paraId="7E535FEE" w14:textId="3021649E" w:rsidR="00B97EC0" w:rsidRDefault="00B97EC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_Toc183596039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942917" w14:textId="6E6BF419" w:rsidR="00B97EC0" w:rsidRDefault="00B97EC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_Toc183596040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F94C78" w14:textId="1F645D6D" w:rsidR="00B97EC0" w:rsidRDefault="00B97EC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_Toc183596041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3F76DC2" w14:textId="3E923CA3" w:rsidR="00B97EC0" w:rsidRDefault="00B97EC0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  Transitional rules for the recalculation of debts or amounts owing where a person received a waiver or partial waiver of that debt or amount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_Toc183596042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5524D37" w14:textId="263AA756" w:rsidR="00F6696E" w:rsidRDefault="00B418CB" w:rsidP="00F6696E">
      <w:pPr>
        <w:outlineLvl w:val="0"/>
      </w:pPr>
      <w:r>
        <w:fldChar w:fldCharType="end"/>
      </w:r>
    </w:p>
    <w:p w14:paraId="1168FDCA" w14:textId="77777777" w:rsidR="00F6696E" w:rsidRPr="00A802BC" w:rsidRDefault="00F6696E" w:rsidP="00F6696E">
      <w:pPr>
        <w:outlineLvl w:val="0"/>
        <w:rPr>
          <w:sz w:val="20"/>
        </w:rPr>
      </w:pPr>
    </w:p>
    <w:p w14:paraId="03DCFAD0" w14:textId="77777777" w:rsidR="00F6696E" w:rsidRDefault="00F6696E" w:rsidP="00F6696E">
      <w:pPr>
        <w:sectPr w:rsidR="00F6696E" w:rsidSect="00274B1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F8EBB87" w14:textId="77777777" w:rsidR="00554826" w:rsidRPr="00554826" w:rsidRDefault="00554826" w:rsidP="00554826">
      <w:pPr>
        <w:pStyle w:val="ActHead5"/>
      </w:pPr>
      <w:bookmarkStart w:id="0" w:name="_Toc183596038"/>
      <w:r w:rsidRPr="00554826">
        <w:lastRenderedPageBreak/>
        <w:t>1  Name</w:t>
      </w:r>
      <w:bookmarkEnd w:id="0"/>
    </w:p>
    <w:p w14:paraId="31BD0C33" w14:textId="13D136C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337BD6">
        <w:rPr>
          <w:i/>
        </w:rPr>
        <w:t>Universities Accord (Student Support and Other Measures) Transitional Rules 2024</w:t>
      </w:r>
      <w:r w:rsidRPr="009C2562">
        <w:t>.</w:t>
      </w:r>
    </w:p>
    <w:p w14:paraId="3C89D86B" w14:textId="77777777" w:rsidR="00554826" w:rsidRPr="00554826" w:rsidRDefault="00554826" w:rsidP="00554826">
      <w:pPr>
        <w:pStyle w:val="ActHead5"/>
      </w:pPr>
      <w:bookmarkStart w:id="2" w:name="_Toc183596039"/>
      <w:r w:rsidRPr="00554826">
        <w:t>2  Commencement</w:t>
      </w:r>
      <w:bookmarkEnd w:id="2"/>
    </w:p>
    <w:p w14:paraId="7715C572" w14:textId="77777777" w:rsidR="00E66AE5" w:rsidRDefault="00E66AE5" w:rsidP="00E66AE5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944AC50" w14:textId="77777777" w:rsidR="00E66AE5" w:rsidRDefault="00E66AE5" w:rsidP="00E66AE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66AE5" w14:paraId="7E8A547C" w14:textId="77777777" w:rsidTr="00E66AE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A934350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 information</w:t>
            </w:r>
          </w:p>
        </w:tc>
      </w:tr>
      <w:tr w:rsidR="00E66AE5" w14:paraId="2A6C069E" w14:textId="77777777" w:rsidTr="00E66AE5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BD82624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E3BE7C1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36A530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E66AE5" w14:paraId="1F5E3EDD" w14:textId="77777777" w:rsidTr="00E66AE5">
        <w:trPr>
          <w:tblHeader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46AFB2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CF0066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4F46DB" w14:textId="77777777" w:rsidR="00E66AE5" w:rsidRDefault="00E66AE5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Date/Details</w:t>
            </w:r>
          </w:p>
        </w:tc>
      </w:tr>
      <w:tr w:rsidR="00E66AE5" w14:paraId="7D95C969" w14:textId="77777777" w:rsidTr="00E66AE5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9E6F23" w14:textId="77777777" w:rsidR="00E66AE5" w:rsidRDefault="00E66AE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1A7D2A" w14:textId="5FB51B27" w:rsidR="00E66AE5" w:rsidRDefault="00E66AE5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Immediately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07A05" w14:textId="77777777" w:rsidR="00E66AE5" w:rsidRDefault="00E66AE5">
            <w:pPr>
              <w:pStyle w:val="Tabletext"/>
              <w:rPr>
                <w:lang w:eastAsia="en-US"/>
              </w:rPr>
            </w:pPr>
          </w:p>
        </w:tc>
      </w:tr>
    </w:tbl>
    <w:p w14:paraId="765CB8CD" w14:textId="77777777" w:rsidR="00E66AE5" w:rsidRDefault="00E66AE5" w:rsidP="00E66AE5">
      <w:pPr>
        <w:pStyle w:val="notetext"/>
      </w:pPr>
      <w:r>
        <w:rPr>
          <w:snapToGrid w:val="0"/>
          <w:lang w:eastAsia="en-US"/>
        </w:rPr>
        <w:t xml:space="preserve">Note: </w:t>
      </w:r>
      <w:r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E2A93D2" w14:textId="77777777" w:rsidR="00E66AE5" w:rsidRDefault="00E66AE5" w:rsidP="00E66AE5">
      <w:pPr>
        <w:pStyle w:val="subsection"/>
      </w:pPr>
      <w:r>
        <w:tab/>
        <w:t>(2)</w:t>
      </w:r>
      <w: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343A586" w14:textId="77777777" w:rsidR="00554826" w:rsidRPr="00554826" w:rsidRDefault="00554826" w:rsidP="00554826">
      <w:pPr>
        <w:pStyle w:val="ActHead5"/>
      </w:pPr>
      <w:bookmarkStart w:id="3" w:name="_Toc183596040"/>
      <w:r w:rsidRPr="00554826">
        <w:t>3  Authority</w:t>
      </w:r>
      <w:bookmarkEnd w:id="3"/>
    </w:p>
    <w:p w14:paraId="4531CA2A" w14:textId="6406A286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37BD6">
        <w:t xml:space="preserve">subitem 1(1) of Schedule 6 to the </w:t>
      </w:r>
      <w:r w:rsidR="00337BD6">
        <w:rPr>
          <w:i/>
          <w:iCs/>
        </w:rPr>
        <w:t>Universities Accord (Student Support and Other Measures) Act 2024</w:t>
      </w:r>
      <w:r w:rsidRPr="009C2562">
        <w:t>.</w:t>
      </w:r>
    </w:p>
    <w:p w14:paraId="222587D9" w14:textId="77777777" w:rsidR="00554826" w:rsidRPr="00554826" w:rsidRDefault="00554826" w:rsidP="00554826">
      <w:pPr>
        <w:pStyle w:val="ActHead5"/>
      </w:pPr>
      <w:bookmarkStart w:id="4" w:name="_Toc183596041"/>
      <w:r w:rsidRPr="00554826">
        <w:t>4  Definitions</w:t>
      </w:r>
      <w:bookmarkEnd w:id="4"/>
    </w:p>
    <w:p w14:paraId="243B12F3" w14:textId="637B48BA" w:rsidR="00554826" w:rsidRPr="009C2562" w:rsidRDefault="00554826" w:rsidP="00554826">
      <w:pPr>
        <w:pStyle w:val="subsection"/>
      </w:pPr>
      <w:r w:rsidRPr="009C2562">
        <w:tab/>
      </w:r>
      <w:r w:rsidR="00B84E0F">
        <w:t>(1)</w:t>
      </w:r>
      <w:r w:rsidRPr="009C2562">
        <w:tab/>
        <w:t>In this instrument:</w:t>
      </w:r>
    </w:p>
    <w:p w14:paraId="0952C009" w14:textId="7D7BD56E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337BD6">
        <w:rPr>
          <w:i/>
          <w:iCs/>
        </w:rPr>
        <w:t>Universities Accord (Student Support and Other Measures) Act 2024</w:t>
      </w:r>
      <w:r>
        <w:t>.</w:t>
      </w:r>
    </w:p>
    <w:p w14:paraId="289752B6" w14:textId="164B8785" w:rsidR="00AA33B8" w:rsidRDefault="00AA33B8" w:rsidP="00AA33B8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new law </w:t>
      </w:r>
      <w:r>
        <w:rPr>
          <w:bCs/>
          <w:iCs/>
        </w:rPr>
        <w:t xml:space="preserve">means a relevant Act </w:t>
      </w:r>
      <w:r w:rsidRPr="008A5A01">
        <w:rPr>
          <w:bCs/>
          <w:iCs/>
        </w:rPr>
        <w:t xml:space="preserve">as in force </w:t>
      </w:r>
      <w:r>
        <w:rPr>
          <w:bCs/>
          <w:iCs/>
        </w:rPr>
        <w:t>upon commencement of the Act.</w:t>
      </w:r>
    </w:p>
    <w:p w14:paraId="2311765E" w14:textId="485BD3BC" w:rsidR="00AA33B8" w:rsidRPr="008A5A01" w:rsidRDefault="00AA33B8" w:rsidP="00AA33B8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old law </w:t>
      </w:r>
      <w:r>
        <w:rPr>
          <w:bCs/>
          <w:iCs/>
        </w:rPr>
        <w:t xml:space="preserve">means a relevant Act </w:t>
      </w:r>
      <w:r w:rsidRPr="008A5A01">
        <w:rPr>
          <w:bCs/>
          <w:iCs/>
        </w:rPr>
        <w:t>as in force i</w:t>
      </w:r>
      <w:r>
        <w:rPr>
          <w:bCs/>
          <w:iCs/>
        </w:rPr>
        <w:t>mmediately before commencement of the Act.</w:t>
      </w:r>
    </w:p>
    <w:p w14:paraId="462A2FF9" w14:textId="4B261DA7" w:rsidR="00F521C7" w:rsidRDefault="000C464F" w:rsidP="004B0521">
      <w:pPr>
        <w:pStyle w:val="Definition"/>
      </w:pPr>
      <w:r>
        <w:rPr>
          <w:b/>
          <w:i/>
        </w:rPr>
        <w:t>RA</w:t>
      </w:r>
      <w:r w:rsidR="00F521C7" w:rsidRPr="000833F5">
        <w:rPr>
          <w:b/>
          <w:i/>
          <w:vertAlign w:val="subscript"/>
        </w:rPr>
        <w:t>new law</w:t>
      </w:r>
      <w:r w:rsidR="00F521C7">
        <w:rPr>
          <w:b/>
          <w:i/>
        </w:rPr>
        <w:t xml:space="preserve"> </w:t>
      </w:r>
      <w:r w:rsidR="00F521C7">
        <w:t xml:space="preserve">is what </w:t>
      </w:r>
      <w:r w:rsidR="004B0521">
        <w:t xml:space="preserve">a relevant amount </w:t>
      </w:r>
      <w:r w:rsidR="00F521C7">
        <w:t xml:space="preserve">would have been for the financial year if it had been calculated under the </w:t>
      </w:r>
      <w:r w:rsidR="000F5982">
        <w:t xml:space="preserve">relevant </w:t>
      </w:r>
      <w:r w:rsidR="00F521C7">
        <w:t>new law without taking account of this instrument and on the basis that there had not been a relevant waiver.</w:t>
      </w:r>
    </w:p>
    <w:p w14:paraId="5B7F4C6E" w14:textId="26372F63" w:rsidR="00F521C7" w:rsidRDefault="000C464F" w:rsidP="00F521C7">
      <w:pPr>
        <w:pStyle w:val="Definition"/>
      </w:pPr>
      <w:r>
        <w:rPr>
          <w:b/>
          <w:i/>
        </w:rPr>
        <w:t>RA</w:t>
      </w:r>
      <w:r w:rsidR="00F521C7">
        <w:rPr>
          <w:b/>
          <w:i/>
          <w:vertAlign w:val="subscript"/>
        </w:rPr>
        <w:t xml:space="preserve">old </w:t>
      </w:r>
      <w:r w:rsidR="00F521C7" w:rsidRPr="000833F5">
        <w:rPr>
          <w:b/>
          <w:i/>
          <w:vertAlign w:val="subscript"/>
        </w:rPr>
        <w:t>law</w:t>
      </w:r>
      <w:r w:rsidR="00F521C7">
        <w:rPr>
          <w:b/>
          <w:i/>
        </w:rPr>
        <w:t xml:space="preserve"> </w:t>
      </w:r>
      <w:r w:rsidR="00F521C7">
        <w:t xml:space="preserve">is what </w:t>
      </w:r>
      <w:r w:rsidR="004B0521">
        <w:t xml:space="preserve">a relevant amount </w:t>
      </w:r>
      <w:r w:rsidR="00F521C7">
        <w:t xml:space="preserve">would have been for the financial year if it had been calculated under the </w:t>
      </w:r>
      <w:r w:rsidR="000F5982">
        <w:t xml:space="preserve">relevant </w:t>
      </w:r>
      <w:r w:rsidR="00F521C7">
        <w:t>old law without taking account of this instrument and on the basis that there had not been a relevant waiver.</w:t>
      </w:r>
    </w:p>
    <w:p w14:paraId="3F63EBA0" w14:textId="5CC2EF86" w:rsidR="004B0521" w:rsidRDefault="004B0521" w:rsidP="00F9536D">
      <w:pPr>
        <w:pStyle w:val="Definition"/>
        <w:rPr>
          <w:bCs/>
          <w:iCs/>
        </w:rPr>
      </w:pPr>
      <w:r>
        <w:rPr>
          <w:b/>
          <w:bCs/>
          <w:i/>
          <w:iCs/>
        </w:rPr>
        <w:t>relevant Act</w:t>
      </w:r>
      <w:r w:rsidR="006000FB">
        <w:rPr>
          <w:bCs/>
          <w:iCs/>
        </w:rPr>
        <w:t xml:space="preserve"> has the meaning given by subsection (2).</w:t>
      </w:r>
    </w:p>
    <w:p w14:paraId="66E117DE" w14:textId="0BC5EE9D" w:rsidR="004B0521" w:rsidRPr="004B0521" w:rsidRDefault="004B0521" w:rsidP="00F9536D">
      <w:pPr>
        <w:pStyle w:val="Definition"/>
        <w:rPr>
          <w:bCs/>
          <w:iCs/>
        </w:rPr>
      </w:pPr>
      <w:r>
        <w:rPr>
          <w:b/>
          <w:bCs/>
          <w:i/>
          <w:iCs/>
        </w:rPr>
        <w:lastRenderedPageBreak/>
        <w:t>relevant amount</w:t>
      </w:r>
      <w:r>
        <w:rPr>
          <w:bCs/>
          <w:iCs/>
        </w:rPr>
        <w:t xml:space="preserve"> </w:t>
      </w:r>
      <w:r w:rsidR="009E3CAB">
        <w:rPr>
          <w:bCs/>
          <w:iCs/>
        </w:rPr>
        <w:t>has the meaning given by subsection (2).</w:t>
      </w:r>
    </w:p>
    <w:p w14:paraId="2F15AC01" w14:textId="575CB365" w:rsidR="00A905FD" w:rsidRDefault="00A905FD" w:rsidP="005F351C">
      <w:pPr>
        <w:pStyle w:val="Definition"/>
        <w:rPr>
          <w:bCs/>
          <w:iCs/>
        </w:rPr>
      </w:pPr>
      <w:r>
        <w:rPr>
          <w:b/>
          <w:bCs/>
          <w:i/>
          <w:iCs/>
        </w:rPr>
        <w:t>relevant waiver</w:t>
      </w:r>
      <w:r w:rsidR="00F974EB">
        <w:rPr>
          <w:b/>
          <w:bCs/>
          <w:i/>
          <w:iCs/>
        </w:rPr>
        <w:t xml:space="preserve"> </w:t>
      </w:r>
      <w:r w:rsidR="00F974EB">
        <w:rPr>
          <w:bCs/>
          <w:iCs/>
        </w:rPr>
        <w:t>(</w:t>
      </w:r>
      <w:r w:rsidR="00F974EB">
        <w:rPr>
          <w:b/>
          <w:bCs/>
          <w:i/>
          <w:iCs/>
        </w:rPr>
        <w:t>RW</w:t>
      </w:r>
      <w:r w:rsidR="00F974EB">
        <w:rPr>
          <w:bCs/>
          <w:iCs/>
        </w:rPr>
        <w:t>)</w:t>
      </w:r>
      <w:r>
        <w:rPr>
          <w:bCs/>
          <w:iCs/>
        </w:rPr>
        <w:t xml:space="preserve">, in relation to a </w:t>
      </w:r>
      <w:r w:rsidR="008B0351">
        <w:rPr>
          <w:bCs/>
          <w:iCs/>
        </w:rPr>
        <w:t xml:space="preserve">relevant amount and a </w:t>
      </w:r>
      <w:r>
        <w:rPr>
          <w:bCs/>
          <w:iCs/>
        </w:rPr>
        <w:t xml:space="preserve">financial year, means an amount </w:t>
      </w:r>
      <w:r w:rsidR="000F0072">
        <w:rPr>
          <w:bCs/>
          <w:iCs/>
        </w:rPr>
        <w:t xml:space="preserve">attributable to the indexation of </w:t>
      </w:r>
      <w:r>
        <w:rPr>
          <w:bCs/>
          <w:iCs/>
        </w:rPr>
        <w:t xml:space="preserve">a </w:t>
      </w:r>
      <w:r w:rsidRPr="004A1AFE">
        <w:t>person’s</w:t>
      </w:r>
      <w:r>
        <w:rPr>
          <w:bCs/>
          <w:iCs/>
        </w:rPr>
        <w:t xml:space="preserve"> </w:t>
      </w:r>
      <w:r w:rsidR="008B0351">
        <w:rPr>
          <w:bCs/>
          <w:iCs/>
        </w:rPr>
        <w:t xml:space="preserve">relevant amount </w:t>
      </w:r>
      <w:r>
        <w:rPr>
          <w:bCs/>
          <w:iCs/>
        </w:rPr>
        <w:t xml:space="preserve">that was waived under section 63 of the </w:t>
      </w:r>
      <w:r>
        <w:rPr>
          <w:bCs/>
          <w:i/>
          <w:iCs/>
        </w:rPr>
        <w:t>Public Governance, Performance and Accountability Act 2013</w:t>
      </w:r>
      <w:r>
        <w:rPr>
          <w:bCs/>
          <w:iCs/>
        </w:rPr>
        <w:t xml:space="preserve"> in relation to that financial year.</w:t>
      </w:r>
    </w:p>
    <w:p w14:paraId="6BA1BE5B" w14:textId="0C3472E2" w:rsidR="00F521C7" w:rsidRPr="000A3ACB" w:rsidRDefault="00F521C7" w:rsidP="00F32FF3">
      <w:pPr>
        <w:pStyle w:val="notetext"/>
      </w:pPr>
      <w:r>
        <w:t>Note:</w:t>
      </w:r>
      <w:r>
        <w:tab/>
      </w:r>
      <w:r w:rsidR="000A3ACB">
        <w:rPr>
          <w:i/>
        </w:rPr>
        <w:t xml:space="preserve">RW </w:t>
      </w:r>
      <w:r w:rsidR="000A3ACB">
        <w:t>is expressed as a positive number.</w:t>
      </w:r>
    </w:p>
    <w:p w14:paraId="6F27E87C" w14:textId="2525CCA9" w:rsidR="00E66AE5" w:rsidRDefault="00B84E0F" w:rsidP="00F521C7">
      <w:pPr>
        <w:pStyle w:val="subsection"/>
        <w:rPr>
          <w:bCs/>
          <w:iCs/>
        </w:rPr>
      </w:pPr>
      <w:r>
        <w:rPr>
          <w:b/>
          <w:i/>
        </w:rPr>
        <w:tab/>
      </w:r>
      <w:r>
        <w:rPr>
          <w:bCs/>
          <w:iCs/>
        </w:rPr>
        <w:t>(2)</w:t>
      </w:r>
      <w:r>
        <w:rPr>
          <w:bCs/>
          <w:iCs/>
        </w:rPr>
        <w:tab/>
      </w:r>
      <w:r w:rsidR="00E66AE5">
        <w:rPr>
          <w:bCs/>
          <w:iCs/>
        </w:rPr>
        <w:t>In this instrument:</w:t>
      </w:r>
    </w:p>
    <w:p w14:paraId="36292AAA" w14:textId="400659B6" w:rsidR="009E3CAB" w:rsidRDefault="009E3CAB" w:rsidP="009E3CAB">
      <w:pPr>
        <w:pStyle w:val="paragraph"/>
        <w:rPr>
          <w:bCs/>
          <w:iCs/>
        </w:rPr>
      </w:pPr>
      <w:r>
        <w:rPr>
          <w:bCs/>
          <w:iCs/>
        </w:rPr>
        <w:tab/>
        <w:t>(a)</w:t>
      </w:r>
      <w:r>
        <w:rPr>
          <w:bCs/>
          <w:iCs/>
        </w:rPr>
        <w:tab/>
        <w:t xml:space="preserve">each </w:t>
      </w:r>
      <w:r>
        <w:rPr>
          <w:b/>
          <w:bCs/>
          <w:i/>
          <w:iCs/>
        </w:rPr>
        <w:t xml:space="preserve">relevant Act </w:t>
      </w:r>
      <w:r>
        <w:rPr>
          <w:bCs/>
          <w:iCs/>
        </w:rPr>
        <w:t>is specified in column 1 of the following table; and</w:t>
      </w:r>
    </w:p>
    <w:p w14:paraId="5A5FDBBB" w14:textId="38AABC3C" w:rsidR="009E3CAB" w:rsidRDefault="009E3CAB" w:rsidP="009E3CAB">
      <w:pPr>
        <w:pStyle w:val="paragraph"/>
        <w:rPr>
          <w:bCs/>
          <w:iCs/>
        </w:rPr>
      </w:pPr>
      <w:r>
        <w:rPr>
          <w:bCs/>
          <w:iCs/>
        </w:rPr>
        <w:tab/>
        <w:t>(b)</w:t>
      </w:r>
      <w:r>
        <w:rPr>
          <w:bCs/>
          <w:iCs/>
        </w:rPr>
        <w:tab/>
        <w:t xml:space="preserve">for each relevant Act, </w:t>
      </w:r>
      <w:r w:rsidR="003E0E26">
        <w:rPr>
          <w:bCs/>
          <w:iCs/>
        </w:rPr>
        <w:t>a</w:t>
      </w:r>
      <w:r>
        <w:rPr>
          <w:bCs/>
          <w:iCs/>
        </w:rPr>
        <w:t xml:space="preserve"> </w:t>
      </w:r>
      <w:r>
        <w:rPr>
          <w:b/>
          <w:bCs/>
          <w:i/>
          <w:iCs/>
        </w:rPr>
        <w:t>relevant amount</w:t>
      </w:r>
      <w:r>
        <w:rPr>
          <w:bCs/>
          <w:iCs/>
        </w:rPr>
        <w:t xml:space="preserve"> </w:t>
      </w:r>
      <w:r w:rsidR="003E0E26">
        <w:rPr>
          <w:bCs/>
          <w:iCs/>
        </w:rPr>
        <w:t xml:space="preserve">is an amount </w:t>
      </w:r>
      <w:r>
        <w:rPr>
          <w:bCs/>
          <w:iCs/>
        </w:rPr>
        <w:t>specified in the corresponding row of column 2.</w:t>
      </w:r>
    </w:p>
    <w:p w14:paraId="422AF520" w14:textId="77777777" w:rsidR="009E3CAB" w:rsidRDefault="009E3CAB" w:rsidP="00F9536D">
      <w:pPr>
        <w:pStyle w:val="paragraph"/>
        <w:rPr>
          <w:bCs/>
          <w:iCs/>
        </w:rPr>
      </w:pPr>
    </w:p>
    <w:tbl>
      <w:tblPr>
        <w:tblW w:w="8398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44"/>
        <w:gridCol w:w="3685"/>
        <w:gridCol w:w="3969"/>
      </w:tblGrid>
      <w:tr w:rsidR="006F437F" w14:paraId="6D3BB280" w14:textId="77777777" w:rsidTr="00F9536D">
        <w:trPr>
          <w:tblHeader/>
        </w:trPr>
        <w:tc>
          <w:tcPr>
            <w:tcW w:w="839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D98E2A4" w14:textId="4C19EBE2" w:rsidR="006F437F" w:rsidRDefault="009E3CAB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Relevant Acts and relevant amounts</w:t>
            </w:r>
          </w:p>
        </w:tc>
      </w:tr>
      <w:tr w:rsidR="003E0E26" w14:paraId="446CB186" w14:textId="77777777" w:rsidTr="003E0E26">
        <w:trPr>
          <w:tblHeader/>
        </w:trPr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63BBB55" w14:textId="1A8C5135" w:rsidR="006F437F" w:rsidRDefault="006F437F">
            <w:pPr>
              <w:pStyle w:val="TableHeading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8E75D5" w14:textId="6603BC47" w:rsidR="006F437F" w:rsidRDefault="006F437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Column </w:t>
            </w:r>
            <w:r w:rsidR="006000FB"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4B50EE" w14:textId="2A8991FB" w:rsidR="006F437F" w:rsidRDefault="006F437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Column </w:t>
            </w:r>
            <w:r w:rsidR="006000FB">
              <w:rPr>
                <w:lang w:eastAsia="en-US"/>
              </w:rPr>
              <w:t>2</w:t>
            </w:r>
          </w:p>
        </w:tc>
      </w:tr>
      <w:tr w:rsidR="003E0E26" w14:paraId="2DCC7679" w14:textId="77777777" w:rsidTr="003E0E26">
        <w:trPr>
          <w:tblHeader/>
        </w:trPr>
        <w:tc>
          <w:tcPr>
            <w:tcW w:w="74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E32D36" w14:textId="72445058" w:rsidR="006F437F" w:rsidRDefault="006000FB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Item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4A27B0" w14:textId="15C2B190" w:rsidR="006F437F" w:rsidRDefault="006F437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relevant Act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DE1782E" w14:textId="6A504EBF" w:rsidR="006F437F" w:rsidRDefault="006F437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relevant amount</w:t>
            </w:r>
          </w:p>
        </w:tc>
      </w:tr>
      <w:tr w:rsidR="003E0E26" w14:paraId="12C01628" w14:textId="77777777" w:rsidTr="00F9536D"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E9B9CE" w14:textId="3F50EB3B" w:rsidR="006F437F" w:rsidRDefault="006F43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7C89D000" w14:textId="1B476B4E" w:rsidR="006F437F" w:rsidRDefault="006000FB">
            <w:pPr>
              <w:pStyle w:val="Tabletext"/>
              <w:rPr>
                <w:lang w:eastAsia="en-US"/>
              </w:rPr>
            </w:pPr>
            <w:r w:rsidRPr="00047091">
              <w:rPr>
                <w:bCs/>
                <w:i/>
                <w:iCs/>
              </w:rPr>
              <w:t>Higher Education Support Act 2003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4DFD8ABB" w14:textId="29E71D0C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Cs/>
              </w:rPr>
              <w:t xml:space="preserve">a </w:t>
            </w:r>
            <w:r w:rsidRPr="004A1AFE">
              <w:t>person’s</w:t>
            </w:r>
            <w:r>
              <w:rPr>
                <w:bCs/>
                <w:iCs/>
              </w:rPr>
              <w:t xml:space="preserve"> accumulated HELP debt</w:t>
            </w:r>
          </w:p>
        </w:tc>
      </w:tr>
      <w:tr w:rsidR="003E0E26" w14:paraId="66741F95" w14:textId="77777777" w:rsidTr="00F9536D"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E1EB76C" w14:textId="1841A9F0" w:rsidR="006F437F" w:rsidRDefault="006F43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2.  </w:t>
            </w: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6FA199" w14:textId="5B6ED6D1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/>
                <w:iCs/>
              </w:rPr>
              <w:t>Australian Apprenticeship Support Loans Act 2014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972BB1" w14:textId="772B5BB6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Cs/>
              </w:rPr>
              <w:t>a person’s accumulated AASL debt</w:t>
            </w:r>
          </w:p>
        </w:tc>
      </w:tr>
      <w:tr w:rsidR="003E0E26" w14:paraId="7D3B5DEF" w14:textId="77777777" w:rsidTr="00F9536D"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FEC81C1" w14:textId="39D69AE6" w:rsidR="006F437F" w:rsidRDefault="006F43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3.  </w:t>
            </w: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3A8ECB" w14:textId="28E9C99C" w:rsidR="006F437F" w:rsidRDefault="006000FB">
            <w:pPr>
              <w:pStyle w:val="Tabletext"/>
              <w:rPr>
                <w:lang w:eastAsia="en-US"/>
              </w:rPr>
            </w:pPr>
            <w:r w:rsidRPr="005F351C">
              <w:rPr>
                <w:bCs/>
                <w:i/>
                <w:iCs/>
              </w:rPr>
              <w:t>Social Security Act 1991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458AD5" w14:textId="53AA715A" w:rsidR="003E0E26" w:rsidRDefault="003E0E26" w:rsidP="00F9536D">
            <w:pPr>
              <w:pStyle w:val="Tabletext"/>
            </w:pPr>
            <w:r>
              <w:t xml:space="preserve">each </w:t>
            </w:r>
            <w:r w:rsidRPr="00CC3674">
              <w:rPr>
                <w:bCs/>
                <w:iCs/>
              </w:rPr>
              <w:t>of</w:t>
            </w:r>
            <w:r>
              <w:t xml:space="preserve"> the following:</w:t>
            </w:r>
          </w:p>
          <w:p w14:paraId="3728980E" w14:textId="014DD734" w:rsidR="006000FB" w:rsidRDefault="006000FB" w:rsidP="006000FB">
            <w:pPr>
              <w:pStyle w:val="Tablea"/>
            </w:pPr>
            <w:r>
              <w:t>(a)</w:t>
            </w:r>
            <w:r>
              <w:tab/>
              <w:t>a person’s accumulated FS debt;</w:t>
            </w:r>
          </w:p>
          <w:p w14:paraId="1BCFF171" w14:textId="759CF5C4" w:rsidR="006000FB" w:rsidRDefault="006000FB" w:rsidP="006000FB">
            <w:pPr>
              <w:pStyle w:val="Tablea"/>
            </w:pPr>
            <w:r>
              <w:t>(b)</w:t>
            </w:r>
            <w:r>
              <w:tab/>
              <w:t>the amount outstanding under a person’s FS contract;</w:t>
            </w:r>
          </w:p>
          <w:p w14:paraId="0484FF1B" w14:textId="5D6D5478" w:rsidR="006000FB" w:rsidRDefault="006000FB" w:rsidP="00F9536D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>
              <w:t>a person’s accumulated SSL debt</w:t>
            </w:r>
          </w:p>
        </w:tc>
      </w:tr>
      <w:tr w:rsidR="003E0E26" w14:paraId="078A1FE6" w14:textId="77777777" w:rsidTr="00F9536D"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98FA3B1" w14:textId="5A4970FE" w:rsidR="006F437F" w:rsidRDefault="006F43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4.  </w:t>
            </w: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879F88" w14:textId="7E6B8B8E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/>
                <w:iCs/>
              </w:rPr>
              <w:t>Student Assistance Act 1973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6B3352" w14:textId="77777777" w:rsidR="003E0E26" w:rsidRDefault="003E0E26" w:rsidP="003E0E26">
            <w:pPr>
              <w:pStyle w:val="Tabletext"/>
            </w:pPr>
            <w:r>
              <w:t xml:space="preserve">each </w:t>
            </w:r>
            <w:r w:rsidRPr="00F02129">
              <w:rPr>
                <w:bCs/>
                <w:iCs/>
              </w:rPr>
              <w:t>of</w:t>
            </w:r>
            <w:r>
              <w:t xml:space="preserve"> the following:</w:t>
            </w:r>
          </w:p>
          <w:p w14:paraId="40786301" w14:textId="3A36ABF2" w:rsidR="006000FB" w:rsidRDefault="006000FB" w:rsidP="003E0E26">
            <w:pPr>
              <w:pStyle w:val="Tablea"/>
            </w:pPr>
            <w:r>
              <w:t>(a)</w:t>
            </w:r>
            <w:r>
              <w:tab/>
              <w:t xml:space="preserve">a person’s </w:t>
            </w:r>
            <w:r w:rsidR="00C16CE9">
              <w:t xml:space="preserve">accumulated </w:t>
            </w:r>
            <w:r>
              <w:t>FS debt;</w:t>
            </w:r>
          </w:p>
          <w:p w14:paraId="3F2B54B4" w14:textId="77777777" w:rsidR="006000FB" w:rsidRDefault="006000FB" w:rsidP="006000FB">
            <w:pPr>
              <w:pStyle w:val="Tablea"/>
            </w:pPr>
            <w:r>
              <w:t>(b)</w:t>
            </w:r>
            <w:r>
              <w:tab/>
              <w:t>the amount outstanding under a person’s FS contract;</w:t>
            </w:r>
          </w:p>
          <w:p w14:paraId="5C000344" w14:textId="12837E97" w:rsidR="006F437F" w:rsidRDefault="006000FB" w:rsidP="00F9536D">
            <w:pPr>
              <w:pStyle w:val="Tablea"/>
              <w:rPr>
                <w:lang w:eastAsia="en-US"/>
              </w:rPr>
            </w:pPr>
            <w:r>
              <w:rPr>
                <w:lang w:eastAsia="en-US"/>
              </w:rPr>
              <w:t>(c)</w:t>
            </w:r>
            <w:r>
              <w:rPr>
                <w:lang w:eastAsia="en-US"/>
              </w:rPr>
              <w:tab/>
            </w:r>
            <w:r>
              <w:t>a person’s accumulated ABSTUDY SSL debt</w:t>
            </w:r>
          </w:p>
        </w:tc>
      </w:tr>
      <w:tr w:rsidR="003E0E26" w14:paraId="48A61C36" w14:textId="77777777" w:rsidTr="00F9536D">
        <w:tc>
          <w:tcPr>
            <w:tcW w:w="7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F66603" w14:textId="7F021271" w:rsidR="006F437F" w:rsidRDefault="006F437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 xml:space="preserve">5.  </w:t>
            </w:r>
          </w:p>
        </w:tc>
        <w:tc>
          <w:tcPr>
            <w:tcW w:w="368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FB4686A" w14:textId="7DFAD854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/>
                <w:iCs/>
              </w:rPr>
              <w:t>VET Student Loans Act 2016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1696DB" w14:textId="7BD902D0" w:rsidR="006F437F" w:rsidRDefault="006000FB">
            <w:pPr>
              <w:pStyle w:val="Tabletext"/>
              <w:rPr>
                <w:lang w:eastAsia="en-US"/>
              </w:rPr>
            </w:pPr>
            <w:r>
              <w:rPr>
                <w:bCs/>
                <w:iCs/>
              </w:rPr>
              <w:t>a person’s accumulated VETSL debt</w:t>
            </w:r>
          </w:p>
        </w:tc>
      </w:tr>
    </w:tbl>
    <w:p w14:paraId="3B02EAB6" w14:textId="3DF11E51" w:rsidR="00B84E0F" w:rsidRDefault="00E66AE5" w:rsidP="00F521C7">
      <w:pPr>
        <w:pStyle w:val="subsection"/>
        <w:rPr>
          <w:bCs/>
          <w:iCs/>
        </w:rPr>
      </w:pPr>
      <w:r>
        <w:rPr>
          <w:bCs/>
          <w:iCs/>
        </w:rPr>
        <w:tab/>
        <w:t>(3)</w:t>
      </w:r>
      <w:r>
        <w:rPr>
          <w:bCs/>
          <w:iCs/>
        </w:rPr>
        <w:tab/>
      </w:r>
      <w:r w:rsidR="00B84E0F">
        <w:rPr>
          <w:bCs/>
          <w:iCs/>
        </w:rPr>
        <w:t xml:space="preserve">Any other </w:t>
      </w:r>
      <w:r w:rsidR="002C66F0">
        <w:rPr>
          <w:bCs/>
          <w:iCs/>
        </w:rPr>
        <w:t xml:space="preserve">expression </w:t>
      </w:r>
      <w:r w:rsidR="00B84E0F">
        <w:rPr>
          <w:bCs/>
          <w:iCs/>
        </w:rPr>
        <w:t xml:space="preserve">used in this instrument that is </w:t>
      </w:r>
      <w:r w:rsidR="0013403C">
        <w:rPr>
          <w:bCs/>
          <w:iCs/>
        </w:rPr>
        <w:t xml:space="preserve">used </w:t>
      </w:r>
      <w:r w:rsidR="00B84E0F">
        <w:rPr>
          <w:bCs/>
          <w:iCs/>
        </w:rPr>
        <w:t xml:space="preserve">in the </w:t>
      </w:r>
      <w:r w:rsidR="000C464F">
        <w:rPr>
          <w:bCs/>
          <w:iCs/>
        </w:rPr>
        <w:t xml:space="preserve">Act </w:t>
      </w:r>
      <w:r w:rsidR="00B84E0F">
        <w:rPr>
          <w:bCs/>
          <w:iCs/>
        </w:rPr>
        <w:t xml:space="preserve">has the same meaning in this instrument as it has in </w:t>
      </w:r>
      <w:r w:rsidR="000C464F">
        <w:rPr>
          <w:bCs/>
          <w:iCs/>
        </w:rPr>
        <w:t xml:space="preserve">the </w:t>
      </w:r>
      <w:r w:rsidR="00B84E0F">
        <w:rPr>
          <w:bCs/>
          <w:iCs/>
        </w:rPr>
        <w:t>Act.</w:t>
      </w:r>
    </w:p>
    <w:p w14:paraId="59ADAC5E" w14:textId="77A4267E" w:rsidR="00554826" w:rsidRPr="00B84E0F" w:rsidRDefault="006772DD" w:rsidP="00554826">
      <w:pPr>
        <w:pStyle w:val="ActHead5"/>
      </w:pPr>
      <w:bookmarkStart w:id="5" w:name="_Toc183596042"/>
      <w:r w:rsidRPr="00B84E0F">
        <w:t>5</w:t>
      </w:r>
      <w:r w:rsidR="00554826" w:rsidRPr="00B84E0F">
        <w:t xml:space="preserve">  </w:t>
      </w:r>
      <w:r w:rsidR="00B84E0F" w:rsidRPr="00B84E0F">
        <w:t xml:space="preserve">Transitional rules for the recalculation of debts or amounts owing where a person received a waiver </w:t>
      </w:r>
      <w:r w:rsidR="00DD1288">
        <w:t xml:space="preserve">or partial waiver </w:t>
      </w:r>
      <w:r w:rsidR="00B84E0F" w:rsidRPr="00B84E0F">
        <w:t>of that debt or amount</w:t>
      </w:r>
      <w:bookmarkEnd w:id="5"/>
    </w:p>
    <w:p w14:paraId="32DA1386" w14:textId="3FA5AB45" w:rsidR="00612324" w:rsidRDefault="00554826" w:rsidP="00554826">
      <w:pPr>
        <w:pStyle w:val="subsection"/>
      </w:pPr>
      <w:r w:rsidRPr="00B84E0F">
        <w:tab/>
        <w:t>(1)</w:t>
      </w:r>
      <w:r w:rsidRPr="00B84E0F">
        <w:tab/>
        <w:t xml:space="preserve">This </w:t>
      </w:r>
      <w:r w:rsidR="00B84E0F">
        <w:t>section is made for the purposes of subitem</w:t>
      </w:r>
      <w:r w:rsidR="00A469D6">
        <w:t>s</w:t>
      </w:r>
      <w:r w:rsidR="00B84E0F">
        <w:t xml:space="preserve"> 1(1) and 1(3) of Schedule 6 to the Act and subitem</w:t>
      </w:r>
      <w:r w:rsidR="008B0351">
        <w:t>s</w:t>
      </w:r>
      <w:r w:rsidR="00B84E0F">
        <w:t xml:space="preserve"> 56(3)</w:t>
      </w:r>
      <w:r w:rsidR="008B0351">
        <w:t>, 59(3), 62(3), 65(3) and 68(3)</w:t>
      </w:r>
      <w:r w:rsidR="00B84E0F">
        <w:t xml:space="preserve"> of Schedule 1 to the Act</w:t>
      </w:r>
      <w:r w:rsidR="00612324">
        <w:t>.</w:t>
      </w:r>
    </w:p>
    <w:p w14:paraId="465A95CC" w14:textId="2CF67E7E" w:rsidR="00EE7A10" w:rsidRDefault="00612324" w:rsidP="00EE7A10">
      <w:pPr>
        <w:pStyle w:val="subsection"/>
      </w:pPr>
      <w:r>
        <w:tab/>
        <w:t>(2)</w:t>
      </w:r>
      <w:r>
        <w:tab/>
      </w:r>
      <w:r w:rsidR="00977477">
        <w:t xml:space="preserve">If a </w:t>
      </w:r>
      <w:r w:rsidR="00047091">
        <w:t xml:space="preserve">person </w:t>
      </w:r>
      <w:r w:rsidR="00A905FD">
        <w:t xml:space="preserve">had a relevant </w:t>
      </w:r>
      <w:r w:rsidR="00417E3F">
        <w:t xml:space="preserve">waiver </w:t>
      </w:r>
      <w:r w:rsidR="00A905FD">
        <w:t xml:space="preserve">in relation to </w:t>
      </w:r>
      <w:r w:rsidR="008B0351">
        <w:t xml:space="preserve">a relevant amount and </w:t>
      </w:r>
      <w:r w:rsidR="00977477">
        <w:t xml:space="preserve">the financial year ending on 30 June 2023 or the financial year ending on 30 June </w:t>
      </w:r>
      <w:r w:rsidR="00977477" w:rsidRPr="00C16CE9">
        <w:rPr>
          <w:szCs w:val="22"/>
        </w:rPr>
        <w:t>2024, t</w:t>
      </w:r>
      <w:r w:rsidR="00EE7A10" w:rsidRPr="00F9536D">
        <w:rPr>
          <w:szCs w:val="22"/>
        </w:rPr>
        <w:t xml:space="preserve">he person’s recalculated </w:t>
      </w:r>
      <w:r w:rsidR="000F5982" w:rsidRPr="00F9536D">
        <w:rPr>
          <w:szCs w:val="22"/>
        </w:rPr>
        <w:t xml:space="preserve">relevant amount </w:t>
      </w:r>
      <w:r w:rsidR="00EE7A10" w:rsidRPr="00F9536D">
        <w:rPr>
          <w:szCs w:val="22"/>
        </w:rPr>
        <w:t xml:space="preserve">for the financial year is given </w:t>
      </w:r>
      <w:r w:rsidR="00EE7A10" w:rsidRPr="00C16CE9">
        <w:rPr>
          <w:szCs w:val="22"/>
        </w:rPr>
        <w:t>by:</w:t>
      </w:r>
    </w:p>
    <w:p w14:paraId="3C011B36" w14:textId="21B5A268" w:rsidR="00EE7A10" w:rsidRPr="00EE7A10" w:rsidRDefault="00EE7A10" w:rsidP="00F9536D">
      <w:pPr>
        <w:pStyle w:val="paragraph"/>
        <w:keepNext/>
      </w:pPr>
      <w:bookmarkStart w:id="6" w:name="_Hlk182480097"/>
      <w:r>
        <w:lastRenderedPageBreak/>
        <w:tab/>
        <w:t>(a)</w:t>
      </w:r>
      <w:r>
        <w:tab/>
        <w:t>if, for the financial year</w:t>
      </w:r>
      <w:bookmarkStart w:id="7" w:name="_Hlk182336313"/>
      <w:r w:rsidR="00F9536D">
        <w:t xml:space="preserve">, </w:t>
      </w:r>
      <w:r w:rsidR="00F9536D" w:rsidRPr="00F9536D">
        <w:rPr>
          <w:noProof/>
        </w:rPr>
        <w:drawing>
          <wp:inline distT="0" distB="0" distL="0" distR="0" wp14:anchorId="5043ACC9" wp14:editId="577E1B96">
            <wp:extent cx="1743075" cy="190500"/>
            <wp:effectExtent l="0" t="0" r="9525" b="0"/>
            <wp:docPr id="302390075" name="Picture 1" descr="Start formula RW is greater than RA old law minus RA new law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90075" name="Picture 1" descr="Start formula RW is greater than RA old law minus RA new law end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3" r="66967" b="-10004"/>
                    <a:stretch/>
                  </pic:blipFill>
                  <pic:spPr bwMode="auto">
                    <a:xfrm>
                      <a:off x="0" y="0"/>
                      <a:ext cx="1743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36D">
        <w:t>:</w:t>
      </w:r>
    </w:p>
    <w:p w14:paraId="452B52E5" w14:textId="0E46B670" w:rsidR="00F9536D" w:rsidRPr="00EE7A10" w:rsidRDefault="00F9536D" w:rsidP="00F9536D">
      <w:pPr>
        <w:pStyle w:val="subsection"/>
        <w:spacing w:before="240" w:after="240"/>
        <w:jc w:val="center"/>
      </w:pPr>
      <w:bookmarkStart w:id="8" w:name="_Hlk183528336"/>
      <w:r w:rsidRPr="00F9536D">
        <w:rPr>
          <w:noProof/>
        </w:rPr>
        <w:drawing>
          <wp:inline distT="0" distB="0" distL="0" distR="0" wp14:anchorId="261F96A4" wp14:editId="14C15D68">
            <wp:extent cx="1866900" cy="165100"/>
            <wp:effectExtent l="0" t="0" r="0" b="6350"/>
            <wp:docPr id="1299947444" name="Picture 2" descr="Start formula RA re-calc equals RA old law minus RW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947444" name="Picture 2" descr="Start formula RA re-calc equals RA old law minus RW end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8" r="32696"/>
                    <a:stretch/>
                  </pic:blipFill>
                  <pic:spPr bwMode="auto">
                    <a:xfrm>
                      <a:off x="0" y="0"/>
                      <a:ext cx="1866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8"/>
    <w:p w14:paraId="0E32F7D1" w14:textId="3D6481C8" w:rsidR="00EE7A10" w:rsidRPr="00EE7A10" w:rsidRDefault="00EE7A10" w:rsidP="00EE7A10">
      <w:pPr>
        <w:pStyle w:val="paragraph"/>
      </w:pPr>
      <w:r>
        <w:tab/>
        <w:t>(b)</w:t>
      </w:r>
      <w:r>
        <w:tab/>
        <w:t>if, for the financial year,</w:t>
      </w:r>
      <w:r w:rsidR="00F9536D">
        <w:t xml:space="preserve"> </w:t>
      </w:r>
      <w:r w:rsidR="00F9536D" w:rsidRPr="00F9536D">
        <w:rPr>
          <w:noProof/>
        </w:rPr>
        <w:drawing>
          <wp:inline distT="0" distB="0" distL="0" distR="0" wp14:anchorId="58F6E8F2" wp14:editId="57665F36">
            <wp:extent cx="1847850" cy="165100"/>
            <wp:effectExtent l="0" t="0" r="0" b="6350"/>
            <wp:docPr id="1110761035" name="Picture 4" descr="Start formula RW is less than or equal to RA old law minus RA new law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61035" name="Picture 4" descr="Start formula RW is less than or equal to RA old law minus RA new law end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8" r="32876"/>
                    <a:stretch/>
                  </pic:blipFill>
                  <pic:spPr bwMode="auto">
                    <a:xfrm>
                      <a:off x="0" y="0"/>
                      <a:ext cx="18478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536D">
        <w:t>:</w:t>
      </w:r>
    </w:p>
    <w:p w14:paraId="16CA8157" w14:textId="3CB7870B" w:rsidR="00F9536D" w:rsidRPr="001655B4" w:rsidRDefault="00F9536D" w:rsidP="00F9536D">
      <w:pPr>
        <w:pStyle w:val="subsection"/>
        <w:spacing w:before="240" w:after="240"/>
        <w:jc w:val="center"/>
      </w:pPr>
      <w:r w:rsidRPr="00F9536D">
        <w:rPr>
          <w:noProof/>
        </w:rPr>
        <w:drawing>
          <wp:inline distT="0" distB="0" distL="0" distR="0" wp14:anchorId="79158144" wp14:editId="6B43136C">
            <wp:extent cx="1362075" cy="347345"/>
            <wp:effectExtent l="0" t="0" r="0" b="0"/>
            <wp:docPr id="931077877" name="Picture 5" descr="Start formula RA re-calc equals RA new law end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077877" name="Picture 5" descr="Start formula RA re-calc equals RA new law end formula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0" t="19795" r="37387"/>
                    <a:stretch/>
                  </pic:blipFill>
                  <pic:spPr bwMode="auto">
                    <a:xfrm>
                      <a:off x="0" y="0"/>
                      <a:ext cx="136207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6"/>
    <w:bookmarkEnd w:id="7"/>
    <w:p w14:paraId="35B6CB9F" w14:textId="77777777" w:rsidR="00EE7A10" w:rsidRDefault="00EE7A10" w:rsidP="00EE7A10">
      <w:pPr>
        <w:pStyle w:val="subsection2"/>
      </w:pPr>
      <w:r>
        <w:t>where:</w:t>
      </w:r>
    </w:p>
    <w:p w14:paraId="7BDD0065" w14:textId="6DF85CC5" w:rsidR="00EE7A10" w:rsidRDefault="000C464F" w:rsidP="00EE7A10">
      <w:pPr>
        <w:pStyle w:val="Definition"/>
      </w:pPr>
      <w:r>
        <w:rPr>
          <w:b/>
          <w:i/>
        </w:rPr>
        <w:t>RA</w:t>
      </w:r>
      <w:r w:rsidR="00EE7A10" w:rsidRPr="000833F5">
        <w:rPr>
          <w:b/>
          <w:i/>
          <w:vertAlign w:val="subscript"/>
        </w:rPr>
        <w:t>re-calc</w:t>
      </w:r>
      <w:r w:rsidR="00EE7A10">
        <w:rPr>
          <w:b/>
          <w:i/>
        </w:rPr>
        <w:t xml:space="preserve"> </w:t>
      </w:r>
      <w:r w:rsidR="00EE7A10">
        <w:t xml:space="preserve">is the person’s recalculated </w:t>
      </w:r>
      <w:r w:rsidR="000F5982">
        <w:t xml:space="preserve">relevant amount </w:t>
      </w:r>
      <w:r w:rsidR="00EE7A10">
        <w:t>for the financial year.</w:t>
      </w:r>
    </w:p>
    <w:p w14:paraId="5D512ADE" w14:textId="3984BB35" w:rsidR="00E15F22" w:rsidRDefault="00D03E9C" w:rsidP="00F32FF3">
      <w:pPr>
        <w:pStyle w:val="subsection"/>
      </w:pPr>
      <w:r>
        <w:tab/>
        <w:t>(</w:t>
      </w:r>
      <w:r w:rsidR="00977477">
        <w:t>3</w:t>
      </w:r>
      <w:r>
        <w:t>)</w:t>
      </w:r>
      <w:r>
        <w:tab/>
        <w:t xml:space="preserve">If </w:t>
      </w:r>
      <w:r w:rsidR="00977477">
        <w:t>the</w:t>
      </w:r>
      <w:r>
        <w:t xml:space="preserve"> person had a relevant waiver in relation to the financial year ending on 30 June 2023 and the financial year ending on 30 June 2024</w:t>
      </w:r>
      <w:r w:rsidR="00FF63D8">
        <w:t xml:space="preserve">, </w:t>
      </w:r>
      <w:r>
        <w:t>this section is to be applied first in relation to the financial year ending on 30 June 2023.</w:t>
      </w:r>
      <w:r w:rsidR="004F7E8B">
        <w:t xml:space="preserve"> </w:t>
      </w:r>
    </w:p>
    <w:sectPr w:rsidR="00E15F22" w:rsidSect="008C2EA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9B0F2" w14:textId="77777777" w:rsidR="007E50B3" w:rsidRDefault="007E50B3" w:rsidP="00715914">
      <w:pPr>
        <w:spacing w:line="240" w:lineRule="auto"/>
      </w:pPr>
      <w:r>
        <w:separator/>
      </w:r>
    </w:p>
  </w:endnote>
  <w:endnote w:type="continuationSeparator" w:id="0">
    <w:p w14:paraId="57965C17" w14:textId="77777777" w:rsidR="007E50B3" w:rsidRDefault="007E50B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C0FF2" w14:textId="5F81B88A" w:rsidR="007E50B3" w:rsidRPr="00E33C1C" w:rsidRDefault="007E50B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50B3" w14:paraId="2EEA2260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5CB4DE" w14:textId="77777777" w:rsidR="007E50B3" w:rsidRDefault="007E50B3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39AEB" w14:textId="682C9C86" w:rsidR="007E50B3" w:rsidRPr="004E1307" w:rsidRDefault="007E50B3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DAADCEC" w14:textId="77777777" w:rsidR="007E50B3" w:rsidRDefault="007E50B3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E50B3" w14:paraId="0D34640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7359224" w14:textId="77777777" w:rsidR="007E50B3" w:rsidRDefault="007E50B3" w:rsidP="00A369E3">
          <w:pPr>
            <w:jc w:val="right"/>
            <w:rPr>
              <w:sz w:val="18"/>
            </w:rPr>
          </w:pPr>
        </w:p>
      </w:tc>
    </w:tr>
  </w:tbl>
  <w:p w14:paraId="2DEEC23A" w14:textId="77777777" w:rsidR="007E50B3" w:rsidRPr="00ED79B6" w:rsidRDefault="007E50B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A998" w14:textId="01AAF493" w:rsidR="007E50B3" w:rsidRPr="00E33C1C" w:rsidRDefault="007E50B3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E50B3" w14:paraId="4E6533D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AAEF21" w14:textId="77777777" w:rsidR="007E50B3" w:rsidRDefault="007E50B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A4A6B3" w14:textId="7D5D6FC5" w:rsidR="007E50B3" w:rsidRDefault="007E50B3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9BCF1C" w14:textId="77777777" w:rsidR="007E50B3" w:rsidRDefault="007E50B3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0B3" w14:paraId="06199B8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82DB09" w14:textId="77777777" w:rsidR="007E50B3" w:rsidRDefault="007E50B3" w:rsidP="00A369E3">
          <w:pPr>
            <w:rPr>
              <w:sz w:val="18"/>
            </w:rPr>
          </w:pPr>
        </w:p>
      </w:tc>
    </w:tr>
  </w:tbl>
  <w:p w14:paraId="1F702073" w14:textId="77777777" w:rsidR="007E50B3" w:rsidRPr="00ED79B6" w:rsidRDefault="007E50B3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28DB9" w14:textId="22AB5D75" w:rsidR="007E50B3" w:rsidRPr="00E33C1C" w:rsidRDefault="007E50B3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E50B3" w14:paraId="566ADE4E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63C887" w14:textId="77777777" w:rsidR="007E50B3" w:rsidRDefault="007E50B3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10A01C" w14:textId="77777777" w:rsidR="007E50B3" w:rsidRDefault="007E50B3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DB2D6F" w14:textId="77777777" w:rsidR="007E50B3" w:rsidRDefault="007E50B3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CDF2E27" w14:textId="77777777" w:rsidR="007E50B3" w:rsidRPr="00ED79B6" w:rsidRDefault="007E50B3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689F" w14:textId="67A5403F" w:rsidR="007E50B3" w:rsidRPr="002B0EA5" w:rsidRDefault="007E50B3" w:rsidP="00274B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0B3" w14:paraId="192240CA" w14:textId="77777777" w:rsidTr="00274B16">
      <w:tc>
        <w:tcPr>
          <w:tcW w:w="365" w:type="pct"/>
        </w:tcPr>
        <w:p w14:paraId="22C449B2" w14:textId="77777777" w:rsidR="007E50B3" w:rsidRDefault="007E50B3" w:rsidP="00274B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F4BF267" w14:textId="03989018" w:rsidR="007E50B3" w:rsidRDefault="007E50B3" w:rsidP="00274B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F9F30DB" w14:textId="77777777" w:rsidR="007E50B3" w:rsidRDefault="007E50B3" w:rsidP="00274B16">
          <w:pPr>
            <w:spacing w:line="0" w:lineRule="atLeast"/>
            <w:jc w:val="right"/>
            <w:rPr>
              <w:sz w:val="18"/>
            </w:rPr>
          </w:pPr>
        </w:p>
      </w:tc>
    </w:tr>
    <w:tr w:rsidR="007E50B3" w14:paraId="22368525" w14:textId="77777777" w:rsidTr="00274B16">
      <w:tc>
        <w:tcPr>
          <w:tcW w:w="5000" w:type="pct"/>
          <w:gridSpan w:val="3"/>
        </w:tcPr>
        <w:p w14:paraId="521C4958" w14:textId="77777777" w:rsidR="007E50B3" w:rsidRDefault="007E50B3" w:rsidP="00274B16">
          <w:pPr>
            <w:jc w:val="right"/>
            <w:rPr>
              <w:sz w:val="18"/>
            </w:rPr>
          </w:pPr>
        </w:p>
      </w:tc>
    </w:tr>
  </w:tbl>
  <w:p w14:paraId="209E9D8E" w14:textId="77777777" w:rsidR="007E50B3" w:rsidRPr="00ED79B6" w:rsidRDefault="007E50B3" w:rsidP="00274B1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537C" w14:textId="5C128102" w:rsidR="007E50B3" w:rsidRPr="002B0EA5" w:rsidRDefault="007E50B3" w:rsidP="00274B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0B3" w14:paraId="2024EA69" w14:textId="77777777" w:rsidTr="00274B16">
      <w:tc>
        <w:tcPr>
          <w:tcW w:w="947" w:type="pct"/>
        </w:tcPr>
        <w:p w14:paraId="54A7A818" w14:textId="77777777" w:rsidR="007E50B3" w:rsidRDefault="007E50B3" w:rsidP="00274B1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EE88559" w14:textId="57486442" w:rsidR="007E50B3" w:rsidRDefault="007E50B3" w:rsidP="00274B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3EB"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9507EFF" w14:textId="77777777" w:rsidR="007E50B3" w:rsidRDefault="007E50B3" w:rsidP="00274B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0B3" w14:paraId="414BEB73" w14:textId="77777777" w:rsidTr="00274B16">
      <w:tc>
        <w:tcPr>
          <w:tcW w:w="5000" w:type="pct"/>
          <w:gridSpan w:val="3"/>
        </w:tcPr>
        <w:p w14:paraId="434175AB" w14:textId="77777777" w:rsidR="007E50B3" w:rsidRDefault="007E50B3" w:rsidP="00274B16">
          <w:pPr>
            <w:rPr>
              <w:sz w:val="18"/>
            </w:rPr>
          </w:pPr>
        </w:p>
      </w:tc>
    </w:tr>
  </w:tbl>
  <w:p w14:paraId="18947BD0" w14:textId="77777777" w:rsidR="007E50B3" w:rsidRPr="00ED79B6" w:rsidRDefault="007E50B3" w:rsidP="00274B1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642BC" w14:textId="55488134" w:rsidR="007E50B3" w:rsidRDefault="007E50B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D7A8" w14:textId="41F13FF8" w:rsidR="007E50B3" w:rsidRPr="002B0EA5" w:rsidRDefault="007E50B3" w:rsidP="00274B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E50B3" w14:paraId="7696C5E5" w14:textId="77777777" w:rsidTr="00274B16">
      <w:tc>
        <w:tcPr>
          <w:tcW w:w="365" w:type="pct"/>
        </w:tcPr>
        <w:p w14:paraId="004433DB" w14:textId="77777777" w:rsidR="007E50B3" w:rsidRDefault="007E50B3" w:rsidP="00274B1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3861AB8" w14:textId="2B28D852" w:rsidR="007E50B3" w:rsidRDefault="007E50B3" w:rsidP="00274B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3EB"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ABBED98" w14:textId="77777777" w:rsidR="007E50B3" w:rsidRDefault="007E50B3" w:rsidP="00274B16">
          <w:pPr>
            <w:spacing w:line="0" w:lineRule="atLeast"/>
            <w:jc w:val="right"/>
            <w:rPr>
              <w:sz w:val="18"/>
            </w:rPr>
          </w:pPr>
        </w:p>
      </w:tc>
    </w:tr>
    <w:tr w:rsidR="007E50B3" w14:paraId="65301060" w14:textId="77777777" w:rsidTr="00274B16">
      <w:tc>
        <w:tcPr>
          <w:tcW w:w="5000" w:type="pct"/>
          <w:gridSpan w:val="3"/>
        </w:tcPr>
        <w:p w14:paraId="1132CEB1" w14:textId="77777777" w:rsidR="007E50B3" w:rsidRDefault="007E50B3" w:rsidP="00274B16">
          <w:pPr>
            <w:jc w:val="right"/>
            <w:rPr>
              <w:sz w:val="18"/>
            </w:rPr>
          </w:pPr>
        </w:p>
      </w:tc>
    </w:tr>
  </w:tbl>
  <w:p w14:paraId="7FF115ED" w14:textId="77777777" w:rsidR="007E50B3" w:rsidRPr="00ED79B6" w:rsidRDefault="007E50B3" w:rsidP="00274B1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8842F" w14:textId="2EE87164" w:rsidR="007E50B3" w:rsidRPr="002B0EA5" w:rsidRDefault="007E50B3" w:rsidP="00274B1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E50B3" w14:paraId="1D5E207C" w14:textId="77777777" w:rsidTr="00274B16">
      <w:tc>
        <w:tcPr>
          <w:tcW w:w="947" w:type="pct"/>
        </w:tcPr>
        <w:p w14:paraId="4C53DBFC" w14:textId="77777777" w:rsidR="007E50B3" w:rsidRDefault="007E50B3" w:rsidP="00274B1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2B3561" w14:textId="5CF5A928" w:rsidR="007E50B3" w:rsidRDefault="007E50B3" w:rsidP="00274B1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B23EB">
            <w:rPr>
              <w:i/>
              <w:noProof/>
              <w:sz w:val="18"/>
            </w:rPr>
            <w:t>Universities Accord (Student Support and Other Measures) Transitional Rules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CAB941E" w14:textId="77777777" w:rsidR="007E50B3" w:rsidRDefault="007E50B3" w:rsidP="00274B1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E50B3" w14:paraId="0BB454CE" w14:textId="77777777" w:rsidTr="00274B16">
      <w:tc>
        <w:tcPr>
          <w:tcW w:w="5000" w:type="pct"/>
          <w:gridSpan w:val="3"/>
        </w:tcPr>
        <w:p w14:paraId="3F1109DE" w14:textId="77777777" w:rsidR="007E50B3" w:rsidRDefault="007E50B3" w:rsidP="00274B16">
          <w:pPr>
            <w:rPr>
              <w:sz w:val="18"/>
            </w:rPr>
          </w:pPr>
        </w:p>
      </w:tc>
    </w:tr>
  </w:tbl>
  <w:p w14:paraId="20261D6F" w14:textId="77777777" w:rsidR="007E50B3" w:rsidRPr="00ED79B6" w:rsidRDefault="007E50B3" w:rsidP="00274B16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3DEC" w14:textId="25C8A30B" w:rsidR="007E50B3" w:rsidRDefault="007E5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E28D" w14:textId="77777777" w:rsidR="007E50B3" w:rsidRDefault="007E50B3" w:rsidP="00715914">
      <w:pPr>
        <w:spacing w:line="240" w:lineRule="auto"/>
      </w:pPr>
      <w:r>
        <w:separator/>
      </w:r>
    </w:p>
  </w:footnote>
  <w:footnote w:type="continuationSeparator" w:id="0">
    <w:p w14:paraId="7109B83D" w14:textId="77777777" w:rsidR="007E50B3" w:rsidRDefault="007E50B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FBE54" w14:textId="64D8B9A6" w:rsidR="007E50B3" w:rsidRPr="005F1388" w:rsidRDefault="007E50B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8AB7" w14:textId="4C6BCEC9" w:rsidR="007E50B3" w:rsidRPr="005F1388" w:rsidRDefault="007E50B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6E29" w14:textId="487A02E3" w:rsidR="007E50B3" w:rsidRPr="00ED79B6" w:rsidRDefault="007E50B3" w:rsidP="00274B1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C737" w14:textId="60F6AD78" w:rsidR="007E50B3" w:rsidRPr="00ED79B6" w:rsidRDefault="007E50B3" w:rsidP="00274B1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6786F" w14:textId="2146823F" w:rsidR="007E50B3" w:rsidRPr="00ED79B6" w:rsidRDefault="007E50B3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D91E" w14:textId="3CEEF316" w:rsidR="007E50B3" w:rsidRDefault="007E50B3" w:rsidP="00715914">
    <w:pPr>
      <w:rPr>
        <w:sz w:val="20"/>
      </w:rPr>
    </w:pPr>
  </w:p>
  <w:p w14:paraId="2C2D0A4C" w14:textId="77777777" w:rsidR="007E50B3" w:rsidRDefault="007E50B3" w:rsidP="00715914">
    <w:pPr>
      <w:rPr>
        <w:sz w:val="20"/>
      </w:rPr>
    </w:pPr>
  </w:p>
  <w:p w14:paraId="56F0DA81" w14:textId="77777777" w:rsidR="007E50B3" w:rsidRPr="007A1328" w:rsidRDefault="007E50B3" w:rsidP="00715914">
    <w:pPr>
      <w:rPr>
        <w:sz w:val="20"/>
      </w:rPr>
    </w:pPr>
  </w:p>
  <w:p w14:paraId="70FB58FB" w14:textId="77777777" w:rsidR="007E50B3" w:rsidRPr="007A1328" w:rsidRDefault="007E50B3" w:rsidP="00715914">
    <w:pPr>
      <w:rPr>
        <w:b/>
        <w:sz w:val="24"/>
      </w:rPr>
    </w:pPr>
  </w:p>
  <w:p w14:paraId="75919861" w14:textId="77777777" w:rsidR="007E50B3" w:rsidRPr="007A1328" w:rsidRDefault="007E50B3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D5A2D" w14:textId="7E4E8BE6" w:rsidR="007E50B3" w:rsidRPr="007A1328" w:rsidRDefault="007E50B3" w:rsidP="00715914">
    <w:pPr>
      <w:jc w:val="right"/>
      <w:rPr>
        <w:sz w:val="20"/>
      </w:rPr>
    </w:pPr>
  </w:p>
  <w:p w14:paraId="1589507C" w14:textId="77777777" w:rsidR="007E50B3" w:rsidRPr="007A1328" w:rsidRDefault="007E50B3" w:rsidP="00715914">
    <w:pPr>
      <w:jc w:val="right"/>
      <w:rPr>
        <w:sz w:val="20"/>
      </w:rPr>
    </w:pPr>
  </w:p>
  <w:p w14:paraId="4FE15A3F" w14:textId="77777777" w:rsidR="007E50B3" w:rsidRPr="007A1328" w:rsidRDefault="007E50B3" w:rsidP="00715914">
    <w:pPr>
      <w:jc w:val="right"/>
      <w:rPr>
        <w:sz w:val="20"/>
      </w:rPr>
    </w:pPr>
  </w:p>
  <w:p w14:paraId="134FFB61" w14:textId="77777777" w:rsidR="007E50B3" w:rsidRPr="007A1328" w:rsidRDefault="007E50B3" w:rsidP="00715914">
    <w:pPr>
      <w:jc w:val="right"/>
      <w:rPr>
        <w:b/>
        <w:sz w:val="24"/>
      </w:rPr>
    </w:pPr>
  </w:p>
  <w:p w14:paraId="7E6B7F91" w14:textId="77777777" w:rsidR="007E50B3" w:rsidRPr="007A1328" w:rsidRDefault="007E50B3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6360" w14:textId="1B32D571" w:rsidR="007E50B3" w:rsidRDefault="007E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10F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1E7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2D4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505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2AC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F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741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D0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65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3E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E64CB"/>
    <w:multiLevelType w:val="hybridMultilevel"/>
    <w:tmpl w:val="6130F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2655E"/>
    <w:multiLevelType w:val="hybridMultilevel"/>
    <w:tmpl w:val="3EF0FB8C"/>
    <w:lvl w:ilvl="0" w:tplc="3522C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7B5895"/>
    <w:multiLevelType w:val="hybridMultilevel"/>
    <w:tmpl w:val="24367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52100341">
    <w:abstractNumId w:val="9"/>
  </w:num>
  <w:num w:numId="2" w16cid:durableId="1585989363">
    <w:abstractNumId w:val="7"/>
  </w:num>
  <w:num w:numId="3" w16cid:durableId="1258907917">
    <w:abstractNumId w:val="6"/>
  </w:num>
  <w:num w:numId="4" w16cid:durableId="2140803867">
    <w:abstractNumId w:val="5"/>
  </w:num>
  <w:num w:numId="5" w16cid:durableId="1290432702">
    <w:abstractNumId w:val="4"/>
  </w:num>
  <w:num w:numId="6" w16cid:durableId="612904223">
    <w:abstractNumId w:val="8"/>
  </w:num>
  <w:num w:numId="7" w16cid:durableId="1782996606">
    <w:abstractNumId w:val="3"/>
  </w:num>
  <w:num w:numId="8" w16cid:durableId="1192305061">
    <w:abstractNumId w:val="2"/>
  </w:num>
  <w:num w:numId="9" w16cid:durableId="929200347">
    <w:abstractNumId w:val="1"/>
  </w:num>
  <w:num w:numId="10" w16cid:durableId="1450859858">
    <w:abstractNumId w:val="0"/>
  </w:num>
  <w:num w:numId="11" w16cid:durableId="68890415">
    <w:abstractNumId w:val="15"/>
  </w:num>
  <w:num w:numId="12" w16cid:durableId="589781516">
    <w:abstractNumId w:val="10"/>
  </w:num>
  <w:num w:numId="13" w16cid:durableId="1855024606">
    <w:abstractNumId w:val="13"/>
  </w:num>
  <w:num w:numId="14" w16cid:durableId="46497724">
    <w:abstractNumId w:val="14"/>
  </w:num>
  <w:num w:numId="15" w16cid:durableId="1618684143">
    <w:abstractNumId w:val="11"/>
  </w:num>
  <w:num w:numId="16" w16cid:durableId="1310862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D6"/>
    <w:rsid w:val="00000688"/>
    <w:rsid w:val="00004174"/>
    <w:rsid w:val="00004470"/>
    <w:rsid w:val="000136AF"/>
    <w:rsid w:val="0002116B"/>
    <w:rsid w:val="000258B1"/>
    <w:rsid w:val="00040561"/>
    <w:rsid w:val="00040A89"/>
    <w:rsid w:val="000437C1"/>
    <w:rsid w:val="00044314"/>
    <w:rsid w:val="0004455A"/>
    <w:rsid w:val="00045148"/>
    <w:rsid w:val="00046763"/>
    <w:rsid w:val="00047091"/>
    <w:rsid w:val="00047736"/>
    <w:rsid w:val="00050FFC"/>
    <w:rsid w:val="00051E5D"/>
    <w:rsid w:val="0005365D"/>
    <w:rsid w:val="000614BF"/>
    <w:rsid w:val="0006709C"/>
    <w:rsid w:val="00074376"/>
    <w:rsid w:val="000763A7"/>
    <w:rsid w:val="00081CDD"/>
    <w:rsid w:val="00083C1B"/>
    <w:rsid w:val="000966EF"/>
    <w:rsid w:val="000978F5"/>
    <w:rsid w:val="000A3922"/>
    <w:rsid w:val="000A3ACB"/>
    <w:rsid w:val="000B15CD"/>
    <w:rsid w:val="000B23EB"/>
    <w:rsid w:val="000B2D4E"/>
    <w:rsid w:val="000B35EB"/>
    <w:rsid w:val="000B7EF1"/>
    <w:rsid w:val="000C034E"/>
    <w:rsid w:val="000C464F"/>
    <w:rsid w:val="000D05EF"/>
    <w:rsid w:val="000D27FA"/>
    <w:rsid w:val="000E052D"/>
    <w:rsid w:val="000E2261"/>
    <w:rsid w:val="000E78B7"/>
    <w:rsid w:val="000F0072"/>
    <w:rsid w:val="000F1A63"/>
    <w:rsid w:val="000F21C1"/>
    <w:rsid w:val="000F5982"/>
    <w:rsid w:val="0010745C"/>
    <w:rsid w:val="001136DD"/>
    <w:rsid w:val="001172E5"/>
    <w:rsid w:val="00123DE9"/>
    <w:rsid w:val="00127962"/>
    <w:rsid w:val="00132CEB"/>
    <w:rsid w:val="001339B0"/>
    <w:rsid w:val="0013403C"/>
    <w:rsid w:val="001340C2"/>
    <w:rsid w:val="00142B62"/>
    <w:rsid w:val="001441B7"/>
    <w:rsid w:val="001516CB"/>
    <w:rsid w:val="00152336"/>
    <w:rsid w:val="0015587F"/>
    <w:rsid w:val="001577AA"/>
    <w:rsid w:val="00157B8B"/>
    <w:rsid w:val="00160D32"/>
    <w:rsid w:val="001625CA"/>
    <w:rsid w:val="00165E70"/>
    <w:rsid w:val="00166C2F"/>
    <w:rsid w:val="001809D7"/>
    <w:rsid w:val="001939E1"/>
    <w:rsid w:val="00194C3E"/>
    <w:rsid w:val="00195382"/>
    <w:rsid w:val="001A70A2"/>
    <w:rsid w:val="001B2CB6"/>
    <w:rsid w:val="001C61C5"/>
    <w:rsid w:val="001C695A"/>
    <w:rsid w:val="001C69C4"/>
    <w:rsid w:val="001D37EF"/>
    <w:rsid w:val="001E3590"/>
    <w:rsid w:val="001E7407"/>
    <w:rsid w:val="001E7464"/>
    <w:rsid w:val="001F0743"/>
    <w:rsid w:val="001F4066"/>
    <w:rsid w:val="001F5D5E"/>
    <w:rsid w:val="001F6219"/>
    <w:rsid w:val="001F6CD4"/>
    <w:rsid w:val="00205628"/>
    <w:rsid w:val="00206C4D"/>
    <w:rsid w:val="00215AF1"/>
    <w:rsid w:val="002160FB"/>
    <w:rsid w:val="00220DB3"/>
    <w:rsid w:val="00227708"/>
    <w:rsid w:val="00230422"/>
    <w:rsid w:val="002321E8"/>
    <w:rsid w:val="00232984"/>
    <w:rsid w:val="0024010F"/>
    <w:rsid w:val="00240749"/>
    <w:rsid w:val="00243018"/>
    <w:rsid w:val="00243B70"/>
    <w:rsid w:val="00255A7A"/>
    <w:rsid w:val="002564A4"/>
    <w:rsid w:val="00265F31"/>
    <w:rsid w:val="0026736C"/>
    <w:rsid w:val="0027059F"/>
    <w:rsid w:val="00270C1C"/>
    <w:rsid w:val="00272A77"/>
    <w:rsid w:val="00274B16"/>
    <w:rsid w:val="00281308"/>
    <w:rsid w:val="00284719"/>
    <w:rsid w:val="00297ECB"/>
    <w:rsid w:val="002A3F9D"/>
    <w:rsid w:val="002A7BCF"/>
    <w:rsid w:val="002B6E5B"/>
    <w:rsid w:val="002C3FD1"/>
    <w:rsid w:val="002C66F0"/>
    <w:rsid w:val="002D043A"/>
    <w:rsid w:val="002D1570"/>
    <w:rsid w:val="002D266B"/>
    <w:rsid w:val="002D6224"/>
    <w:rsid w:val="002F146A"/>
    <w:rsid w:val="00304F8B"/>
    <w:rsid w:val="0031413B"/>
    <w:rsid w:val="00314BAC"/>
    <w:rsid w:val="003215DA"/>
    <w:rsid w:val="00331AD3"/>
    <w:rsid w:val="00335BC6"/>
    <w:rsid w:val="00337BD6"/>
    <w:rsid w:val="003415D3"/>
    <w:rsid w:val="00344338"/>
    <w:rsid w:val="00344701"/>
    <w:rsid w:val="003477F9"/>
    <w:rsid w:val="00352B0F"/>
    <w:rsid w:val="00352F05"/>
    <w:rsid w:val="00360459"/>
    <w:rsid w:val="0038049F"/>
    <w:rsid w:val="00384773"/>
    <w:rsid w:val="003C6231"/>
    <w:rsid w:val="003D0BFE"/>
    <w:rsid w:val="003D5700"/>
    <w:rsid w:val="003E0E26"/>
    <w:rsid w:val="003E341B"/>
    <w:rsid w:val="003E4D00"/>
    <w:rsid w:val="003F0AFB"/>
    <w:rsid w:val="00410E7B"/>
    <w:rsid w:val="004116CD"/>
    <w:rsid w:val="004139A6"/>
    <w:rsid w:val="00416C67"/>
    <w:rsid w:val="00417E3F"/>
    <w:rsid w:val="00417EB9"/>
    <w:rsid w:val="00424CA9"/>
    <w:rsid w:val="004276DF"/>
    <w:rsid w:val="00430F71"/>
    <w:rsid w:val="00431280"/>
    <w:rsid w:val="00431E9B"/>
    <w:rsid w:val="00435DFB"/>
    <w:rsid w:val="004379E3"/>
    <w:rsid w:val="0044015E"/>
    <w:rsid w:val="0044291A"/>
    <w:rsid w:val="00467661"/>
    <w:rsid w:val="00471557"/>
    <w:rsid w:val="00472DBE"/>
    <w:rsid w:val="00474A19"/>
    <w:rsid w:val="00476E79"/>
    <w:rsid w:val="00477830"/>
    <w:rsid w:val="00477928"/>
    <w:rsid w:val="00487764"/>
    <w:rsid w:val="004944DA"/>
    <w:rsid w:val="00496F97"/>
    <w:rsid w:val="004A1AFE"/>
    <w:rsid w:val="004A2CDF"/>
    <w:rsid w:val="004A2CF7"/>
    <w:rsid w:val="004B0521"/>
    <w:rsid w:val="004B4B68"/>
    <w:rsid w:val="004B6C48"/>
    <w:rsid w:val="004C4E59"/>
    <w:rsid w:val="004C6809"/>
    <w:rsid w:val="004C7F31"/>
    <w:rsid w:val="004E063A"/>
    <w:rsid w:val="004E1307"/>
    <w:rsid w:val="004E7BEC"/>
    <w:rsid w:val="004F6FA4"/>
    <w:rsid w:val="004F7E8B"/>
    <w:rsid w:val="0050256E"/>
    <w:rsid w:val="00505D3D"/>
    <w:rsid w:val="00506AF6"/>
    <w:rsid w:val="00516B8D"/>
    <w:rsid w:val="00520AC2"/>
    <w:rsid w:val="005303C8"/>
    <w:rsid w:val="00537FBC"/>
    <w:rsid w:val="0054135D"/>
    <w:rsid w:val="00554826"/>
    <w:rsid w:val="00561DEA"/>
    <w:rsid w:val="00562877"/>
    <w:rsid w:val="005659F7"/>
    <w:rsid w:val="00584811"/>
    <w:rsid w:val="00585784"/>
    <w:rsid w:val="00593AA6"/>
    <w:rsid w:val="00594161"/>
    <w:rsid w:val="00594749"/>
    <w:rsid w:val="005A16EB"/>
    <w:rsid w:val="005A35C5"/>
    <w:rsid w:val="005A65D5"/>
    <w:rsid w:val="005B0FDB"/>
    <w:rsid w:val="005B4067"/>
    <w:rsid w:val="005C3F41"/>
    <w:rsid w:val="005C4B86"/>
    <w:rsid w:val="005D0047"/>
    <w:rsid w:val="005D1D92"/>
    <w:rsid w:val="005D2D09"/>
    <w:rsid w:val="005F2A5E"/>
    <w:rsid w:val="005F351C"/>
    <w:rsid w:val="005F3E7B"/>
    <w:rsid w:val="006000FB"/>
    <w:rsid w:val="00600219"/>
    <w:rsid w:val="00604F2A"/>
    <w:rsid w:val="00612324"/>
    <w:rsid w:val="00620076"/>
    <w:rsid w:val="00627E0A"/>
    <w:rsid w:val="006359D9"/>
    <w:rsid w:val="00637A84"/>
    <w:rsid w:val="0065488B"/>
    <w:rsid w:val="00670EA1"/>
    <w:rsid w:val="006772DD"/>
    <w:rsid w:val="00677CC2"/>
    <w:rsid w:val="00681F8E"/>
    <w:rsid w:val="0068744B"/>
    <w:rsid w:val="006905DE"/>
    <w:rsid w:val="0069207B"/>
    <w:rsid w:val="00694D97"/>
    <w:rsid w:val="006A154F"/>
    <w:rsid w:val="006A437B"/>
    <w:rsid w:val="006A6294"/>
    <w:rsid w:val="006B5789"/>
    <w:rsid w:val="006C30C5"/>
    <w:rsid w:val="006C3EAA"/>
    <w:rsid w:val="006C7F8C"/>
    <w:rsid w:val="006E2E1C"/>
    <w:rsid w:val="006E3F9E"/>
    <w:rsid w:val="006E5096"/>
    <w:rsid w:val="006E6246"/>
    <w:rsid w:val="006E675C"/>
    <w:rsid w:val="006E69C2"/>
    <w:rsid w:val="006E6DCC"/>
    <w:rsid w:val="006F318F"/>
    <w:rsid w:val="006F437F"/>
    <w:rsid w:val="0070017E"/>
    <w:rsid w:val="00700B2C"/>
    <w:rsid w:val="00701210"/>
    <w:rsid w:val="00701269"/>
    <w:rsid w:val="007050A2"/>
    <w:rsid w:val="00711E48"/>
    <w:rsid w:val="00713084"/>
    <w:rsid w:val="00713B6E"/>
    <w:rsid w:val="00714F20"/>
    <w:rsid w:val="0071590F"/>
    <w:rsid w:val="00715914"/>
    <w:rsid w:val="0072147A"/>
    <w:rsid w:val="00723791"/>
    <w:rsid w:val="00731E00"/>
    <w:rsid w:val="0073763C"/>
    <w:rsid w:val="007440B7"/>
    <w:rsid w:val="007500C8"/>
    <w:rsid w:val="00751A00"/>
    <w:rsid w:val="00756272"/>
    <w:rsid w:val="00760CAF"/>
    <w:rsid w:val="00762D38"/>
    <w:rsid w:val="0076325E"/>
    <w:rsid w:val="00763D4D"/>
    <w:rsid w:val="00765A20"/>
    <w:rsid w:val="007715C9"/>
    <w:rsid w:val="00771613"/>
    <w:rsid w:val="007719AA"/>
    <w:rsid w:val="00774EDD"/>
    <w:rsid w:val="007757EC"/>
    <w:rsid w:val="00780ED1"/>
    <w:rsid w:val="00783E89"/>
    <w:rsid w:val="0079308D"/>
    <w:rsid w:val="00793915"/>
    <w:rsid w:val="007A1141"/>
    <w:rsid w:val="007B29AC"/>
    <w:rsid w:val="007C2253"/>
    <w:rsid w:val="007D3A92"/>
    <w:rsid w:val="007D7911"/>
    <w:rsid w:val="007E163D"/>
    <w:rsid w:val="007E50B3"/>
    <w:rsid w:val="007E667A"/>
    <w:rsid w:val="007E684C"/>
    <w:rsid w:val="007F28C9"/>
    <w:rsid w:val="007F51B2"/>
    <w:rsid w:val="00801E9D"/>
    <w:rsid w:val="008040DD"/>
    <w:rsid w:val="00807BE5"/>
    <w:rsid w:val="00807FD0"/>
    <w:rsid w:val="008117E9"/>
    <w:rsid w:val="008144ED"/>
    <w:rsid w:val="00824498"/>
    <w:rsid w:val="00826BD1"/>
    <w:rsid w:val="0083193A"/>
    <w:rsid w:val="008435E3"/>
    <w:rsid w:val="00854D0B"/>
    <w:rsid w:val="00856A31"/>
    <w:rsid w:val="00860B4E"/>
    <w:rsid w:val="00861BEB"/>
    <w:rsid w:val="0086605A"/>
    <w:rsid w:val="00867B37"/>
    <w:rsid w:val="008754D0"/>
    <w:rsid w:val="00875D13"/>
    <w:rsid w:val="008855C9"/>
    <w:rsid w:val="00886456"/>
    <w:rsid w:val="00891059"/>
    <w:rsid w:val="0089287C"/>
    <w:rsid w:val="00896176"/>
    <w:rsid w:val="008962B2"/>
    <w:rsid w:val="008A3C1A"/>
    <w:rsid w:val="008A46E1"/>
    <w:rsid w:val="008A4CC5"/>
    <w:rsid w:val="008A4D5C"/>
    <w:rsid w:val="008A4F43"/>
    <w:rsid w:val="008A5A01"/>
    <w:rsid w:val="008A5A70"/>
    <w:rsid w:val="008B0351"/>
    <w:rsid w:val="008B2706"/>
    <w:rsid w:val="008B610C"/>
    <w:rsid w:val="008C2EAC"/>
    <w:rsid w:val="008C51EA"/>
    <w:rsid w:val="008D0EE0"/>
    <w:rsid w:val="008D16D5"/>
    <w:rsid w:val="008D585B"/>
    <w:rsid w:val="008E0027"/>
    <w:rsid w:val="008E5012"/>
    <w:rsid w:val="008E6067"/>
    <w:rsid w:val="008E70B4"/>
    <w:rsid w:val="008F54E7"/>
    <w:rsid w:val="0090041C"/>
    <w:rsid w:val="00903422"/>
    <w:rsid w:val="009035DD"/>
    <w:rsid w:val="00917ED7"/>
    <w:rsid w:val="009254C3"/>
    <w:rsid w:val="009267E6"/>
    <w:rsid w:val="00932377"/>
    <w:rsid w:val="00936A26"/>
    <w:rsid w:val="00941236"/>
    <w:rsid w:val="00943FD5"/>
    <w:rsid w:val="00947D5A"/>
    <w:rsid w:val="009532A5"/>
    <w:rsid w:val="009545BD"/>
    <w:rsid w:val="0096078D"/>
    <w:rsid w:val="00964CF0"/>
    <w:rsid w:val="00977477"/>
    <w:rsid w:val="00977806"/>
    <w:rsid w:val="00982242"/>
    <w:rsid w:val="009868E9"/>
    <w:rsid w:val="009900A3"/>
    <w:rsid w:val="00995D18"/>
    <w:rsid w:val="009A00E9"/>
    <w:rsid w:val="009A573B"/>
    <w:rsid w:val="009B3513"/>
    <w:rsid w:val="009C3413"/>
    <w:rsid w:val="009C77E3"/>
    <w:rsid w:val="009D15A0"/>
    <w:rsid w:val="009D4DA9"/>
    <w:rsid w:val="009E3CAB"/>
    <w:rsid w:val="00A0441E"/>
    <w:rsid w:val="00A12128"/>
    <w:rsid w:val="00A12515"/>
    <w:rsid w:val="00A202D4"/>
    <w:rsid w:val="00A22C98"/>
    <w:rsid w:val="00A231E2"/>
    <w:rsid w:val="00A369E3"/>
    <w:rsid w:val="00A36AB1"/>
    <w:rsid w:val="00A469D6"/>
    <w:rsid w:val="00A529A3"/>
    <w:rsid w:val="00A54E75"/>
    <w:rsid w:val="00A57600"/>
    <w:rsid w:val="00A627DD"/>
    <w:rsid w:val="00A64912"/>
    <w:rsid w:val="00A662E2"/>
    <w:rsid w:val="00A70A74"/>
    <w:rsid w:val="00A72D0F"/>
    <w:rsid w:val="00A75FE9"/>
    <w:rsid w:val="00A76C5D"/>
    <w:rsid w:val="00A76FBF"/>
    <w:rsid w:val="00A905FD"/>
    <w:rsid w:val="00A95C29"/>
    <w:rsid w:val="00AA2EDE"/>
    <w:rsid w:val="00AA33B8"/>
    <w:rsid w:val="00AA6FB4"/>
    <w:rsid w:val="00AD37EB"/>
    <w:rsid w:val="00AD53CC"/>
    <w:rsid w:val="00AD5641"/>
    <w:rsid w:val="00AD6308"/>
    <w:rsid w:val="00AF06CF"/>
    <w:rsid w:val="00AF0CBF"/>
    <w:rsid w:val="00AF49F8"/>
    <w:rsid w:val="00B02186"/>
    <w:rsid w:val="00B03A2D"/>
    <w:rsid w:val="00B0513C"/>
    <w:rsid w:val="00B07CDB"/>
    <w:rsid w:val="00B16A31"/>
    <w:rsid w:val="00B17DFD"/>
    <w:rsid w:val="00B2068D"/>
    <w:rsid w:val="00B20C21"/>
    <w:rsid w:val="00B25306"/>
    <w:rsid w:val="00B27831"/>
    <w:rsid w:val="00B308FE"/>
    <w:rsid w:val="00B33709"/>
    <w:rsid w:val="00B33B3C"/>
    <w:rsid w:val="00B36279"/>
    <w:rsid w:val="00B36392"/>
    <w:rsid w:val="00B418CB"/>
    <w:rsid w:val="00B47444"/>
    <w:rsid w:val="00B50ADC"/>
    <w:rsid w:val="00B516EE"/>
    <w:rsid w:val="00B566B1"/>
    <w:rsid w:val="00B60063"/>
    <w:rsid w:val="00B63834"/>
    <w:rsid w:val="00B80199"/>
    <w:rsid w:val="00B81DE6"/>
    <w:rsid w:val="00B83204"/>
    <w:rsid w:val="00B84E0F"/>
    <w:rsid w:val="00B856E7"/>
    <w:rsid w:val="00B8694D"/>
    <w:rsid w:val="00B94BA6"/>
    <w:rsid w:val="00B97EC0"/>
    <w:rsid w:val="00BA220B"/>
    <w:rsid w:val="00BA3A57"/>
    <w:rsid w:val="00BA568F"/>
    <w:rsid w:val="00BB14C6"/>
    <w:rsid w:val="00BB1533"/>
    <w:rsid w:val="00BB4E1A"/>
    <w:rsid w:val="00BB7DF6"/>
    <w:rsid w:val="00BC015E"/>
    <w:rsid w:val="00BC76AC"/>
    <w:rsid w:val="00BD0ECB"/>
    <w:rsid w:val="00BD7150"/>
    <w:rsid w:val="00BE2155"/>
    <w:rsid w:val="00BE5A05"/>
    <w:rsid w:val="00BE719A"/>
    <w:rsid w:val="00BE720A"/>
    <w:rsid w:val="00BF0D73"/>
    <w:rsid w:val="00BF2465"/>
    <w:rsid w:val="00BF3BE2"/>
    <w:rsid w:val="00C06441"/>
    <w:rsid w:val="00C068BD"/>
    <w:rsid w:val="00C16619"/>
    <w:rsid w:val="00C16CE9"/>
    <w:rsid w:val="00C24064"/>
    <w:rsid w:val="00C25E7F"/>
    <w:rsid w:val="00C2746F"/>
    <w:rsid w:val="00C323D6"/>
    <w:rsid w:val="00C324A0"/>
    <w:rsid w:val="00C42BF8"/>
    <w:rsid w:val="00C50043"/>
    <w:rsid w:val="00C50629"/>
    <w:rsid w:val="00C70A32"/>
    <w:rsid w:val="00C7573B"/>
    <w:rsid w:val="00C97250"/>
    <w:rsid w:val="00C97A54"/>
    <w:rsid w:val="00CA5B23"/>
    <w:rsid w:val="00CB602E"/>
    <w:rsid w:val="00CB7E90"/>
    <w:rsid w:val="00CC3674"/>
    <w:rsid w:val="00CE051D"/>
    <w:rsid w:val="00CE0E09"/>
    <w:rsid w:val="00CE1335"/>
    <w:rsid w:val="00CE493D"/>
    <w:rsid w:val="00CF07FA"/>
    <w:rsid w:val="00CF0BB2"/>
    <w:rsid w:val="00CF136E"/>
    <w:rsid w:val="00CF1676"/>
    <w:rsid w:val="00CF3EE8"/>
    <w:rsid w:val="00D03E9C"/>
    <w:rsid w:val="00D129A6"/>
    <w:rsid w:val="00D13441"/>
    <w:rsid w:val="00D150E7"/>
    <w:rsid w:val="00D25CE6"/>
    <w:rsid w:val="00D374C4"/>
    <w:rsid w:val="00D51A5A"/>
    <w:rsid w:val="00D52DC2"/>
    <w:rsid w:val="00D53BCC"/>
    <w:rsid w:val="00D54C9E"/>
    <w:rsid w:val="00D6537E"/>
    <w:rsid w:val="00D70DFB"/>
    <w:rsid w:val="00D72485"/>
    <w:rsid w:val="00D766DF"/>
    <w:rsid w:val="00D8206C"/>
    <w:rsid w:val="00D91F10"/>
    <w:rsid w:val="00D94F4F"/>
    <w:rsid w:val="00DA186E"/>
    <w:rsid w:val="00DA4116"/>
    <w:rsid w:val="00DB251C"/>
    <w:rsid w:val="00DB4630"/>
    <w:rsid w:val="00DB5C33"/>
    <w:rsid w:val="00DC4F88"/>
    <w:rsid w:val="00DD1288"/>
    <w:rsid w:val="00DD3F7E"/>
    <w:rsid w:val="00DD6A30"/>
    <w:rsid w:val="00DE107C"/>
    <w:rsid w:val="00DF2388"/>
    <w:rsid w:val="00DF5522"/>
    <w:rsid w:val="00E05704"/>
    <w:rsid w:val="00E10CF5"/>
    <w:rsid w:val="00E11116"/>
    <w:rsid w:val="00E15F22"/>
    <w:rsid w:val="00E338EF"/>
    <w:rsid w:val="00E36B83"/>
    <w:rsid w:val="00E47351"/>
    <w:rsid w:val="00E544BB"/>
    <w:rsid w:val="00E66AE5"/>
    <w:rsid w:val="00E74DC7"/>
    <w:rsid w:val="00E7635F"/>
    <w:rsid w:val="00E8075A"/>
    <w:rsid w:val="00E82CB0"/>
    <w:rsid w:val="00E940D8"/>
    <w:rsid w:val="00E94D5E"/>
    <w:rsid w:val="00E95169"/>
    <w:rsid w:val="00EA7100"/>
    <w:rsid w:val="00EA7F9F"/>
    <w:rsid w:val="00EB1274"/>
    <w:rsid w:val="00EB3485"/>
    <w:rsid w:val="00EB3A57"/>
    <w:rsid w:val="00EC5056"/>
    <w:rsid w:val="00ED2BB6"/>
    <w:rsid w:val="00ED34E1"/>
    <w:rsid w:val="00ED3B8D"/>
    <w:rsid w:val="00EE5E36"/>
    <w:rsid w:val="00EE7A10"/>
    <w:rsid w:val="00EF2E3A"/>
    <w:rsid w:val="00EF5B87"/>
    <w:rsid w:val="00F02C7C"/>
    <w:rsid w:val="00F072A7"/>
    <w:rsid w:val="00F078DC"/>
    <w:rsid w:val="00F12959"/>
    <w:rsid w:val="00F255D0"/>
    <w:rsid w:val="00F32BA8"/>
    <w:rsid w:val="00F32EE0"/>
    <w:rsid w:val="00F32FF3"/>
    <w:rsid w:val="00F33EB5"/>
    <w:rsid w:val="00F349F1"/>
    <w:rsid w:val="00F4350D"/>
    <w:rsid w:val="00F479C4"/>
    <w:rsid w:val="00F50403"/>
    <w:rsid w:val="00F521C7"/>
    <w:rsid w:val="00F55F47"/>
    <w:rsid w:val="00F567F7"/>
    <w:rsid w:val="00F6696E"/>
    <w:rsid w:val="00F67A3E"/>
    <w:rsid w:val="00F73BD6"/>
    <w:rsid w:val="00F83989"/>
    <w:rsid w:val="00F85099"/>
    <w:rsid w:val="00F9379C"/>
    <w:rsid w:val="00F9536D"/>
    <w:rsid w:val="00F9632C"/>
    <w:rsid w:val="00F974EB"/>
    <w:rsid w:val="00FA1E52"/>
    <w:rsid w:val="00FA45E4"/>
    <w:rsid w:val="00FB025B"/>
    <w:rsid w:val="00FB5A08"/>
    <w:rsid w:val="00FC2416"/>
    <w:rsid w:val="00FC32C5"/>
    <w:rsid w:val="00FC6A80"/>
    <w:rsid w:val="00FE4688"/>
    <w:rsid w:val="00FF5354"/>
    <w:rsid w:val="00FF570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A211"/>
  <w15:docId w15:val="{D13C43E5-7979-4D79-AAD6-6F106D81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3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BD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B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D6"/>
    <w:rPr>
      <w:b/>
      <w:bCs/>
    </w:rPr>
  </w:style>
  <w:style w:type="paragraph" w:styleId="Revision">
    <w:name w:val="Revision"/>
    <w:hidden/>
    <w:uiPriority w:val="99"/>
    <w:semiHidden/>
    <w:rsid w:val="00A76FB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632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image" Target="media/image3.emf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2.emf"/><Relationship Id="rId32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image" Target="media/image5.emf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3157\Downloads\template_-_principal_instr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7" ma:contentTypeDescription="Create a new document." ma:contentTypeScope="" ma:versionID="01cddbf9a7747597ea96a2739bb53746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4c27c456d923fc57988cd327c4bc9fd6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P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PText" ma:index="24" nillable="true" ma:displayName="HP Text" ma:format="Dropdown" ma:internalName="HP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dc30c4-6a9c-4965-9d7a-1fd52c9a685a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 D O C U M E N T S ! 5 3 0 9 4 0 9 9 . 1 1 < / d o c u m e n t i d >  
     < s e n d e r i d > S T O R E J < / s e n d e r i d >  
     < s e n d e r e m a i l > J I L L I A N . S T O R E Y @ A G S . G O V . A U < / s e n d e r e m a i l >  
     < l a s t m o d i f i e d > 2 0 2 4 - 1 1 - 1 8 T 1 6 : 2 5 : 0 0 . 0 0 0 0 0 0 0 + 1 1 : 0 0 < / l a s t m o d i f i e d >  
     < d a t a b a s e > D O C U M E N T S 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  <HPText xmlns="21934866-407e-4eb7-84a5-689e8997aac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83D2C-E250-4D5F-A756-9371D792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34866-407e-4eb7-84a5-689e8997aac6"/>
    <ds:schemaRef ds:uri="1d95c80d-1bfc-4284-8ead-90dee9a0b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F5B0-0567-42F3-9F82-79C3710983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FFB6A-8B2F-46F1-B9E9-43E9703861F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0EAF9D2-27C5-43EE-A71A-F91264D617BA}">
  <ds:schemaRefs>
    <ds:schemaRef ds:uri="http://schemas.microsoft.com/office/2006/documentManagement/types"/>
    <ds:schemaRef ds:uri="21934866-407e-4eb7-84a5-689e8997aac6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1d95c80d-1bfc-4284-8ead-90dee9a0b47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6847F26-7E7B-4E9D-B065-9D97001B21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(2).dotx</Template>
  <TotalTime>2</TotalTime>
  <Pages>7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SIM,Tanya</dc:creator>
  <cp:lastModifiedBy>James McLaren</cp:lastModifiedBy>
  <cp:revision>5</cp:revision>
  <cp:lastPrinted>2024-11-05T03:27:00Z</cp:lastPrinted>
  <dcterms:created xsi:type="dcterms:W3CDTF">2024-11-27T04:44:00Z</dcterms:created>
  <dcterms:modified xsi:type="dcterms:W3CDTF">2024-12-09T21:56:00Z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iManageRef">
    <vt:lpwstr>Updated</vt:lpwstr>
  </property>
  <property fmtid="{D5CDD505-2E9C-101B-9397-08002B2CF9AE}" pid="6" name="LeadingLawyers">
    <vt:lpwstr>Removed</vt:lpwstr>
  </property>
  <property fmtid="{D5CDD505-2E9C-101B-9397-08002B2CF9AE}" pid="7" name="ContentTypeId">
    <vt:lpwstr>0x010100D0A9CCE9CD21384385A19063B05DA87A</vt:lpwstr>
  </property>
  <property fmtid="{D5CDD505-2E9C-101B-9397-08002B2CF9AE}" pid="8" name="MediaServiceImageTags">
    <vt:lpwstr/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2024-12-09T05:04:21Z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75223632-9ccd-4c8a-9c64-9d299928a61e</vt:lpwstr>
  </property>
  <property fmtid="{D5CDD505-2E9C-101B-9397-08002B2CF9AE}" pid="15" name="MSIP_Label_79d889eb-932f-4752-8739-64d25806ef64_ContentBits">
    <vt:lpwstr>0</vt:lpwstr>
  </property>
</Properties>
</file>