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A" w14:textId="498EB3E0" w:rsidR="00670C8D" w:rsidRPr="00A42F5D" w:rsidRDefault="00F3029D" w:rsidP="00F3029D">
      <w:pPr>
        <w:jc w:val="center"/>
        <w:rPr>
          <w:rFonts w:ascii="Times New Roman" w:hAnsi="Times New Roman"/>
        </w:rPr>
      </w:pPr>
      <w:bookmarkStart w:id="0" w:name="_GoBack"/>
      <w:bookmarkEnd w:id="0"/>
      <w:r w:rsidRPr="00F3029D">
        <w:rPr>
          <w:rFonts w:ascii="Times New Roman" w:eastAsia="Times New Roman" w:hAnsi="Times New Roman" w:cs="Times New Roman"/>
          <w:b/>
          <w:bCs/>
          <w:caps/>
          <w:kern w:val="32"/>
          <w:sz w:val="24"/>
          <w:szCs w:val="24"/>
          <w:u w:val="single"/>
        </w:rPr>
        <w:t>Family Law Legislation Amendment (Consequential Amendments) Regulations 2024</w:t>
      </w: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146FF33D" w14:textId="581B3B60" w:rsidR="00012AD6" w:rsidRPr="00A42F5D" w:rsidRDefault="797FDF2D" w:rsidP="797FDF2D">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r w:rsidR="002B361E" w:rsidRPr="00A42F5D">
        <w:br/>
      </w:r>
    </w:p>
    <w:p w14:paraId="09BFDCCE" w14:textId="77777777" w:rsidR="002B361E" w:rsidRPr="00A42F5D" w:rsidRDefault="002B361E" w:rsidP="00CF14E3">
      <w:pPr>
        <w:spacing w:line="360" w:lineRule="auto"/>
        <w:jc w:val="center"/>
        <w:rPr>
          <w:rFonts w:ascii="Times New Roman" w:hAnsi="Times New Roman" w:cs="Times New Roman"/>
          <w:b/>
          <w:sz w:val="24"/>
          <w:u w:val="single"/>
        </w:rPr>
      </w:pPr>
    </w:p>
    <w:p w14:paraId="09BFDCD1" w14:textId="7AE40975" w:rsidR="00AF0C63" w:rsidRPr="00050D03" w:rsidRDefault="797FDF2D" w:rsidP="00050D03">
      <w:pPr>
        <w:spacing w:line="360" w:lineRule="auto"/>
        <w:jc w:val="center"/>
        <w:rPr>
          <w:rFonts w:ascii="Times New Roman" w:hAnsi="Times New Roman" w:cs="Times New Roman"/>
        </w:rPr>
      </w:pPr>
      <w:r w:rsidRPr="00A42F5D">
        <w:rPr>
          <w:rFonts w:ascii="Times New Roman" w:hAnsi="Times New Roman" w:cs="Times New Roman"/>
        </w:rPr>
        <w:t xml:space="preserve">Issued by authority of the Attorney-General </w:t>
      </w:r>
    </w:p>
    <w:p w14:paraId="09BFDCD4" w14:textId="01161487" w:rsidR="00AF0C63" w:rsidRPr="00A42F5D" w:rsidRDefault="00050D03">
      <w:pPr>
        <w:spacing w:line="360" w:lineRule="auto"/>
        <w:jc w:val="center"/>
        <w:rPr>
          <w:rFonts w:ascii="Times New Roman" w:hAnsi="Times New Roman" w:cs="Times New Roman"/>
        </w:rPr>
      </w:pPr>
      <w:r w:rsidRPr="00A42F5D">
        <w:rPr>
          <w:rFonts w:ascii="Times New Roman" w:hAnsi="Times New Roman" w:cs="Times New Roman"/>
        </w:rPr>
        <w:t>U</w:t>
      </w:r>
      <w:r w:rsidR="797FDF2D" w:rsidRPr="00A42F5D">
        <w:rPr>
          <w:rFonts w:ascii="Times New Roman" w:hAnsi="Times New Roman" w:cs="Times New Roman"/>
        </w:rPr>
        <w:t>nder</w:t>
      </w:r>
      <w:r>
        <w:rPr>
          <w:rFonts w:ascii="Times New Roman" w:hAnsi="Times New Roman" w:cs="Times New Roman"/>
        </w:rPr>
        <w:t xml:space="preserve"> </w:t>
      </w:r>
      <w:r w:rsidR="00B96D2F">
        <w:rPr>
          <w:rFonts w:ascii="Times New Roman" w:hAnsi="Times New Roman" w:cs="Times New Roman"/>
        </w:rPr>
        <w:t xml:space="preserve">subsection 125(1) </w:t>
      </w:r>
      <w:r>
        <w:rPr>
          <w:rFonts w:ascii="Times New Roman" w:hAnsi="Times New Roman" w:cs="Times New Roman"/>
        </w:rPr>
        <w:t>the</w:t>
      </w:r>
      <w:r w:rsidR="005D6AE6" w:rsidRPr="005D6AE6">
        <w:rPr>
          <w:i/>
          <w:iCs/>
        </w:rPr>
        <w:t xml:space="preserve"> </w:t>
      </w:r>
      <w:r w:rsidR="005D6AE6" w:rsidRPr="005D6AE6">
        <w:rPr>
          <w:rFonts w:ascii="Times New Roman" w:hAnsi="Times New Roman" w:cs="Times New Roman"/>
          <w:i/>
          <w:iCs/>
        </w:rPr>
        <w:t>Family Law Act 1975</w:t>
      </w:r>
    </w:p>
    <w:p w14:paraId="09BFDCD5" w14:textId="77777777" w:rsidR="0026109C"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199123CB" w14:textId="1787AEA5" w:rsidR="00C70BFF" w:rsidRDefault="00C70BFF" w:rsidP="00C70BFF">
      <w:pPr>
        <w:spacing w:line="360" w:lineRule="auto"/>
        <w:rPr>
          <w:rFonts w:ascii="Times New Roman" w:hAnsi="Times New Roman" w:cs="Times New Roman"/>
        </w:rPr>
      </w:pPr>
      <w:bookmarkStart w:id="1" w:name="_Hlk177032410"/>
      <w:bookmarkStart w:id="2" w:name="_Hlk176959735"/>
      <w:r w:rsidRPr="00C70BFF">
        <w:rPr>
          <w:rFonts w:ascii="Times New Roman" w:hAnsi="Times New Roman" w:cs="Times New Roman"/>
        </w:rPr>
        <w:t xml:space="preserve">The </w:t>
      </w:r>
      <w:r w:rsidRPr="00C70BFF">
        <w:rPr>
          <w:rFonts w:ascii="Times New Roman" w:hAnsi="Times New Roman" w:cs="Times New Roman"/>
          <w:i/>
        </w:rPr>
        <w:t>Family Law Act 1975</w:t>
      </w:r>
      <w:r w:rsidRPr="00C70BFF">
        <w:rPr>
          <w:rFonts w:ascii="Times New Roman" w:hAnsi="Times New Roman" w:cs="Times New Roman"/>
        </w:rPr>
        <w:t xml:space="preserve"> (Family Law Act) provides the legislative framework for resolving arrangements for children, finances and property following a relationship breakdown. Subsection 125(1) of the Family Law Act provides, in part, that the Governor-General may make regulations, not inconsistent with the Family Law Act, prescribing all matters required or permitted by the Family Law Act to be prescribed, or necessary or convenient to be prescribed for carrying out or giving effect to the Family Law Act. </w:t>
      </w:r>
    </w:p>
    <w:p w14:paraId="7016F278" w14:textId="77777777" w:rsidR="00C70BFF" w:rsidRPr="00C70BFF" w:rsidRDefault="00C70BFF" w:rsidP="00C70BFF">
      <w:pPr>
        <w:spacing w:line="360" w:lineRule="auto"/>
        <w:rPr>
          <w:rFonts w:ascii="Times New Roman" w:hAnsi="Times New Roman" w:cs="Times New Roman"/>
        </w:rPr>
      </w:pPr>
      <w:r w:rsidRPr="00C70BFF">
        <w:rPr>
          <w:rFonts w:ascii="Times New Roman" w:hAnsi="Times New Roman" w:cs="Times New Roman"/>
        </w:rPr>
        <w:t xml:space="preserve">The </w:t>
      </w:r>
      <w:r w:rsidRPr="00C70BFF">
        <w:rPr>
          <w:rFonts w:ascii="Times New Roman" w:hAnsi="Times New Roman" w:cs="Times New Roman"/>
          <w:i/>
        </w:rPr>
        <w:t>Family Law Regulations 1984</w:t>
      </w:r>
      <w:r w:rsidRPr="00C70BFF">
        <w:rPr>
          <w:rFonts w:ascii="Times New Roman" w:hAnsi="Times New Roman" w:cs="Times New Roman"/>
        </w:rPr>
        <w:t xml:space="preserve"> (1984 Regulations) are scheduled to sunset on 1 April 2025. </w:t>
      </w:r>
    </w:p>
    <w:p w14:paraId="3B60C9A0" w14:textId="77777777" w:rsidR="00C70BFF" w:rsidRPr="00C70BFF" w:rsidRDefault="00C70BFF" w:rsidP="00C70BFF">
      <w:pPr>
        <w:spacing w:line="360" w:lineRule="auto"/>
        <w:rPr>
          <w:rFonts w:ascii="Times New Roman" w:hAnsi="Times New Roman" w:cs="Times New Roman"/>
        </w:rPr>
      </w:pPr>
      <w:r w:rsidRPr="00C70BFF">
        <w:rPr>
          <w:rFonts w:ascii="Times New Roman" w:hAnsi="Times New Roman" w:cs="Times New Roman"/>
        </w:rPr>
        <w:t xml:space="preserve">Chapter 3, Part 4 of the </w:t>
      </w:r>
      <w:r w:rsidRPr="00C70BFF">
        <w:rPr>
          <w:rFonts w:ascii="Times New Roman" w:hAnsi="Times New Roman" w:cs="Times New Roman"/>
          <w:i/>
        </w:rPr>
        <w:t xml:space="preserve">Legislation Act 2003 </w:t>
      </w:r>
      <w:r w:rsidRPr="00C70BFF">
        <w:rPr>
          <w:rFonts w:ascii="Times New Roman" w:hAnsi="Times New Roman" w:cs="Times New Roman"/>
        </w:rPr>
        <w:t xml:space="preserve">provides that legislative instruments sunset after a fixed period of time, subject to some exceptions. Paragraph 4(d) of the </w:t>
      </w:r>
      <w:r w:rsidRPr="00C70BFF">
        <w:rPr>
          <w:rFonts w:ascii="Times New Roman" w:hAnsi="Times New Roman" w:cs="Times New Roman"/>
          <w:i/>
        </w:rPr>
        <w:t>Legislation (Family Law Instruments) Sunset-altering Declaration 2018</w:t>
      </w:r>
      <w:r w:rsidRPr="00C70BFF">
        <w:rPr>
          <w:rFonts w:ascii="Times New Roman" w:hAnsi="Times New Roman" w:cs="Times New Roman"/>
        </w:rPr>
        <w:t xml:space="preserve"> deferred this date for the 1984 Regulations from 1 April 2018 to 1 April 2023. Paragraph 4(b) of the </w:t>
      </w:r>
      <w:r w:rsidRPr="00C70BFF">
        <w:rPr>
          <w:rFonts w:ascii="Times New Roman" w:hAnsi="Times New Roman" w:cs="Times New Roman"/>
          <w:i/>
        </w:rPr>
        <w:t>Legislation (Deferral of Sunsetting-Family Law Instruments) Certificate 2022</w:t>
      </w:r>
      <w:r w:rsidRPr="00C70BFF">
        <w:rPr>
          <w:rFonts w:ascii="Times New Roman" w:hAnsi="Times New Roman" w:cs="Times New Roman"/>
        </w:rPr>
        <w:t xml:space="preserve"> then further deferred this date to 1 April 2025. </w:t>
      </w:r>
    </w:p>
    <w:p w14:paraId="0B23C57C" w14:textId="0AA4AC2F" w:rsidR="00C70BFF" w:rsidRPr="00C70BFF" w:rsidRDefault="00C70BFF" w:rsidP="00C70BFF">
      <w:pPr>
        <w:spacing w:line="360" w:lineRule="auto"/>
        <w:rPr>
          <w:rFonts w:ascii="Times New Roman" w:hAnsi="Times New Roman" w:cs="Times New Roman"/>
        </w:rPr>
      </w:pPr>
      <w:r w:rsidRPr="00C70BFF">
        <w:rPr>
          <w:rFonts w:ascii="Times New Roman" w:hAnsi="Times New Roman" w:cs="Times New Roman"/>
        </w:rPr>
        <w:t>The deferral of sunsetting enabled the Attorney</w:t>
      </w:r>
      <w:r w:rsidR="00CC1142">
        <w:rPr>
          <w:rFonts w:ascii="Times New Roman" w:hAnsi="Times New Roman" w:cs="Times New Roman"/>
        </w:rPr>
        <w:t>-</w:t>
      </w:r>
      <w:r w:rsidRPr="00C70BFF">
        <w:rPr>
          <w:rFonts w:ascii="Times New Roman" w:hAnsi="Times New Roman" w:cs="Times New Roman"/>
        </w:rPr>
        <w:t xml:space="preserve">General’s Department to conduct a fitness-for purpose and thematic review, which ensures that legislative instruments are kept up to date and only remain in force for so long as they are needed. The review found the 1984 Regulations were operating as intended and continue to be necessary, however, recommended some technical and factual updates.  The </w:t>
      </w:r>
      <w:r w:rsidRPr="00C70BFF">
        <w:rPr>
          <w:rFonts w:ascii="Times New Roman" w:hAnsi="Times New Roman" w:cs="Times New Roman"/>
          <w:i/>
        </w:rPr>
        <w:t>Family Law Regulations 2024</w:t>
      </w:r>
      <w:r w:rsidRPr="00C70BFF">
        <w:rPr>
          <w:rFonts w:ascii="Times New Roman" w:hAnsi="Times New Roman" w:cs="Times New Roman"/>
        </w:rPr>
        <w:t xml:space="preserve"> (the 2024 Regulations) w</w:t>
      </w:r>
      <w:r w:rsidR="00F3029D">
        <w:rPr>
          <w:rFonts w:ascii="Times New Roman" w:hAnsi="Times New Roman" w:cs="Times New Roman"/>
        </w:rPr>
        <w:t>ill</w:t>
      </w:r>
      <w:r w:rsidRPr="00C70BFF">
        <w:rPr>
          <w:rFonts w:ascii="Times New Roman" w:hAnsi="Times New Roman" w:cs="Times New Roman"/>
        </w:rPr>
        <w:t xml:space="preserve"> incorporate the findings and recommendations of the review.</w:t>
      </w:r>
    </w:p>
    <w:p w14:paraId="765BEF06" w14:textId="1F8B8590" w:rsidR="00C70BFF" w:rsidRPr="00C70BFF" w:rsidRDefault="00C70BFF" w:rsidP="00C70BFF">
      <w:pPr>
        <w:spacing w:line="360" w:lineRule="auto"/>
        <w:rPr>
          <w:rFonts w:ascii="Times New Roman" w:hAnsi="Times New Roman" w:cs="Times New Roman"/>
        </w:rPr>
      </w:pPr>
      <w:r w:rsidRPr="00C70BFF">
        <w:rPr>
          <w:rFonts w:ascii="Times New Roman" w:hAnsi="Times New Roman" w:cs="Times New Roman"/>
        </w:rPr>
        <w:t>The 1984 Regulations w</w:t>
      </w:r>
      <w:r w:rsidR="00F3029D">
        <w:rPr>
          <w:rFonts w:ascii="Times New Roman" w:hAnsi="Times New Roman" w:cs="Times New Roman"/>
        </w:rPr>
        <w:t>ill</w:t>
      </w:r>
      <w:r w:rsidRPr="00C70BFF">
        <w:rPr>
          <w:rFonts w:ascii="Times New Roman" w:hAnsi="Times New Roman" w:cs="Times New Roman"/>
        </w:rPr>
        <w:t xml:space="preserve"> be replaced by the 2024 Regulations. </w:t>
      </w:r>
    </w:p>
    <w:p w14:paraId="69E5A176" w14:textId="77777777" w:rsidR="00857702" w:rsidRDefault="00857702" w:rsidP="00857702">
      <w:pPr>
        <w:spacing w:line="360" w:lineRule="auto"/>
        <w:rPr>
          <w:rFonts w:ascii="Times New Roman" w:hAnsi="Times New Roman" w:cs="Times New Roman"/>
        </w:rPr>
      </w:pPr>
      <w:r w:rsidRPr="0030228D">
        <w:rPr>
          <w:rFonts w:ascii="Times New Roman" w:hAnsi="Times New Roman" w:cs="Times New Roman"/>
        </w:rPr>
        <w:t>Under subsection 33(3) of the Acts Interpretation Act 1901,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857702">
        <w:rPr>
          <w:rFonts w:ascii="Times New Roman" w:hAnsi="Times New Roman" w:cs="Times New Roman"/>
        </w:rPr>
        <w:t xml:space="preserve"> </w:t>
      </w:r>
    </w:p>
    <w:p w14:paraId="039319B0" w14:textId="44D63CC1" w:rsidR="00857702" w:rsidRPr="00C70BFF" w:rsidRDefault="00857702" w:rsidP="00857702">
      <w:pPr>
        <w:spacing w:line="360" w:lineRule="auto"/>
        <w:rPr>
          <w:rFonts w:ascii="Times New Roman" w:hAnsi="Times New Roman" w:cs="Times New Roman"/>
        </w:rPr>
      </w:pPr>
      <w:r w:rsidRPr="00C70BFF">
        <w:rPr>
          <w:rFonts w:ascii="Times New Roman" w:hAnsi="Times New Roman" w:cs="Times New Roman"/>
        </w:rPr>
        <w:t xml:space="preserve">Consequential amendments </w:t>
      </w:r>
      <w:r>
        <w:rPr>
          <w:rFonts w:ascii="Times New Roman" w:hAnsi="Times New Roman" w:cs="Times New Roman"/>
        </w:rPr>
        <w:t>are</w:t>
      </w:r>
      <w:r w:rsidRPr="00C70BFF">
        <w:rPr>
          <w:rFonts w:ascii="Times New Roman" w:hAnsi="Times New Roman" w:cs="Times New Roman"/>
        </w:rPr>
        <w:t xml:space="preserve"> required to give effect to the 2024 Regulations when they commence. The</w:t>
      </w:r>
      <w:r w:rsidRPr="00C70BFF">
        <w:rPr>
          <w:rFonts w:ascii="Times New Roman" w:hAnsi="Times New Roman" w:cs="Times New Roman"/>
          <w:i/>
        </w:rPr>
        <w:t xml:space="preserve"> </w:t>
      </w:r>
      <w:r w:rsidRPr="00F3029D">
        <w:rPr>
          <w:rFonts w:ascii="Times New Roman" w:hAnsi="Times New Roman" w:cs="Times New Roman"/>
          <w:i/>
        </w:rPr>
        <w:t xml:space="preserve">Family Law Legislation Amendment (Consequential Amendments) Regulations 2024 </w:t>
      </w:r>
      <w:r w:rsidRPr="00C70BFF">
        <w:rPr>
          <w:rFonts w:ascii="Times New Roman" w:hAnsi="Times New Roman" w:cs="Times New Roman"/>
        </w:rPr>
        <w:t>(the Consequential Regulations) w</w:t>
      </w:r>
      <w:r>
        <w:rPr>
          <w:rFonts w:ascii="Times New Roman" w:hAnsi="Times New Roman" w:cs="Times New Roman"/>
        </w:rPr>
        <w:t>ill</w:t>
      </w:r>
      <w:r w:rsidRPr="00C70BFF">
        <w:rPr>
          <w:rFonts w:ascii="Times New Roman" w:hAnsi="Times New Roman" w:cs="Times New Roman"/>
        </w:rPr>
        <w:t xml:space="preserve"> repeal the 1984 Regulations and make consequential amendments to o</w:t>
      </w:r>
      <w:r>
        <w:rPr>
          <w:rFonts w:ascii="Times New Roman" w:hAnsi="Times New Roman" w:cs="Times New Roman"/>
        </w:rPr>
        <w:t>ne</w:t>
      </w:r>
      <w:r w:rsidRPr="00C70BFF">
        <w:rPr>
          <w:rFonts w:ascii="Times New Roman" w:hAnsi="Times New Roman" w:cs="Times New Roman"/>
        </w:rPr>
        <w:t xml:space="preserve"> legislative instrument.</w:t>
      </w:r>
    </w:p>
    <w:p w14:paraId="2BEBF549" w14:textId="169B9E3C" w:rsidR="00C70BFF" w:rsidRPr="00857702" w:rsidRDefault="00C70BFF" w:rsidP="00F3029D">
      <w:pPr>
        <w:spacing w:line="360" w:lineRule="auto"/>
        <w:rPr>
          <w:rFonts w:ascii="Times New Roman" w:hAnsi="Times New Roman" w:cs="Times New Roman"/>
        </w:rPr>
      </w:pPr>
      <w:r w:rsidRPr="00C70BFF">
        <w:rPr>
          <w:rFonts w:ascii="Times New Roman" w:hAnsi="Times New Roman" w:cs="Times New Roman"/>
        </w:rPr>
        <w:lastRenderedPageBreak/>
        <w:t xml:space="preserve">The Consequential Regulations are also made under section 285 of the </w:t>
      </w:r>
      <w:r w:rsidRPr="00C70BFF">
        <w:rPr>
          <w:rFonts w:ascii="Times New Roman" w:hAnsi="Times New Roman" w:cs="Times New Roman"/>
          <w:i/>
        </w:rPr>
        <w:t>Federal Circuit and Family Court of Australia Act 2021</w:t>
      </w:r>
      <w:r w:rsidRPr="00C70BFF">
        <w:rPr>
          <w:rFonts w:ascii="Times New Roman" w:hAnsi="Times New Roman" w:cs="Times New Roman"/>
        </w:rPr>
        <w:t>, which provides that regulations may be made to prescribe matters relating to fees.</w:t>
      </w:r>
      <w:r w:rsidR="00857702">
        <w:rPr>
          <w:rFonts w:ascii="Times New Roman" w:hAnsi="Times New Roman" w:cs="Times New Roman"/>
        </w:rPr>
        <w:t xml:space="preserve"> </w:t>
      </w:r>
      <w:r w:rsidRPr="00C70BFF">
        <w:rPr>
          <w:rFonts w:ascii="Times New Roman" w:hAnsi="Times New Roman" w:cs="Times New Roman"/>
        </w:rPr>
        <w:t xml:space="preserve">The Consequential Regulations </w:t>
      </w:r>
      <w:r w:rsidR="00F3029D">
        <w:rPr>
          <w:rFonts w:ascii="Times New Roman" w:hAnsi="Times New Roman" w:cs="Times New Roman"/>
        </w:rPr>
        <w:t>will</w:t>
      </w:r>
      <w:r w:rsidRPr="00C70BFF">
        <w:rPr>
          <w:rFonts w:ascii="Times New Roman" w:hAnsi="Times New Roman" w:cs="Times New Roman"/>
        </w:rPr>
        <w:t xml:space="preserve"> omit references to the 1984 Regulations and substitute references to the 2024 Regulations, in the Commonwealth </w:t>
      </w:r>
      <w:r w:rsidR="00F3029D" w:rsidRPr="00C70BFF">
        <w:rPr>
          <w:rFonts w:ascii="Times New Roman" w:hAnsi="Times New Roman" w:cs="Times New Roman"/>
          <w:i/>
        </w:rPr>
        <w:t>Family Law (Fees) Regulations 2022</w:t>
      </w:r>
      <w:r w:rsidRPr="00F3029D">
        <w:rPr>
          <w:rFonts w:ascii="Times New Roman" w:hAnsi="Times New Roman" w:cs="Times New Roman"/>
        </w:rPr>
        <w:t xml:space="preserve"> made under the Family Law Act</w:t>
      </w:r>
      <w:r w:rsidR="00F3029D">
        <w:rPr>
          <w:rFonts w:ascii="Times New Roman" w:hAnsi="Times New Roman" w:cs="Times New Roman"/>
        </w:rPr>
        <w:t>.</w:t>
      </w:r>
    </w:p>
    <w:p w14:paraId="1D2F5833" w14:textId="16F04739" w:rsidR="003A17BA" w:rsidRPr="001C436B" w:rsidRDefault="00C70BFF">
      <w:pPr>
        <w:spacing w:line="360" w:lineRule="auto"/>
        <w:rPr>
          <w:rFonts w:ascii="Times New Roman" w:hAnsi="Times New Roman" w:cs="Times New Roman"/>
        </w:rPr>
      </w:pPr>
      <w:r w:rsidRPr="00C70BFF">
        <w:rPr>
          <w:rFonts w:ascii="Times New Roman" w:hAnsi="Times New Roman" w:cs="Times New Roman"/>
        </w:rPr>
        <w:t xml:space="preserve">The consequential amendments do not give effect to any policy change. The purpose of the Consequential Regulations </w:t>
      </w:r>
      <w:r w:rsidR="00F3029D">
        <w:rPr>
          <w:rFonts w:ascii="Times New Roman" w:hAnsi="Times New Roman" w:cs="Times New Roman"/>
        </w:rPr>
        <w:t>is</w:t>
      </w:r>
      <w:r w:rsidRPr="00C70BFF">
        <w:rPr>
          <w:rFonts w:ascii="Times New Roman" w:hAnsi="Times New Roman" w:cs="Times New Roman"/>
        </w:rPr>
        <w:t xml:space="preserve"> to facilitate a smooth repeal and commencement of the remade 2024 Regulations and update references to the 1984 Regulations in </w:t>
      </w:r>
      <w:r w:rsidR="00F3029D">
        <w:rPr>
          <w:rFonts w:ascii="Times New Roman" w:hAnsi="Times New Roman" w:cs="Times New Roman"/>
        </w:rPr>
        <w:t xml:space="preserve">one </w:t>
      </w:r>
      <w:r w:rsidRPr="00C70BFF">
        <w:rPr>
          <w:rFonts w:ascii="Times New Roman" w:hAnsi="Times New Roman" w:cs="Times New Roman"/>
        </w:rPr>
        <w:t xml:space="preserve">Commonwealth Regulation made under the Family Law Act. </w:t>
      </w:r>
    </w:p>
    <w:bookmarkEnd w:id="1"/>
    <w:bookmarkEnd w:id="2"/>
    <w:p w14:paraId="09BFDCE0" w14:textId="77777777" w:rsidR="0026109C" w:rsidRPr="00A42F5D" w:rsidRDefault="797FDF2D" w:rsidP="001C436B">
      <w:pPr>
        <w:keepNext/>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Consultation</w:t>
      </w:r>
    </w:p>
    <w:p w14:paraId="533B1C12" w14:textId="5624697A" w:rsidR="00C70BFF" w:rsidRPr="00C70BFF" w:rsidRDefault="00C70BFF" w:rsidP="00C70BFF">
      <w:pPr>
        <w:spacing w:line="360" w:lineRule="auto"/>
        <w:rPr>
          <w:rFonts w:ascii="Times New Roman" w:hAnsi="Times New Roman" w:cs="Times New Roman"/>
        </w:rPr>
      </w:pPr>
      <w:r w:rsidRPr="00C70BFF">
        <w:rPr>
          <w:rFonts w:ascii="Times New Roman" w:hAnsi="Times New Roman" w:cs="Times New Roman"/>
        </w:rPr>
        <w:t xml:space="preserve">As the primary purpose of the Consequential Regulations </w:t>
      </w:r>
      <w:r w:rsidR="00F3029D">
        <w:rPr>
          <w:rFonts w:ascii="Times New Roman" w:hAnsi="Times New Roman" w:cs="Times New Roman"/>
        </w:rPr>
        <w:t>is</w:t>
      </w:r>
      <w:r w:rsidRPr="00C70BFF">
        <w:rPr>
          <w:rFonts w:ascii="Times New Roman" w:hAnsi="Times New Roman" w:cs="Times New Roman"/>
        </w:rPr>
        <w:t xml:space="preserve"> </w:t>
      </w:r>
      <w:r w:rsidR="00F3029D">
        <w:rPr>
          <w:rFonts w:ascii="Times New Roman" w:hAnsi="Times New Roman" w:cs="Times New Roman"/>
        </w:rPr>
        <w:t>repealing</w:t>
      </w:r>
      <w:r w:rsidRPr="00C70BFF">
        <w:rPr>
          <w:rFonts w:ascii="Times New Roman" w:hAnsi="Times New Roman" w:cs="Times New Roman"/>
        </w:rPr>
        <w:t xml:space="preserve"> the 1984 Regulations, consultation was not considered necessary. </w:t>
      </w:r>
    </w:p>
    <w:p w14:paraId="1DB0B875" w14:textId="64D7CF59" w:rsidR="00C70BFF" w:rsidRPr="00C70BFF" w:rsidRDefault="00C70BFF" w:rsidP="00C70BFF">
      <w:pPr>
        <w:spacing w:line="360" w:lineRule="auto"/>
        <w:rPr>
          <w:rFonts w:ascii="Times New Roman" w:hAnsi="Times New Roman" w:cs="Times New Roman"/>
        </w:rPr>
      </w:pPr>
      <w:r w:rsidRPr="00C70BFF">
        <w:rPr>
          <w:rFonts w:ascii="Times New Roman" w:hAnsi="Times New Roman" w:cs="Times New Roman"/>
        </w:rPr>
        <w:t>However, as the 2024 Regulations w</w:t>
      </w:r>
      <w:r w:rsidR="00F3029D">
        <w:rPr>
          <w:rFonts w:ascii="Times New Roman" w:hAnsi="Times New Roman" w:cs="Times New Roman"/>
        </w:rPr>
        <w:t>ill</w:t>
      </w:r>
      <w:r w:rsidRPr="00C70BFF">
        <w:rPr>
          <w:rFonts w:ascii="Times New Roman" w:hAnsi="Times New Roman" w:cs="Times New Roman"/>
        </w:rPr>
        <w:t xml:space="preserve"> replace the 1984 Regulations, they were subject to a public consultation process, with an exposure draft released for a five-week period from 1 August to 5 </w:t>
      </w:r>
      <w:bookmarkStart w:id="3" w:name="_Hlk179551883"/>
      <w:r w:rsidRPr="00C70BFF">
        <w:rPr>
          <w:rFonts w:ascii="Times New Roman" w:hAnsi="Times New Roman" w:cs="Times New Roman"/>
        </w:rPr>
        <w:t xml:space="preserve">September 2024. Targeted consultation was also undertaken. Feedback was received from stakeholders including: </w:t>
      </w:r>
    </w:p>
    <w:p w14:paraId="1FA112C8"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 xml:space="preserve">the Federal Circuit and Family Court of Australia, and the Family Court of Western Australia </w:t>
      </w:r>
    </w:p>
    <w:p w14:paraId="015A57EE"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State and Territory government agencies, including those with responsibility for child protection and justice</w:t>
      </w:r>
    </w:p>
    <w:p w14:paraId="01EBEDB4"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 xml:space="preserve">relevant Commonwealth agencies, including: </w:t>
      </w:r>
    </w:p>
    <w:p w14:paraId="530AB442" w14:textId="77777777" w:rsidR="00C70BFF" w:rsidRPr="00C70BFF" w:rsidRDefault="00C70BFF" w:rsidP="002D2C9B">
      <w:pPr>
        <w:numPr>
          <w:ilvl w:val="1"/>
          <w:numId w:val="15"/>
        </w:numPr>
        <w:spacing w:after="0" w:line="360" w:lineRule="auto"/>
        <w:ind w:hanging="357"/>
        <w:rPr>
          <w:rFonts w:ascii="Times New Roman" w:hAnsi="Times New Roman" w:cs="Times New Roman"/>
        </w:rPr>
      </w:pPr>
      <w:r w:rsidRPr="00C70BFF">
        <w:rPr>
          <w:rFonts w:ascii="Times New Roman" w:hAnsi="Times New Roman" w:cs="Times New Roman"/>
        </w:rPr>
        <w:t>the Department of Social Services</w:t>
      </w:r>
    </w:p>
    <w:p w14:paraId="5CB23136" w14:textId="77777777" w:rsidR="00C70BFF" w:rsidRPr="00C70BFF" w:rsidRDefault="00C70BFF" w:rsidP="002D2C9B">
      <w:pPr>
        <w:numPr>
          <w:ilvl w:val="1"/>
          <w:numId w:val="15"/>
        </w:numPr>
        <w:spacing w:after="0" w:line="360" w:lineRule="auto"/>
        <w:ind w:hanging="357"/>
        <w:rPr>
          <w:rFonts w:ascii="Times New Roman" w:hAnsi="Times New Roman" w:cs="Times New Roman"/>
        </w:rPr>
      </w:pPr>
      <w:r w:rsidRPr="00C70BFF">
        <w:rPr>
          <w:rFonts w:ascii="Times New Roman" w:hAnsi="Times New Roman" w:cs="Times New Roman"/>
        </w:rPr>
        <w:t>Services Australia</w:t>
      </w:r>
    </w:p>
    <w:p w14:paraId="3B16BF0E" w14:textId="77777777" w:rsidR="00C70BFF" w:rsidRPr="00C70BFF" w:rsidRDefault="00C70BFF" w:rsidP="002D2C9B">
      <w:pPr>
        <w:numPr>
          <w:ilvl w:val="1"/>
          <w:numId w:val="15"/>
        </w:numPr>
        <w:spacing w:after="0" w:line="360" w:lineRule="auto"/>
        <w:ind w:hanging="357"/>
        <w:rPr>
          <w:rFonts w:ascii="Times New Roman" w:hAnsi="Times New Roman" w:cs="Times New Roman"/>
        </w:rPr>
      </w:pPr>
      <w:r w:rsidRPr="00C70BFF">
        <w:rPr>
          <w:rFonts w:ascii="Times New Roman" w:hAnsi="Times New Roman" w:cs="Times New Roman"/>
        </w:rPr>
        <w:t>the Department of Health</w:t>
      </w:r>
    </w:p>
    <w:p w14:paraId="72AC5F23" w14:textId="77777777" w:rsidR="00C70BFF" w:rsidRPr="00C70BFF" w:rsidRDefault="00C70BFF" w:rsidP="002D2C9B">
      <w:pPr>
        <w:numPr>
          <w:ilvl w:val="1"/>
          <w:numId w:val="15"/>
        </w:numPr>
        <w:spacing w:after="0" w:line="360" w:lineRule="auto"/>
        <w:ind w:hanging="357"/>
        <w:rPr>
          <w:rFonts w:ascii="Times New Roman" w:hAnsi="Times New Roman" w:cs="Times New Roman"/>
        </w:rPr>
      </w:pPr>
      <w:r w:rsidRPr="00C70BFF">
        <w:rPr>
          <w:rFonts w:ascii="Times New Roman" w:hAnsi="Times New Roman" w:cs="Times New Roman"/>
        </w:rPr>
        <w:t>the Department of Infrastructure, Transport, Regional Development, Communications and the Arts</w:t>
      </w:r>
    </w:p>
    <w:p w14:paraId="59CAC6DC" w14:textId="77777777" w:rsidR="00C70BFF" w:rsidRPr="00C70BFF" w:rsidRDefault="00C70BFF" w:rsidP="002D2C9B">
      <w:pPr>
        <w:numPr>
          <w:ilvl w:val="1"/>
          <w:numId w:val="15"/>
        </w:numPr>
        <w:spacing w:after="0" w:line="360" w:lineRule="auto"/>
        <w:ind w:hanging="357"/>
        <w:rPr>
          <w:rFonts w:ascii="Times New Roman" w:hAnsi="Times New Roman" w:cs="Times New Roman"/>
        </w:rPr>
      </w:pPr>
      <w:r w:rsidRPr="00C70BFF">
        <w:rPr>
          <w:rFonts w:ascii="Times New Roman" w:hAnsi="Times New Roman" w:cs="Times New Roman"/>
        </w:rPr>
        <w:t xml:space="preserve">the Department of Employment and Workplace Relations </w:t>
      </w:r>
    </w:p>
    <w:p w14:paraId="533BDD95"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the Law Council of Australia</w:t>
      </w:r>
    </w:p>
    <w:p w14:paraId="3AB07A0A"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 xml:space="preserve">the Family Law Practitioners’ Association of Western Australia </w:t>
      </w:r>
    </w:p>
    <w:p w14:paraId="1F46B477"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Relationships Australia</w:t>
      </w:r>
    </w:p>
    <w:p w14:paraId="7686031B" w14:textId="77777777" w:rsidR="00C70BFF" w:rsidRPr="00C70BFF" w:rsidRDefault="00C70BFF" w:rsidP="002D2C9B">
      <w:pPr>
        <w:numPr>
          <w:ilvl w:val="0"/>
          <w:numId w:val="15"/>
        </w:numPr>
        <w:spacing w:after="0" w:line="360" w:lineRule="auto"/>
        <w:ind w:hanging="357"/>
        <w:rPr>
          <w:rFonts w:ascii="Times New Roman" w:hAnsi="Times New Roman" w:cs="Times New Roman"/>
        </w:rPr>
      </w:pPr>
      <w:r w:rsidRPr="00C70BFF">
        <w:rPr>
          <w:rFonts w:ascii="Times New Roman" w:hAnsi="Times New Roman" w:cs="Times New Roman"/>
        </w:rPr>
        <w:t>Australian Institute of Family Law Arbitrators and Mediators</w:t>
      </w:r>
    </w:p>
    <w:bookmarkEnd w:id="3"/>
    <w:p w14:paraId="0E3226C3" w14:textId="77777777" w:rsidR="00C70BFF" w:rsidRPr="00C70BFF" w:rsidRDefault="00C70BFF" w:rsidP="002D2C9B">
      <w:pPr>
        <w:numPr>
          <w:ilvl w:val="0"/>
          <w:numId w:val="15"/>
        </w:numPr>
        <w:spacing w:after="0" w:line="360" w:lineRule="auto"/>
        <w:ind w:hanging="357"/>
        <w:rPr>
          <w:rFonts w:ascii="Times New Roman" w:hAnsi="Times New Roman" w:cs="Times New Roman"/>
          <w:b/>
          <w:bCs/>
        </w:rPr>
      </w:pPr>
      <w:r w:rsidRPr="00C70BFF">
        <w:rPr>
          <w:rFonts w:ascii="Times New Roman" w:hAnsi="Times New Roman" w:cs="Times New Roman"/>
        </w:rPr>
        <w:t xml:space="preserve">the National Association of Testing Authorities, Australia. </w:t>
      </w:r>
    </w:p>
    <w:p w14:paraId="3505B55F" w14:textId="60A1158F" w:rsidR="00C70BFF" w:rsidRPr="00C70BFF" w:rsidRDefault="00C70BFF" w:rsidP="00752394">
      <w:pPr>
        <w:spacing w:before="200" w:line="360" w:lineRule="auto"/>
        <w:rPr>
          <w:rFonts w:ascii="Times New Roman" w:hAnsi="Times New Roman" w:cs="Times New Roman"/>
        </w:rPr>
      </w:pPr>
      <w:r w:rsidRPr="00C70BFF">
        <w:rPr>
          <w:rFonts w:ascii="Times New Roman" w:hAnsi="Times New Roman" w:cs="Times New Roman"/>
        </w:rPr>
        <w:t>Feedback received on the exposure draft of the 2024 Regulations was generally supportive, and was relatively minor and technical in nature, covering various topics, including arbitration, parentage testing, prescribed state and territory laws, and overseas maintenance orders. This feedback has been addressed in the 2024 Regulations.</w:t>
      </w:r>
    </w:p>
    <w:p w14:paraId="2178C5EA" w14:textId="483EEB18" w:rsidR="007A2C8B" w:rsidRPr="007A2C8B" w:rsidRDefault="007A2C8B" w:rsidP="00857702">
      <w:pPr>
        <w:keepNext/>
        <w:spacing w:line="360" w:lineRule="auto"/>
        <w:rPr>
          <w:rFonts w:ascii="Times New Roman" w:hAnsi="Times New Roman" w:cs="Times New Roman"/>
          <w:b/>
          <w:bCs/>
          <w:caps/>
          <w:sz w:val="24"/>
          <w:szCs w:val="24"/>
        </w:rPr>
      </w:pPr>
      <w:r w:rsidRPr="007A2C8B">
        <w:rPr>
          <w:rFonts w:ascii="Times New Roman" w:hAnsi="Times New Roman" w:cs="Times New Roman"/>
          <w:b/>
          <w:bCs/>
          <w:caps/>
          <w:sz w:val="24"/>
          <w:szCs w:val="24"/>
        </w:rPr>
        <w:lastRenderedPageBreak/>
        <w:t>Impact analysis</w:t>
      </w:r>
    </w:p>
    <w:p w14:paraId="45DBAB4A" w14:textId="0E7A3DB5" w:rsidR="007A2C8B" w:rsidRPr="007A2C8B" w:rsidRDefault="007A2C8B" w:rsidP="797FDF2D">
      <w:pPr>
        <w:spacing w:line="360" w:lineRule="auto"/>
        <w:rPr>
          <w:rFonts w:ascii="Times New Roman" w:hAnsi="Times New Roman" w:cs="Times New Roman"/>
          <w:bCs/>
        </w:rPr>
      </w:pPr>
      <w:r>
        <w:rPr>
          <w:rFonts w:ascii="Times New Roman" w:hAnsi="Times New Roman" w:cs="Times New Roman"/>
          <w:bCs/>
        </w:rPr>
        <w:t xml:space="preserve">The Office of Impact Analysis has confirmed that no impact analysis is required </w:t>
      </w:r>
      <w:r w:rsidRPr="007A2C8B">
        <w:rPr>
          <w:rFonts w:ascii="Times New Roman" w:hAnsi="Times New Roman" w:cs="Times New Roman"/>
          <w:bCs/>
        </w:rPr>
        <w:t>(OIA24-08312)</w:t>
      </w:r>
      <w:r>
        <w:rPr>
          <w:rFonts w:ascii="Times New Roman" w:hAnsi="Times New Roman" w:cs="Times New Roman"/>
          <w:bCs/>
        </w:rPr>
        <w:t>.</w:t>
      </w:r>
    </w:p>
    <w:p w14:paraId="09BFDCE7" w14:textId="77777777" w:rsidR="008B2955" w:rsidRPr="00A42F5D" w:rsidRDefault="797FDF2D" w:rsidP="797FDF2D">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Statement of Compatibility with Human Rights</w:t>
      </w:r>
    </w:p>
    <w:p w14:paraId="75CB62EC" w14:textId="75E8D3D5" w:rsidR="00B54344" w:rsidRPr="001C436B" w:rsidRDefault="00B54344" w:rsidP="001C436B">
      <w:pPr>
        <w:spacing w:before="120" w:after="240" w:line="360" w:lineRule="auto"/>
        <w:rPr>
          <w:rFonts w:ascii="Times New Roman" w:hAnsi="Times New Roman"/>
          <w:szCs w:val="24"/>
        </w:rPr>
      </w:pPr>
      <w:r w:rsidRPr="001C436B">
        <w:rPr>
          <w:rFonts w:ascii="Times New Roman" w:hAnsi="Times New Roman"/>
          <w:szCs w:val="24"/>
        </w:rPr>
        <w:t xml:space="preserve">This Disallowable Legislative Instrument is compatible with human rights as it does not raise any human rights issues. A Statement of Compatibility with Human Rights is set out in </w:t>
      </w:r>
      <w:r w:rsidRPr="001C436B">
        <w:rPr>
          <w:rFonts w:ascii="Times New Roman" w:hAnsi="Times New Roman"/>
          <w:b/>
          <w:szCs w:val="24"/>
        </w:rPr>
        <w:t>Attachment A</w:t>
      </w:r>
      <w:r w:rsidRPr="001C436B">
        <w:rPr>
          <w:rFonts w:ascii="Times New Roman" w:hAnsi="Times New Roman"/>
          <w:szCs w:val="24"/>
        </w:rPr>
        <w:t>.</w:t>
      </w:r>
    </w:p>
    <w:p w14:paraId="09BFDCEB" w14:textId="79C4E7D3" w:rsidR="009B6322" w:rsidRPr="00A42F5D" w:rsidRDefault="00A21D57" w:rsidP="001C436B">
      <w:pPr>
        <w:spacing w:line="360" w:lineRule="auto"/>
        <w:rPr>
          <w:rFonts w:ascii="Times New Roman" w:hAnsi="Times New Roman" w:cs="Times New Roman"/>
        </w:rPr>
      </w:pPr>
      <w:r w:rsidRPr="001C436B">
        <w:rPr>
          <w:rFonts w:ascii="Times New Roman" w:hAnsi="Times New Roman" w:cs="Times New Roman"/>
        </w:rPr>
        <w:t xml:space="preserve">The instrument is a legislative instrument for the purposes of the </w:t>
      </w:r>
      <w:r w:rsidRPr="001C436B">
        <w:rPr>
          <w:rFonts w:ascii="Times New Roman" w:hAnsi="Times New Roman" w:cs="Times New Roman"/>
          <w:i/>
        </w:rPr>
        <w:t xml:space="preserve">Legislation Act 2003 </w:t>
      </w:r>
      <w:r w:rsidRPr="001C436B">
        <w:rPr>
          <w:rFonts w:ascii="Times New Roman" w:hAnsi="Times New Roman" w:cs="Times New Roman"/>
        </w:rPr>
        <w:t>(</w:t>
      </w:r>
      <w:proofErr w:type="spellStart"/>
      <w:r w:rsidRPr="001C436B">
        <w:rPr>
          <w:rFonts w:ascii="Times New Roman" w:hAnsi="Times New Roman" w:cs="Times New Roman"/>
        </w:rPr>
        <w:t>Cth</w:t>
      </w:r>
      <w:proofErr w:type="spellEnd"/>
      <w:r w:rsidRPr="001C436B">
        <w:rPr>
          <w:rFonts w:ascii="Times New Roman" w:hAnsi="Times New Roman" w:cs="Times New Roman"/>
        </w:rPr>
        <w:t xml:space="preserve">). Details of the instrument are set out in </w:t>
      </w:r>
      <w:r w:rsidRPr="001C436B">
        <w:rPr>
          <w:rFonts w:ascii="Times New Roman" w:hAnsi="Times New Roman" w:cs="Times New Roman"/>
          <w:b/>
        </w:rPr>
        <w:t>Attachment B</w:t>
      </w:r>
      <w:r w:rsidRPr="001C436B">
        <w:rPr>
          <w:rFonts w:ascii="Times New Roman" w:hAnsi="Times New Roman" w:cs="Times New Roman"/>
        </w:rPr>
        <w:t>.</w:t>
      </w:r>
      <w:r w:rsidR="009B6322" w:rsidRPr="00A42F5D">
        <w:rPr>
          <w:rFonts w:ascii="Times New Roman" w:hAnsi="Times New Roman" w:cs="Times New Roman"/>
        </w:rPr>
        <w:br w:type="page"/>
      </w:r>
    </w:p>
    <w:p w14:paraId="121F2E18" w14:textId="77777777" w:rsidR="009C0BE2" w:rsidRPr="00C719E8" w:rsidRDefault="797FDF2D" w:rsidP="00C719E8">
      <w:pPr>
        <w:spacing w:line="360" w:lineRule="auto"/>
        <w:jc w:val="right"/>
        <w:rPr>
          <w:rFonts w:ascii="Times New Roman" w:hAnsi="Times New Roman" w:cs="Times New Roman"/>
          <w:b/>
          <w:bCs/>
          <w:sz w:val="24"/>
          <w:szCs w:val="24"/>
          <w:u w:val="single"/>
        </w:rPr>
      </w:pPr>
      <w:r w:rsidRPr="00C719E8">
        <w:rPr>
          <w:rFonts w:ascii="Times New Roman" w:hAnsi="Times New Roman" w:cs="Times New Roman"/>
          <w:b/>
          <w:bCs/>
          <w:sz w:val="24"/>
          <w:szCs w:val="24"/>
          <w:u w:val="single"/>
        </w:rPr>
        <w:lastRenderedPageBreak/>
        <w:t>Attachment A</w:t>
      </w:r>
    </w:p>
    <w:p w14:paraId="0D54C770" w14:textId="77777777" w:rsidR="00B54344" w:rsidRPr="001C436B" w:rsidRDefault="00B54344" w:rsidP="00B54344">
      <w:pPr>
        <w:spacing w:before="360" w:after="120" w:line="240" w:lineRule="auto"/>
        <w:jc w:val="center"/>
        <w:outlineLvl w:val="1"/>
        <w:rPr>
          <w:rFonts w:ascii="Times New Roman" w:hAnsi="Times New Roman"/>
          <w:b/>
          <w:sz w:val="24"/>
          <w:szCs w:val="24"/>
        </w:rPr>
      </w:pPr>
      <w:r w:rsidRPr="001C436B">
        <w:rPr>
          <w:rFonts w:ascii="Times New Roman" w:hAnsi="Times New Roman"/>
          <w:b/>
          <w:sz w:val="24"/>
          <w:szCs w:val="24"/>
        </w:rPr>
        <w:t>Statement of Compatibility with Human Rights</w:t>
      </w:r>
    </w:p>
    <w:p w14:paraId="0873DA46" w14:textId="77777777" w:rsidR="00B54344" w:rsidRPr="001C436B" w:rsidRDefault="00B54344" w:rsidP="00B54344">
      <w:pPr>
        <w:spacing w:before="120" w:after="120" w:line="240" w:lineRule="auto"/>
        <w:jc w:val="center"/>
        <w:rPr>
          <w:rFonts w:ascii="Times New Roman" w:hAnsi="Times New Roman"/>
          <w:szCs w:val="24"/>
        </w:rPr>
      </w:pPr>
      <w:r w:rsidRPr="001C436B">
        <w:rPr>
          <w:rFonts w:ascii="Times New Roman" w:hAnsi="Times New Roman"/>
          <w:i/>
          <w:szCs w:val="24"/>
        </w:rPr>
        <w:t>Prepared in accordance with Part 3 of the Human Rights (Parliamentary Scrutiny) Act 2011</w:t>
      </w:r>
    </w:p>
    <w:p w14:paraId="5F8966F3" w14:textId="77777777" w:rsidR="00B54344" w:rsidRPr="001C436B" w:rsidRDefault="00B54344" w:rsidP="00B54344">
      <w:pPr>
        <w:spacing w:before="120" w:after="120" w:line="240" w:lineRule="auto"/>
        <w:jc w:val="center"/>
        <w:rPr>
          <w:rFonts w:ascii="Times New Roman" w:hAnsi="Times New Roman"/>
          <w:szCs w:val="24"/>
        </w:rPr>
      </w:pPr>
    </w:p>
    <w:p w14:paraId="4103286E" w14:textId="77777777" w:rsidR="00752394" w:rsidRDefault="00F3029D" w:rsidP="00B54344">
      <w:pPr>
        <w:spacing w:before="120" w:after="120" w:line="240" w:lineRule="auto"/>
        <w:jc w:val="center"/>
        <w:rPr>
          <w:rFonts w:ascii="Times New Roman" w:hAnsi="Times New Roman"/>
          <w:b/>
          <w:sz w:val="24"/>
          <w:szCs w:val="24"/>
        </w:rPr>
      </w:pPr>
      <w:r w:rsidRPr="00F3029D">
        <w:rPr>
          <w:rFonts w:ascii="Times New Roman" w:hAnsi="Times New Roman"/>
          <w:b/>
          <w:sz w:val="24"/>
          <w:szCs w:val="24"/>
        </w:rPr>
        <w:t xml:space="preserve">Family Law Legislation Amendment (Consequential Amendments) Regulations 2024 </w:t>
      </w:r>
    </w:p>
    <w:p w14:paraId="5CAAD320" w14:textId="1780BDEF" w:rsidR="00B54344" w:rsidRPr="001C436B" w:rsidRDefault="00B54344" w:rsidP="00B54344">
      <w:pPr>
        <w:spacing w:before="120" w:after="120" w:line="240" w:lineRule="auto"/>
        <w:jc w:val="center"/>
        <w:rPr>
          <w:rFonts w:ascii="Times New Roman" w:hAnsi="Times New Roman"/>
          <w:szCs w:val="24"/>
        </w:rPr>
      </w:pPr>
      <w:r w:rsidRPr="001C436B">
        <w:rPr>
          <w:rFonts w:ascii="Times New Roman" w:hAnsi="Times New Roman"/>
          <w:szCs w:val="24"/>
        </w:rPr>
        <w:t xml:space="preserve">This Disallowable Legislative Instrument is compatible with the human rights and freedoms recognised or declared in the international instruments listed in section 3 of the </w:t>
      </w:r>
      <w:r w:rsidRPr="001C436B">
        <w:rPr>
          <w:rFonts w:ascii="Times New Roman" w:hAnsi="Times New Roman"/>
          <w:i/>
          <w:szCs w:val="24"/>
        </w:rPr>
        <w:t>Human Rights (Parliamentary Scrutiny) Act 2011</w:t>
      </w:r>
      <w:r w:rsidRPr="001C436B">
        <w:rPr>
          <w:rFonts w:ascii="Times New Roman" w:hAnsi="Times New Roman"/>
          <w:szCs w:val="24"/>
        </w:rPr>
        <w:t>.</w:t>
      </w:r>
    </w:p>
    <w:p w14:paraId="20725515" w14:textId="77777777" w:rsidR="00B54344" w:rsidRPr="001C436B" w:rsidRDefault="00B54344" w:rsidP="00B54344">
      <w:pPr>
        <w:spacing w:before="120" w:after="120" w:line="240" w:lineRule="auto"/>
        <w:rPr>
          <w:rFonts w:ascii="Times New Roman" w:hAnsi="Times New Roman"/>
          <w:szCs w:val="24"/>
        </w:rPr>
      </w:pPr>
    </w:p>
    <w:p w14:paraId="5D36D407" w14:textId="2E6DECA2" w:rsidR="00B54344" w:rsidRPr="00821759" w:rsidRDefault="00B54344" w:rsidP="00B54344">
      <w:pPr>
        <w:spacing w:before="120" w:after="120" w:line="240" w:lineRule="auto"/>
        <w:jc w:val="both"/>
        <w:outlineLvl w:val="2"/>
        <w:rPr>
          <w:rFonts w:ascii="Times New Roman" w:hAnsi="Times New Roman"/>
          <w:b/>
          <w:sz w:val="24"/>
          <w:szCs w:val="24"/>
        </w:rPr>
      </w:pPr>
      <w:r w:rsidRPr="00821759">
        <w:rPr>
          <w:rFonts w:ascii="Times New Roman" w:hAnsi="Times New Roman"/>
          <w:b/>
          <w:sz w:val="24"/>
          <w:szCs w:val="24"/>
        </w:rPr>
        <w:t>Overview of the Disallowable Legislative Instrument</w:t>
      </w:r>
    </w:p>
    <w:p w14:paraId="487A654E" w14:textId="3132DD0D" w:rsidR="00821759" w:rsidRPr="00F3029D" w:rsidRDefault="00821759" w:rsidP="00F3029D">
      <w:pPr>
        <w:spacing w:line="360" w:lineRule="auto"/>
        <w:rPr>
          <w:rFonts w:ascii="Times New Roman" w:hAnsi="Times New Roman" w:cs="Times New Roman"/>
          <w:i/>
          <w:szCs w:val="24"/>
        </w:rPr>
      </w:pPr>
      <w:r w:rsidRPr="001C436B">
        <w:rPr>
          <w:rFonts w:ascii="Times New Roman" w:hAnsi="Times New Roman" w:cs="Times New Roman"/>
          <w:szCs w:val="24"/>
        </w:rPr>
        <w:t xml:space="preserve">The Regulations repeal the 1984 Regulations, which are due to sunset on 1 April 2025. The Regulations omit and replace references to the 1984 Regulations with Family Law Regulations 2024, in the following Commonwealth </w:t>
      </w:r>
      <w:r w:rsidR="00F3029D" w:rsidRPr="00F3029D">
        <w:rPr>
          <w:rFonts w:ascii="Times New Roman" w:hAnsi="Times New Roman" w:cs="Times New Roman"/>
          <w:i/>
          <w:szCs w:val="24"/>
        </w:rPr>
        <w:t>Family Law (Fees) Regulations 2022</w:t>
      </w:r>
      <w:r w:rsidR="00F3029D">
        <w:rPr>
          <w:rFonts w:ascii="Times New Roman" w:hAnsi="Times New Roman" w:cs="Times New Roman"/>
          <w:i/>
          <w:szCs w:val="24"/>
        </w:rPr>
        <w:t xml:space="preserve"> </w:t>
      </w:r>
      <w:r w:rsidRPr="001C436B">
        <w:rPr>
          <w:rFonts w:ascii="Times New Roman" w:hAnsi="Times New Roman" w:cs="Times New Roman"/>
          <w:szCs w:val="24"/>
        </w:rPr>
        <w:t>made under the Family Law Act</w:t>
      </w:r>
      <w:r w:rsidR="00F3029D">
        <w:rPr>
          <w:rFonts w:ascii="Times New Roman" w:hAnsi="Times New Roman" w:cs="Times New Roman"/>
          <w:szCs w:val="24"/>
        </w:rPr>
        <w:t>.</w:t>
      </w:r>
    </w:p>
    <w:p w14:paraId="5982B93E" w14:textId="3588DA35" w:rsidR="00B54344" w:rsidRPr="001C436B" w:rsidRDefault="00821759" w:rsidP="001C436B">
      <w:pPr>
        <w:spacing w:line="360" w:lineRule="auto"/>
        <w:rPr>
          <w:rFonts w:ascii="Times New Roman" w:hAnsi="Times New Roman" w:cs="Times New Roman"/>
          <w:szCs w:val="24"/>
        </w:rPr>
      </w:pPr>
      <w:r w:rsidRPr="001C436B">
        <w:rPr>
          <w:rFonts w:ascii="Times New Roman" w:hAnsi="Times New Roman" w:cs="Times New Roman"/>
          <w:szCs w:val="24"/>
        </w:rPr>
        <w:t xml:space="preserve">The purpose of the Regulations </w:t>
      </w:r>
      <w:r w:rsidR="00F574B1">
        <w:rPr>
          <w:rFonts w:ascii="Times New Roman" w:hAnsi="Times New Roman" w:cs="Times New Roman"/>
          <w:szCs w:val="24"/>
        </w:rPr>
        <w:t>is</w:t>
      </w:r>
      <w:r w:rsidRPr="001C436B">
        <w:rPr>
          <w:rFonts w:ascii="Times New Roman" w:hAnsi="Times New Roman" w:cs="Times New Roman"/>
          <w:szCs w:val="24"/>
        </w:rPr>
        <w:t xml:space="preserve"> to facilitate a smooth repeal and commencement of the remade Family Law Regulations 2024 and update references to the 1984 Regulations in Commonwealth Regulations made under the Family Law Act. </w:t>
      </w:r>
    </w:p>
    <w:p w14:paraId="07095C4A" w14:textId="77777777" w:rsidR="00B54344" w:rsidRPr="00821759" w:rsidRDefault="00B54344" w:rsidP="00B54344">
      <w:pPr>
        <w:spacing w:before="120" w:after="120" w:line="240" w:lineRule="auto"/>
        <w:jc w:val="both"/>
        <w:outlineLvl w:val="2"/>
        <w:rPr>
          <w:rFonts w:ascii="Times New Roman" w:hAnsi="Times New Roman"/>
          <w:b/>
          <w:sz w:val="24"/>
          <w:szCs w:val="24"/>
        </w:rPr>
      </w:pPr>
      <w:r w:rsidRPr="00821759">
        <w:rPr>
          <w:rFonts w:ascii="Times New Roman" w:hAnsi="Times New Roman"/>
          <w:b/>
          <w:sz w:val="24"/>
          <w:szCs w:val="24"/>
        </w:rPr>
        <w:t>Human rights implications</w:t>
      </w:r>
    </w:p>
    <w:p w14:paraId="0D4281A2" w14:textId="2988D9E1" w:rsidR="00B54344" w:rsidRPr="001C436B" w:rsidRDefault="00B54344" w:rsidP="003542A3">
      <w:pPr>
        <w:spacing w:before="120" w:after="120" w:line="360" w:lineRule="auto"/>
        <w:rPr>
          <w:rFonts w:ascii="Times New Roman" w:hAnsi="Times New Roman"/>
          <w:szCs w:val="24"/>
        </w:rPr>
      </w:pPr>
      <w:r w:rsidRPr="001C436B">
        <w:rPr>
          <w:rFonts w:ascii="Times New Roman" w:hAnsi="Times New Roman"/>
          <w:szCs w:val="24"/>
        </w:rPr>
        <w:t xml:space="preserve">This Disallowable Legislative Instrument </w:t>
      </w:r>
      <w:r w:rsidR="00CB1088">
        <w:rPr>
          <w:rFonts w:ascii="Times New Roman" w:hAnsi="Times New Roman"/>
          <w:szCs w:val="24"/>
        </w:rPr>
        <w:t xml:space="preserve">is technical in nature only and </w:t>
      </w:r>
      <w:r w:rsidRPr="001C436B">
        <w:rPr>
          <w:rFonts w:ascii="Times New Roman" w:hAnsi="Times New Roman"/>
          <w:szCs w:val="24"/>
        </w:rPr>
        <w:t>does not engage any of the applicable rights or freedoms.</w:t>
      </w:r>
    </w:p>
    <w:p w14:paraId="4B73DA53" w14:textId="77777777" w:rsidR="00B54344" w:rsidRPr="00821759" w:rsidRDefault="00B54344" w:rsidP="00B54344">
      <w:pPr>
        <w:spacing w:before="120" w:after="120" w:line="240" w:lineRule="auto"/>
        <w:jc w:val="both"/>
        <w:outlineLvl w:val="2"/>
        <w:rPr>
          <w:rFonts w:ascii="Times New Roman" w:hAnsi="Times New Roman"/>
          <w:b/>
          <w:sz w:val="24"/>
          <w:szCs w:val="24"/>
        </w:rPr>
      </w:pPr>
      <w:r w:rsidRPr="00821759">
        <w:rPr>
          <w:rFonts w:ascii="Times New Roman" w:hAnsi="Times New Roman"/>
          <w:b/>
          <w:sz w:val="24"/>
          <w:szCs w:val="24"/>
        </w:rPr>
        <w:t>Conclusion</w:t>
      </w:r>
    </w:p>
    <w:p w14:paraId="368B7E04" w14:textId="77777777" w:rsidR="00B54344" w:rsidRPr="001C436B" w:rsidRDefault="00B54344" w:rsidP="00896A28">
      <w:pPr>
        <w:spacing w:before="120" w:after="120" w:line="360" w:lineRule="auto"/>
        <w:rPr>
          <w:rFonts w:ascii="Times New Roman" w:hAnsi="Times New Roman"/>
          <w:szCs w:val="24"/>
        </w:rPr>
      </w:pPr>
      <w:r w:rsidRPr="001C436B">
        <w:rPr>
          <w:rFonts w:ascii="Times New Roman" w:hAnsi="Times New Roman"/>
          <w:szCs w:val="24"/>
        </w:rPr>
        <w:t>This Disallowable Legislative Instrument is compatible with human rights as it does not raise any human rights issues.</w:t>
      </w:r>
    </w:p>
    <w:p w14:paraId="329EB7D5" w14:textId="746FDF41" w:rsidR="0097015D" w:rsidRDefault="0097015D" w:rsidP="00896A28">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0E1E14B" w14:textId="028CF00A" w:rsidR="0097015D" w:rsidRPr="00C719E8" w:rsidRDefault="0097015D" w:rsidP="00C719E8">
      <w:pPr>
        <w:spacing w:line="360" w:lineRule="auto"/>
        <w:jc w:val="right"/>
        <w:rPr>
          <w:rFonts w:ascii="Times New Roman" w:hAnsi="Times New Roman" w:cs="Times New Roman"/>
          <w:b/>
          <w:bCs/>
          <w:sz w:val="24"/>
          <w:szCs w:val="24"/>
          <w:u w:val="single"/>
        </w:rPr>
      </w:pPr>
      <w:r w:rsidRPr="00C719E8">
        <w:rPr>
          <w:rFonts w:ascii="Times New Roman" w:hAnsi="Times New Roman" w:cs="Times New Roman"/>
          <w:b/>
          <w:bCs/>
          <w:sz w:val="24"/>
          <w:szCs w:val="24"/>
          <w:u w:val="single"/>
        </w:rPr>
        <w:lastRenderedPageBreak/>
        <w:t>Attachment B</w:t>
      </w:r>
    </w:p>
    <w:p w14:paraId="35EF05D1" w14:textId="77777777" w:rsidR="00F3029D" w:rsidRDefault="002D2C9B" w:rsidP="00F3029D">
      <w:pPr>
        <w:spacing w:after="160" w:line="360" w:lineRule="auto"/>
        <w:rPr>
          <w:rFonts w:ascii="Times New Roman" w:eastAsia="Calibri" w:hAnsi="Times New Roman" w:cs="Times New Roman"/>
          <w:b/>
          <w:bCs/>
          <w:i/>
          <w:sz w:val="24"/>
          <w:szCs w:val="24"/>
          <w:u w:val="single"/>
        </w:rPr>
      </w:pPr>
      <w:r w:rsidRPr="002D2C9B">
        <w:rPr>
          <w:rFonts w:ascii="Times New Roman" w:eastAsia="Calibri" w:hAnsi="Times New Roman" w:cs="Times New Roman"/>
          <w:b/>
          <w:bCs/>
          <w:sz w:val="24"/>
          <w:szCs w:val="24"/>
          <w:u w:val="single"/>
        </w:rPr>
        <w:t xml:space="preserve">Details of the proposed </w:t>
      </w:r>
      <w:bookmarkStart w:id="4" w:name="_Hlk179292469"/>
      <w:r w:rsidR="00F3029D" w:rsidRPr="00F3029D">
        <w:rPr>
          <w:rFonts w:ascii="Times New Roman" w:eastAsia="Calibri" w:hAnsi="Times New Roman" w:cs="Times New Roman"/>
          <w:b/>
          <w:bCs/>
          <w:i/>
          <w:sz w:val="24"/>
          <w:szCs w:val="24"/>
          <w:u w:val="single"/>
        </w:rPr>
        <w:t xml:space="preserve">Family Law Legislation Amendment (Consequential Amendments) Regulations 2024 </w:t>
      </w:r>
    </w:p>
    <w:p w14:paraId="2A3F0024" w14:textId="1FDE805C" w:rsidR="002D2C9B" w:rsidRPr="002D2C9B" w:rsidRDefault="002D2C9B" w:rsidP="00F3029D">
      <w:pPr>
        <w:spacing w:after="160" w:line="360" w:lineRule="auto"/>
        <w:rPr>
          <w:rFonts w:ascii="Times New Roman" w:eastAsia="Calibri" w:hAnsi="Times New Roman" w:cs="Times New Roman"/>
          <w:bCs/>
          <w:sz w:val="24"/>
          <w:szCs w:val="24"/>
          <w:u w:val="single"/>
        </w:rPr>
      </w:pPr>
      <w:r w:rsidRPr="002D2C9B">
        <w:rPr>
          <w:rFonts w:ascii="Times New Roman" w:eastAsia="Calibri" w:hAnsi="Times New Roman" w:cs="Times New Roman"/>
          <w:bCs/>
          <w:sz w:val="24"/>
          <w:szCs w:val="24"/>
          <w:u w:val="single"/>
        </w:rPr>
        <w:t>Section 1 – Name of Regulations</w:t>
      </w:r>
    </w:p>
    <w:p w14:paraId="4DF52883" w14:textId="538E264C" w:rsidR="002D2C9B" w:rsidRPr="002D2C9B" w:rsidRDefault="002D2C9B" w:rsidP="002D2C9B">
      <w:pPr>
        <w:spacing w:after="160" w:line="240" w:lineRule="auto"/>
        <w:rPr>
          <w:rFonts w:ascii="Times New Roman" w:eastAsia="Calibri" w:hAnsi="Times New Roman" w:cs="Times New Roman"/>
          <w:sz w:val="24"/>
          <w:szCs w:val="24"/>
        </w:rPr>
      </w:pPr>
      <w:r w:rsidRPr="002D2C9B">
        <w:rPr>
          <w:rFonts w:ascii="Times New Roman" w:eastAsia="Calibri" w:hAnsi="Times New Roman" w:cs="Times New Roman"/>
          <w:sz w:val="24"/>
          <w:szCs w:val="24"/>
        </w:rPr>
        <w:t>This section provide</w:t>
      </w:r>
      <w:r w:rsidR="00F3029D">
        <w:rPr>
          <w:rFonts w:ascii="Times New Roman" w:eastAsia="Calibri" w:hAnsi="Times New Roman" w:cs="Times New Roman"/>
          <w:sz w:val="24"/>
          <w:szCs w:val="24"/>
        </w:rPr>
        <w:t>s</w:t>
      </w:r>
      <w:r w:rsidRPr="002D2C9B">
        <w:rPr>
          <w:rFonts w:ascii="Times New Roman" w:eastAsia="Calibri" w:hAnsi="Times New Roman" w:cs="Times New Roman"/>
          <w:sz w:val="24"/>
          <w:szCs w:val="24"/>
        </w:rPr>
        <w:t xml:space="preserve"> that the title of the Regulations is the </w:t>
      </w:r>
      <w:r w:rsidR="00F3029D" w:rsidRPr="00F3029D">
        <w:rPr>
          <w:rFonts w:ascii="Times New Roman" w:eastAsia="Calibri" w:hAnsi="Times New Roman" w:cs="Times New Roman"/>
          <w:i/>
          <w:sz w:val="24"/>
          <w:szCs w:val="24"/>
        </w:rPr>
        <w:t>Family Law Legislation Amendment (Consequential Amendments) Regulations 2024</w:t>
      </w:r>
      <w:r w:rsidR="00F3029D">
        <w:rPr>
          <w:rFonts w:ascii="Times New Roman" w:eastAsia="Calibri" w:hAnsi="Times New Roman" w:cs="Times New Roman"/>
          <w:i/>
          <w:sz w:val="24"/>
          <w:szCs w:val="24"/>
        </w:rPr>
        <w:t>.</w:t>
      </w:r>
    </w:p>
    <w:p w14:paraId="512015B6" w14:textId="77777777" w:rsidR="002D2C9B" w:rsidRPr="002D2C9B" w:rsidRDefault="002D2C9B" w:rsidP="002D2C9B">
      <w:pPr>
        <w:spacing w:after="160" w:line="240" w:lineRule="auto"/>
        <w:rPr>
          <w:rFonts w:ascii="Times New Roman" w:eastAsia="Calibri" w:hAnsi="Times New Roman" w:cs="Times New Roman"/>
          <w:bCs/>
          <w:sz w:val="24"/>
          <w:szCs w:val="24"/>
          <w:u w:val="single"/>
        </w:rPr>
      </w:pPr>
      <w:r w:rsidRPr="002D2C9B">
        <w:rPr>
          <w:rFonts w:ascii="Times New Roman" w:eastAsia="Calibri" w:hAnsi="Times New Roman" w:cs="Times New Roman"/>
          <w:bCs/>
          <w:sz w:val="24"/>
          <w:szCs w:val="24"/>
          <w:u w:val="single"/>
        </w:rPr>
        <w:t>Section 2 – Commencement</w:t>
      </w:r>
    </w:p>
    <w:p w14:paraId="56EDC514" w14:textId="0D53141F" w:rsidR="002D2C9B" w:rsidRPr="002D2C9B" w:rsidRDefault="002D2C9B" w:rsidP="002D2C9B">
      <w:pPr>
        <w:spacing w:after="160" w:line="240" w:lineRule="auto"/>
        <w:rPr>
          <w:rFonts w:ascii="Times New Roman" w:eastAsia="Calibri" w:hAnsi="Times New Roman" w:cs="Times New Roman"/>
          <w:sz w:val="24"/>
          <w:szCs w:val="24"/>
        </w:rPr>
      </w:pPr>
      <w:r w:rsidRPr="002D2C9B">
        <w:rPr>
          <w:rFonts w:ascii="Times New Roman" w:eastAsia="Calibri" w:hAnsi="Times New Roman" w:cs="Times New Roman"/>
          <w:sz w:val="24"/>
          <w:szCs w:val="24"/>
        </w:rPr>
        <w:t>This section provide</w:t>
      </w:r>
      <w:r w:rsidR="00F3029D">
        <w:rPr>
          <w:rFonts w:ascii="Times New Roman" w:eastAsia="Calibri" w:hAnsi="Times New Roman" w:cs="Times New Roman"/>
          <w:sz w:val="24"/>
          <w:szCs w:val="24"/>
        </w:rPr>
        <w:t>s</w:t>
      </w:r>
      <w:r w:rsidRPr="002D2C9B">
        <w:rPr>
          <w:rFonts w:ascii="Times New Roman" w:eastAsia="Calibri" w:hAnsi="Times New Roman" w:cs="Times New Roman"/>
          <w:sz w:val="24"/>
          <w:szCs w:val="24"/>
        </w:rPr>
        <w:t xml:space="preserve"> that the proposed instrument </w:t>
      </w:r>
      <w:r w:rsidR="00F3029D">
        <w:rPr>
          <w:rFonts w:ascii="Times New Roman" w:eastAsia="Calibri" w:hAnsi="Times New Roman" w:cs="Times New Roman"/>
          <w:sz w:val="24"/>
          <w:szCs w:val="24"/>
        </w:rPr>
        <w:t xml:space="preserve">will </w:t>
      </w:r>
      <w:r w:rsidRPr="002D2C9B">
        <w:rPr>
          <w:rFonts w:ascii="Times New Roman" w:eastAsia="Calibri" w:hAnsi="Times New Roman" w:cs="Times New Roman"/>
          <w:sz w:val="24"/>
          <w:szCs w:val="24"/>
        </w:rPr>
        <w:t xml:space="preserve">commence on the day that the </w:t>
      </w:r>
      <w:r w:rsidRPr="002D2C9B">
        <w:rPr>
          <w:rFonts w:ascii="Times New Roman" w:eastAsia="Calibri" w:hAnsi="Times New Roman" w:cs="Times New Roman"/>
          <w:i/>
          <w:sz w:val="24"/>
          <w:szCs w:val="24"/>
        </w:rPr>
        <w:t>Family Law Regulations 2024</w:t>
      </w:r>
      <w:r w:rsidRPr="002D2C9B">
        <w:rPr>
          <w:rFonts w:ascii="Times New Roman" w:eastAsia="Calibri" w:hAnsi="Times New Roman" w:cs="Times New Roman"/>
          <w:sz w:val="24"/>
          <w:szCs w:val="24"/>
        </w:rPr>
        <w:t xml:space="preserve"> commence. </w:t>
      </w:r>
    </w:p>
    <w:p w14:paraId="7AAE618F" w14:textId="77777777" w:rsidR="002D2C9B" w:rsidRPr="002D2C9B" w:rsidRDefault="002D2C9B" w:rsidP="002D2C9B">
      <w:pPr>
        <w:spacing w:after="160" w:line="240" w:lineRule="auto"/>
        <w:rPr>
          <w:rFonts w:ascii="Times New Roman" w:eastAsia="Calibri" w:hAnsi="Times New Roman" w:cs="Times New Roman"/>
          <w:bCs/>
          <w:sz w:val="24"/>
          <w:szCs w:val="24"/>
          <w:u w:val="single"/>
        </w:rPr>
      </w:pPr>
      <w:r w:rsidRPr="002D2C9B">
        <w:rPr>
          <w:rFonts w:ascii="Times New Roman" w:eastAsia="Calibri" w:hAnsi="Times New Roman" w:cs="Times New Roman"/>
          <w:bCs/>
          <w:sz w:val="24"/>
          <w:szCs w:val="24"/>
          <w:u w:val="single"/>
        </w:rPr>
        <w:t>Section 3 – Authority</w:t>
      </w:r>
    </w:p>
    <w:p w14:paraId="0EE1AE3A" w14:textId="3778ABCD" w:rsidR="002D2C9B" w:rsidRPr="002D2C9B" w:rsidRDefault="002D2C9B" w:rsidP="002D2C9B">
      <w:pPr>
        <w:spacing w:after="160" w:line="240" w:lineRule="auto"/>
        <w:rPr>
          <w:rFonts w:ascii="Times New Roman" w:eastAsia="Calibri" w:hAnsi="Times New Roman" w:cs="Times New Roman"/>
          <w:i/>
          <w:sz w:val="24"/>
          <w:szCs w:val="24"/>
        </w:rPr>
      </w:pPr>
      <w:r w:rsidRPr="002D2C9B">
        <w:rPr>
          <w:rFonts w:ascii="Times New Roman" w:eastAsia="Calibri" w:hAnsi="Times New Roman" w:cs="Times New Roman"/>
          <w:bCs/>
          <w:sz w:val="24"/>
          <w:szCs w:val="24"/>
        </w:rPr>
        <w:t>This section provide</w:t>
      </w:r>
      <w:r w:rsidR="00F3029D">
        <w:rPr>
          <w:rFonts w:ascii="Times New Roman" w:eastAsia="Calibri" w:hAnsi="Times New Roman" w:cs="Times New Roman"/>
          <w:bCs/>
          <w:sz w:val="24"/>
          <w:szCs w:val="24"/>
        </w:rPr>
        <w:t>s</w:t>
      </w:r>
      <w:r w:rsidRPr="002D2C9B">
        <w:rPr>
          <w:rFonts w:ascii="Times New Roman" w:eastAsia="Calibri" w:hAnsi="Times New Roman" w:cs="Times New Roman"/>
          <w:bCs/>
          <w:sz w:val="24"/>
          <w:szCs w:val="24"/>
        </w:rPr>
        <w:t xml:space="preserve"> that the proposed instrument is made under the </w:t>
      </w:r>
      <w:r w:rsidRPr="002D2C9B">
        <w:rPr>
          <w:rFonts w:ascii="Times New Roman" w:eastAsia="Calibri" w:hAnsi="Times New Roman" w:cs="Times New Roman"/>
          <w:bCs/>
          <w:i/>
          <w:sz w:val="24"/>
          <w:szCs w:val="24"/>
        </w:rPr>
        <w:t>Family Law Act 1975</w:t>
      </w:r>
      <w:r w:rsidRPr="002D2C9B">
        <w:rPr>
          <w:rFonts w:ascii="Times New Roman" w:eastAsia="Calibri" w:hAnsi="Times New Roman" w:cs="Times New Roman"/>
          <w:bCs/>
          <w:sz w:val="24"/>
          <w:szCs w:val="24"/>
        </w:rPr>
        <w:t xml:space="preserve"> and the </w:t>
      </w:r>
      <w:r w:rsidRPr="002D2C9B">
        <w:rPr>
          <w:rFonts w:ascii="Times New Roman" w:eastAsia="Calibri" w:hAnsi="Times New Roman" w:cs="Times New Roman"/>
          <w:i/>
          <w:sz w:val="24"/>
          <w:szCs w:val="24"/>
        </w:rPr>
        <w:t>Federal Circuit and Family Court of Australia Act 2021.</w:t>
      </w:r>
    </w:p>
    <w:p w14:paraId="02E5A38B" w14:textId="77777777" w:rsidR="002D2C9B" w:rsidRPr="002D2C9B" w:rsidRDefault="002D2C9B" w:rsidP="002D2C9B">
      <w:pPr>
        <w:spacing w:after="160" w:line="240" w:lineRule="auto"/>
        <w:rPr>
          <w:rFonts w:ascii="Times New Roman" w:eastAsia="Calibri" w:hAnsi="Times New Roman" w:cs="Times New Roman"/>
          <w:bCs/>
          <w:sz w:val="24"/>
          <w:szCs w:val="24"/>
          <w:u w:val="single"/>
        </w:rPr>
      </w:pPr>
      <w:r w:rsidRPr="002D2C9B">
        <w:rPr>
          <w:rFonts w:ascii="Times New Roman" w:eastAsia="Calibri" w:hAnsi="Times New Roman" w:cs="Times New Roman"/>
          <w:bCs/>
          <w:sz w:val="24"/>
          <w:szCs w:val="24"/>
          <w:u w:val="single"/>
        </w:rPr>
        <w:t>Section 4 – Schedules</w:t>
      </w:r>
    </w:p>
    <w:p w14:paraId="3EBFAF03" w14:textId="0B8442D2" w:rsidR="002D2C9B" w:rsidRPr="002D2C9B" w:rsidRDefault="002D2C9B" w:rsidP="002D2C9B">
      <w:pPr>
        <w:spacing w:after="160" w:line="240" w:lineRule="auto"/>
        <w:rPr>
          <w:rFonts w:ascii="Times New Roman" w:eastAsia="Calibri" w:hAnsi="Times New Roman" w:cs="Times New Roman"/>
          <w:bCs/>
          <w:sz w:val="24"/>
          <w:szCs w:val="24"/>
        </w:rPr>
      </w:pPr>
      <w:r w:rsidRPr="002D2C9B">
        <w:rPr>
          <w:rFonts w:ascii="Times New Roman" w:eastAsia="Calibri" w:hAnsi="Times New Roman" w:cs="Times New Roman"/>
          <w:bCs/>
          <w:sz w:val="24"/>
          <w:szCs w:val="24"/>
        </w:rPr>
        <w:t>This section provide</w:t>
      </w:r>
      <w:r w:rsidR="00F3029D">
        <w:rPr>
          <w:rFonts w:ascii="Times New Roman" w:eastAsia="Calibri" w:hAnsi="Times New Roman" w:cs="Times New Roman"/>
          <w:bCs/>
          <w:sz w:val="24"/>
          <w:szCs w:val="24"/>
        </w:rPr>
        <w:t>s</w:t>
      </w:r>
      <w:r w:rsidRPr="002D2C9B">
        <w:rPr>
          <w:rFonts w:ascii="Times New Roman" w:eastAsia="Calibri" w:hAnsi="Times New Roman" w:cs="Times New Roman"/>
          <w:bCs/>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  </w:t>
      </w:r>
    </w:p>
    <w:p w14:paraId="5AA9E3AD" w14:textId="77777777" w:rsidR="002D2C9B" w:rsidRPr="002D2C9B" w:rsidRDefault="002D2C9B" w:rsidP="002D2C9B">
      <w:pPr>
        <w:keepNext/>
        <w:spacing w:after="160" w:line="240" w:lineRule="auto"/>
        <w:rPr>
          <w:rFonts w:ascii="Times New Roman" w:eastAsia="Calibri" w:hAnsi="Times New Roman" w:cs="Times New Roman"/>
          <w:bCs/>
          <w:sz w:val="24"/>
          <w:szCs w:val="24"/>
          <w:u w:val="single"/>
        </w:rPr>
      </w:pPr>
      <w:r w:rsidRPr="002D2C9B">
        <w:rPr>
          <w:rFonts w:ascii="Times New Roman" w:eastAsia="Calibri" w:hAnsi="Times New Roman" w:cs="Times New Roman"/>
          <w:bCs/>
          <w:sz w:val="24"/>
          <w:szCs w:val="24"/>
          <w:u w:val="single"/>
        </w:rPr>
        <w:t>Schedule 1 – Consequential amendments</w:t>
      </w:r>
    </w:p>
    <w:p w14:paraId="67B10A7D" w14:textId="77777777" w:rsidR="002D2C9B" w:rsidRPr="002D2C9B" w:rsidRDefault="002D2C9B" w:rsidP="002D2C9B">
      <w:pPr>
        <w:spacing w:after="160" w:line="240" w:lineRule="auto"/>
        <w:rPr>
          <w:rFonts w:ascii="Times New Roman" w:eastAsia="Calibri" w:hAnsi="Times New Roman" w:cs="Times New Roman"/>
          <w:bCs/>
          <w:i/>
          <w:iCs/>
          <w:sz w:val="24"/>
          <w:szCs w:val="24"/>
        </w:rPr>
      </w:pPr>
      <w:r w:rsidRPr="002D2C9B">
        <w:rPr>
          <w:rFonts w:ascii="Times New Roman" w:eastAsia="Calibri" w:hAnsi="Times New Roman" w:cs="Times New Roman"/>
          <w:bCs/>
          <w:i/>
          <w:iCs/>
          <w:sz w:val="24"/>
          <w:szCs w:val="24"/>
        </w:rPr>
        <w:t>Family Law (Fees) Regulations 2022</w:t>
      </w:r>
    </w:p>
    <w:p w14:paraId="0DEC4A82" w14:textId="4E7AD517" w:rsidR="002D2C9B" w:rsidRPr="002D2C9B" w:rsidRDefault="002D2C9B" w:rsidP="002D2C9B">
      <w:pPr>
        <w:spacing w:after="160" w:line="240" w:lineRule="auto"/>
        <w:rPr>
          <w:rFonts w:ascii="Times New Roman" w:eastAsia="Calibri" w:hAnsi="Times New Roman" w:cs="Times New Roman"/>
          <w:b/>
          <w:bCs/>
          <w:iCs/>
          <w:sz w:val="24"/>
          <w:szCs w:val="24"/>
        </w:rPr>
      </w:pPr>
      <w:r w:rsidRPr="002D2C9B">
        <w:rPr>
          <w:rFonts w:ascii="Times New Roman" w:eastAsia="Calibri" w:hAnsi="Times New Roman" w:cs="Times New Roman"/>
          <w:b/>
          <w:bCs/>
          <w:iCs/>
          <w:sz w:val="24"/>
          <w:szCs w:val="24"/>
        </w:rPr>
        <w:t>Item [</w:t>
      </w:r>
      <w:r w:rsidR="00EB06D9">
        <w:rPr>
          <w:rFonts w:ascii="Times New Roman" w:eastAsia="Calibri" w:hAnsi="Times New Roman" w:cs="Times New Roman"/>
          <w:b/>
          <w:bCs/>
          <w:iCs/>
          <w:sz w:val="24"/>
          <w:szCs w:val="24"/>
        </w:rPr>
        <w:t>1</w:t>
      </w:r>
      <w:r w:rsidRPr="002D2C9B">
        <w:rPr>
          <w:rFonts w:ascii="Times New Roman" w:eastAsia="Calibri" w:hAnsi="Times New Roman" w:cs="Times New Roman"/>
          <w:b/>
          <w:bCs/>
          <w:iCs/>
          <w:sz w:val="24"/>
          <w:szCs w:val="24"/>
        </w:rPr>
        <w:t xml:space="preserve">] – Schedule 1 (table item 2) </w:t>
      </w:r>
    </w:p>
    <w:p w14:paraId="3CF322B0" w14:textId="6271E0FD" w:rsidR="002D2C9B" w:rsidRPr="002D2C9B" w:rsidRDefault="002D2C9B" w:rsidP="002D2C9B">
      <w:pPr>
        <w:spacing w:after="160" w:line="240" w:lineRule="auto"/>
        <w:rPr>
          <w:rFonts w:ascii="Times New Roman" w:eastAsia="Calibri" w:hAnsi="Times New Roman" w:cs="Times New Roman"/>
          <w:bCs/>
          <w:i/>
          <w:sz w:val="24"/>
          <w:szCs w:val="24"/>
        </w:rPr>
      </w:pPr>
      <w:r w:rsidRPr="002D2C9B">
        <w:rPr>
          <w:rFonts w:ascii="Times New Roman" w:eastAsia="Calibri" w:hAnsi="Times New Roman" w:cs="Times New Roman"/>
          <w:bCs/>
          <w:iCs/>
          <w:sz w:val="24"/>
          <w:szCs w:val="24"/>
        </w:rPr>
        <w:t>This item w</w:t>
      </w:r>
      <w:r w:rsidR="00EB06D9">
        <w:rPr>
          <w:rFonts w:ascii="Times New Roman" w:eastAsia="Calibri" w:hAnsi="Times New Roman" w:cs="Times New Roman"/>
          <w:bCs/>
          <w:iCs/>
          <w:sz w:val="24"/>
          <w:szCs w:val="24"/>
        </w:rPr>
        <w:t>ill</w:t>
      </w:r>
      <w:r w:rsidRPr="002D2C9B">
        <w:rPr>
          <w:rFonts w:ascii="Times New Roman" w:eastAsia="Calibri" w:hAnsi="Times New Roman" w:cs="Times New Roman"/>
          <w:bCs/>
          <w:iCs/>
          <w:sz w:val="24"/>
          <w:szCs w:val="24"/>
        </w:rPr>
        <w:t xml:space="preserve"> </w:t>
      </w:r>
      <w:r w:rsidRPr="002D2C9B">
        <w:rPr>
          <w:rFonts w:ascii="Times New Roman" w:eastAsia="Calibri" w:hAnsi="Times New Roman" w:cs="Times New Roman"/>
          <w:bCs/>
          <w:sz w:val="24"/>
          <w:szCs w:val="24"/>
        </w:rPr>
        <w:t xml:space="preserve">omit “paragraph 10A(a) or (c) of the </w:t>
      </w:r>
      <w:r w:rsidRPr="002D2C9B">
        <w:rPr>
          <w:rFonts w:ascii="Times New Roman" w:eastAsia="Calibri" w:hAnsi="Times New Roman" w:cs="Times New Roman"/>
          <w:bCs/>
          <w:i/>
          <w:sz w:val="24"/>
          <w:szCs w:val="24"/>
        </w:rPr>
        <w:t>Family Law Regulations 1984</w:t>
      </w:r>
      <w:r w:rsidRPr="002D2C9B">
        <w:rPr>
          <w:rFonts w:ascii="Times New Roman" w:eastAsia="Calibri" w:hAnsi="Times New Roman" w:cs="Times New Roman"/>
          <w:bCs/>
          <w:sz w:val="24"/>
          <w:szCs w:val="24"/>
        </w:rPr>
        <w:t xml:space="preserve">” and substitute “paragraph 45(a) or (b) of the </w:t>
      </w:r>
      <w:r w:rsidRPr="002D2C9B">
        <w:rPr>
          <w:rFonts w:ascii="Times New Roman" w:eastAsia="Calibri" w:hAnsi="Times New Roman" w:cs="Times New Roman"/>
          <w:bCs/>
          <w:i/>
          <w:sz w:val="24"/>
          <w:szCs w:val="24"/>
        </w:rPr>
        <w:t>Family Law Regulations 2024</w:t>
      </w:r>
      <w:r w:rsidRPr="002D2C9B">
        <w:rPr>
          <w:rFonts w:ascii="Times New Roman" w:eastAsia="Calibri" w:hAnsi="Times New Roman" w:cs="Times New Roman"/>
          <w:bCs/>
          <w:sz w:val="24"/>
          <w:szCs w:val="24"/>
        </w:rPr>
        <w:t xml:space="preserve">” in Schedule 1 (table item 2) of the </w:t>
      </w:r>
      <w:r w:rsidRPr="002D2C9B">
        <w:rPr>
          <w:rFonts w:ascii="Times New Roman" w:eastAsia="Calibri" w:hAnsi="Times New Roman" w:cs="Times New Roman"/>
          <w:bCs/>
          <w:i/>
          <w:sz w:val="24"/>
          <w:szCs w:val="24"/>
        </w:rPr>
        <w:t xml:space="preserve">Family Law (Fees) Regulations 2022. </w:t>
      </w:r>
      <w:r w:rsidRPr="002D2C9B">
        <w:rPr>
          <w:rFonts w:ascii="Times New Roman" w:eastAsia="Calibri" w:hAnsi="Times New Roman" w:cs="Times New Roman"/>
          <w:bCs/>
          <w:sz w:val="24"/>
          <w:szCs w:val="24"/>
        </w:rPr>
        <w:t>This amendment w</w:t>
      </w:r>
      <w:r w:rsidR="00EB06D9">
        <w:rPr>
          <w:rFonts w:ascii="Times New Roman" w:eastAsia="Calibri" w:hAnsi="Times New Roman" w:cs="Times New Roman"/>
          <w:bCs/>
          <w:sz w:val="24"/>
          <w:szCs w:val="24"/>
        </w:rPr>
        <w:t>ill</w:t>
      </w:r>
      <w:r w:rsidRPr="002D2C9B">
        <w:rPr>
          <w:rFonts w:ascii="Times New Roman" w:eastAsia="Calibri" w:hAnsi="Times New Roman" w:cs="Times New Roman"/>
          <w:bCs/>
          <w:sz w:val="24"/>
          <w:szCs w:val="24"/>
        </w:rPr>
        <w:t xml:space="preserve"> reflect the repeal of the </w:t>
      </w:r>
      <w:r w:rsidRPr="002D2C9B">
        <w:rPr>
          <w:rFonts w:ascii="Times New Roman" w:eastAsia="Calibri" w:hAnsi="Times New Roman" w:cs="Times New Roman"/>
          <w:bCs/>
          <w:i/>
          <w:sz w:val="24"/>
          <w:szCs w:val="24"/>
        </w:rPr>
        <w:t>Family Law Regulations 1984</w:t>
      </w:r>
      <w:r w:rsidRPr="002D2C9B">
        <w:rPr>
          <w:rFonts w:ascii="Times New Roman" w:eastAsia="Calibri" w:hAnsi="Times New Roman" w:cs="Times New Roman"/>
          <w:bCs/>
          <w:sz w:val="24"/>
          <w:szCs w:val="24"/>
        </w:rPr>
        <w:t xml:space="preserve"> and the commencement of the </w:t>
      </w:r>
      <w:r w:rsidRPr="002D2C9B">
        <w:rPr>
          <w:rFonts w:ascii="Times New Roman" w:eastAsia="Calibri" w:hAnsi="Times New Roman" w:cs="Times New Roman"/>
          <w:bCs/>
          <w:i/>
          <w:sz w:val="24"/>
          <w:szCs w:val="24"/>
        </w:rPr>
        <w:t>Family Law Regulations 2024</w:t>
      </w:r>
      <w:r w:rsidRPr="002D2C9B">
        <w:rPr>
          <w:rFonts w:ascii="Times New Roman" w:eastAsia="Calibri" w:hAnsi="Times New Roman" w:cs="Times New Roman"/>
          <w:bCs/>
          <w:sz w:val="24"/>
          <w:szCs w:val="24"/>
        </w:rPr>
        <w:t>. This amendment w</w:t>
      </w:r>
      <w:r w:rsidR="00752394">
        <w:rPr>
          <w:rFonts w:ascii="Times New Roman" w:eastAsia="Calibri" w:hAnsi="Times New Roman" w:cs="Times New Roman"/>
          <w:bCs/>
          <w:sz w:val="24"/>
          <w:szCs w:val="24"/>
        </w:rPr>
        <w:t>ill</w:t>
      </w:r>
      <w:r w:rsidRPr="002D2C9B">
        <w:rPr>
          <w:rFonts w:ascii="Times New Roman" w:eastAsia="Calibri" w:hAnsi="Times New Roman" w:cs="Times New Roman"/>
          <w:bCs/>
          <w:sz w:val="24"/>
          <w:szCs w:val="24"/>
        </w:rPr>
        <w:t xml:space="preserve"> not change the operation of the schedule.</w:t>
      </w:r>
    </w:p>
    <w:p w14:paraId="56867C06" w14:textId="168F4B18" w:rsidR="002D2C9B" w:rsidRPr="002D2C9B" w:rsidRDefault="002D2C9B" w:rsidP="002D2C9B">
      <w:pPr>
        <w:spacing w:after="160" w:line="240" w:lineRule="auto"/>
        <w:rPr>
          <w:rFonts w:ascii="Times New Roman" w:eastAsia="Calibri" w:hAnsi="Times New Roman" w:cs="Times New Roman"/>
          <w:b/>
          <w:bCs/>
          <w:iCs/>
          <w:sz w:val="24"/>
          <w:szCs w:val="24"/>
        </w:rPr>
      </w:pPr>
      <w:r w:rsidRPr="002D2C9B">
        <w:rPr>
          <w:rFonts w:ascii="Times New Roman" w:eastAsia="Calibri" w:hAnsi="Times New Roman" w:cs="Times New Roman"/>
          <w:b/>
          <w:bCs/>
          <w:iCs/>
          <w:sz w:val="24"/>
          <w:szCs w:val="24"/>
        </w:rPr>
        <w:t>Item [</w:t>
      </w:r>
      <w:r w:rsidR="00EB06D9">
        <w:rPr>
          <w:rFonts w:ascii="Times New Roman" w:eastAsia="Calibri" w:hAnsi="Times New Roman" w:cs="Times New Roman"/>
          <w:b/>
          <w:bCs/>
          <w:iCs/>
          <w:sz w:val="24"/>
          <w:szCs w:val="24"/>
        </w:rPr>
        <w:t>2</w:t>
      </w:r>
      <w:r w:rsidRPr="002D2C9B">
        <w:rPr>
          <w:rFonts w:ascii="Times New Roman" w:eastAsia="Calibri" w:hAnsi="Times New Roman" w:cs="Times New Roman"/>
          <w:b/>
          <w:bCs/>
          <w:iCs/>
          <w:sz w:val="24"/>
          <w:szCs w:val="24"/>
        </w:rPr>
        <w:t xml:space="preserve">] – Schedule 1 (table item 2) </w:t>
      </w:r>
    </w:p>
    <w:p w14:paraId="0050D3F7" w14:textId="246AB10D" w:rsidR="002D2C9B" w:rsidRPr="002D2C9B" w:rsidRDefault="002D2C9B" w:rsidP="002D2C9B">
      <w:pPr>
        <w:spacing w:after="160" w:line="240" w:lineRule="auto"/>
        <w:rPr>
          <w:rFonts w:ascii="Times New Roman" w:eastAsia="Calibri" w:hAnsi="Times New Roman" w:cs="Times New Roman"/>
          <w:b/>
          <w:bCs/>
          <w:i/>
          <w:sz w:val="24"/>
          <w:szCs w:val="24"/>
        </w:rPr>
      </w:pPr>
      <w:r w:rsidRPr="002D2C9B">
        <w:rPr>
          <w:rFonts w:ascii="Times New Roman" w:eastAsia="Calibri" w:hAnsi="Times New Roman" w:cs="Times New Roman"/>
          <w:bCs/>
          <w:iCs/>
          <w:sz w:val="24"/>
          <w:szCs w:val="24"/>
        </w:rPr>
        <w:t>This item w</w:t>
      </w:r>
      <w:r w:rsidR="00EB06D9">
        <w:rPr>
          <w:rFonts w:ascii="Times New Roman" w:eastAsia="Calibri" w:hAnsi="Times New Roman" w:cs="Times New Roman"/>
          <w:bCs/>
          <w:iCs/>
          <w:sz w:val="24"/>
          <w:szCs w:val="24"/>
        </w:rPr>
        <w:t>ill</w:t>
      </w:r>
      <w:r w:rsidRPr="002D2C9B">
        <w:rPr>
          <w:rFonts w:ascii="Times New Roman" w:eastAsia="Calibri" w:hAnsi="Times New Roman" w:cs="Times New Roman"/>
          <w:bCs/>
          <w:iCs/>
          <w:sz w:val="24"/>
          <w:szCs w:val="24"/>
        </w:rPr>
        <w:t xml:space="preserve"> omit “paragraph 10A(a) or (c) of those Regulations” and substitute “paragraph 45(a) or (b) of those Regulations” in Schedule 1 (table item 2) of the </w:t>
      </w:r>
      <w:r w:rsidRPr="002D2C9B">
        <w:rPr>
          <w:rFonts w:ascii="Times New Roman" w:eastAsia="Calibri" w:hAnsi="Times New Roman" w:cs="Times New Roman"/>
          <w:bCs/>
          <w:i/>
          <w:sz w:val="24"/>
          <w:szCs w:val="24"/>
        </w:rPr>
        <w:t xml:space="preserve">Family Law (Fees) Regulations 2022. </w:t>
      </w:r>
      <w:r w:rsidRPr="002D2C9B">
        <w:rPr>
          <w:rFonts w:ascii="Times New Roman" w:eastAsia="Calibri" w:hAnsi="Times New Roman" w:cs="Times New Roman"/>
          <w:bCs/>
          <w:sz w:val="24"/>
          <w:szCs w:val="24"/>
        </w:rPr>
        <w:t>This amendment w</w:t>
      </w:r>
      <w:r w:rsidR="00EB06D9">
        <w:rPr>
          <w:rFonts w:ascii="Times New Roman" w:eastAsia="Calibri" w:hAnsi="Times New Roman" w:cs="Times New Roman"/>
          <w:bCs/>
          <w:sz w:val="24"/>
          <w:szCs w:val="24"/>
        </w:rPr>
        <w:t>ill</w:t>
      </w:r>
      <w:r w:rsidRPr="002D2C9B">
        <w:rPr>
          <w:rFonts w:ascii="Times New Roman" w:eastAsia="Calibri" w:hAnsi="Times New Roman" w:cs="Times New Roman"/>
          <w:bCs/>
          <w:sz w:val="24"/>
          <w:szCs w:val="24"/>
        </w:rPr>
        <w:t xml:space="preserve"> reflect the repeal of the </w:t>
      </w:r>
      <w:r w:rsidRPr="002D2C9B">
        <w:rPr>
          <w:rFonts w:ascii="Times New Roman" w:eastAsia="Calibri" w:hAnsi="Times New Roman" w:cs="Times New Roman"/>
          <w:bCs/>
          <w:i/>
          <w:sz w:val="24"/>
          <w:szCs w:val="24"/>
        </w:rPr>
        <w:t>Family Law Regulations 1984</w:t>
      </w:r>
      <w:r w:rsidRPr="002D2C9B">
        <w:rPr>
          <w:rFonts w:ascii="Times New Roman" w:eastAsia="Calibri" w:hAnsi="Times New Roman" w:cs="Times New Roman"/>
          <w:bCs/>
          <w:sz w:val="24"/>
          <w:szCs w:val="24"/>
        </w:rPr>
        <w:t xml:space="preserve"> and the commencement of the </w:t>
      </w:r>
      <w:r w:rsidRPr="002D2C9B">
        <w:rPr>
          <w:rFonts w:ascii="Times New Roman" w:eastAsia="Calibri" w:hAnsi="Times New Roman" w:cs="Times New Roman"/>
          <w:bCs/>
          <w:i/>
          <w:sz w:val="24"/>
          <w:szCs w:val="24"/>
        </w:rPr>
        <w:t>Family Law Regulations 2024</w:t>
      </w:r>
      <w:r w:rsidRPr="002D2C9B">
        <w:rPr>
          <w:rFonts w:ascii="Times New Roman" w:eastAsia="Calibri" w:hAnsi="Times New Roman" w:cs="Times New Roman"/>
          <w:bCs/>
          <w:sz w:val="24"/>
          <w:szCs w:val="24"/>
        </w:rPr>
        <w:t>. This amendment w</w:t>
      </w:r>
      <w:r w:rsidR="00EB06D9">
        <w:rPr>
          <w:rFonts w:ascii="Times New Roman" w:eastAsia="Calibri" w:hAnsi="Times New Roman" w:cs="Times New Roman"/>
          <w:bCs/>
          <w:sz w:val="24"/>
          <w:szCs w:val="24"/>
        </w:rPr>
        <w:t xml:space="preserve">ill </w:t>
      </w:r>
      <w:r w:rsidRPr="002D2C9B">
        <w:rPr>
          <w:rFonts w:ascii="Times New Roman" w:eastAsia="Calibri" w:hAnsi="Times New Roman" w:cs="Times New Roman"/>
          <w:bCs/>
          <w:sz w:val="24"/>
          <w:szCs w:val="24"/>
        </w:rPr>
        <w:t>not change the operation of the Schedule.</w:t>
      </w:r>
    </w:p>
    <w:p w14:paraId="37E05FC8" w14:textId="77777777" w:rsidR="002D2C9B" w:rsidRPr="00EB06D9" w:rsidRDefault="002D2C9B" w:rsidP="002D2C9B">
      <w:pPr>
        <w:spacing w:after="160" w:line="240" w:lineRule="auto"/>
        <w:rPr>
          <w:rFonts w:ascii="Times New Roman" w:eastAsia="Calibri" w:hAnsi="Times New Roman" w:cs="Times New Roman"/>
          <w:bCs/>
          <w:iCs/>
          <w:sz w:val="24"/>
          <w:szCs w:val="24"/>
          <w:u w:val="single"/>
        </w:rPr>
      </w:pPr>
      <w:r w:rsidRPr="00EB06D9">
        <w:rPr>
          <w:rFonts w:ascii="Times New Roman" w:eastAsia="Calibri" w:hAnsi="Times New Roman" w:cs="Times New Roman"/>
          <w:bCs/>
          <w:iCs/>
          <w:sz w:val="24"/>
          <w:szCs w:val="24"/>
          <w:u w:val="single"/>
        </w:rPr>
        <w:t>Schedule 2 – Repeals</w:t>
      </w:r>
    </w:p>
    <w:p w14:paraId="35C74636" w14:textId="77777777" w:rsidR="002D2C9B" w:rsidRPr="002D2C9B" w:rsidRDefault="002D2C9B" w:rsidP="002D2C9B">
      <w:pPr>
        <w:spacing w:after="160" w:line="240" w:lineRule="auto"/>
        <w:rPr>
          <w:rFonts w:ascii="Times New Roman" w:eastAsia="Calibri" w:hAnsi="Times New Roman" w:cs="Times New Roman"/>
          <w:b/>
          <w:bCs/>
          <w:iCs/>
          <w:sz w:val="24"/>
          <w:szCs w:val="24"/>
        </w:rPr>
      </w:pPr>
      <w:r w:rsidRPr="002D2C9B">
        <w:rPr>
          <w:rFonts w:ascii="Times New Roman" w:eastAsia="Calibri" w:hAnsi="Times New Roman" w:cs="Times New Roman"/>
          <w:bCs/>
          <w:i/>
          <w:iCs/>
          <w:sz w:val="24"/>
          <w:szCs w:val="24"/>
        </w:rPr>
        <w:t>Family Law Regulations 2024</w:t>
      </w:r>
    </w:p>
    <w:p w14:paraId="38DD6394" w14:textId="77777777" w:rsidR="002D2C9B" w:rsidRPr="002D2C9B" w:rsidRDefault="002D2C9B" w:rsidP="002D2C9B">
      <w:pPr>
        <w:spacing w:after="160" w:line="240" w:lineRule="auto"/>
        <w:rPr>
          <w:rFonts w:ascii="Times New Roman" w:eastAsia="Calibri" w:hAnsi="Times New Roman" w:cs="Times New Roman"/>
          <w:b/>
          <w:bCs/>
          <w:iCs/>
          <w:sz w:val="24"/>
          <w:szCs w:val="24"/>
        </w:rPr>
      </w:pPr>
      <w:r w:rsidRPr="002D2C9B">
        <w:rPr>
          <w:rFonts w:ascii="Times New Roman" w:eastAsia="Calibri" w:hAnsi="Times New Roman" w:cs="Times New Roman"/>
          <w:b/>
          <w:bCs/>
          <w:iCs/>
          <w:sz w:val="24"/>
          <w:szCs w:val="24"/>
        </w:rPr>
        <w:t>Item [1] – The whole of the instrument</w:t>
      </w:r>
    </w:p>
    <w:p w14:paraId="2041F611" w14:textId="157894D1" w:rsidR="002D2C9B" w:rsidRPr="002D2C9B" w:rsidRDefault="002D2C9B" w:rsidP="002D2C9B">
      <w:pPr>
        <w:spacing w:after="160" w:line="240" w:lineRule="auto"/>
        <w:rPr>
          <w:rFonts w:ascii="Times New Roman" w:eastAsia="Calibri" w:hAnsi="Times New Roman" w:cs="Times New Roman"/>
          <w:bCs/>
          <w:iCs/>
          <w:szCs w:val="24"/>
        </w:rPr>
      </w:pPr>
      <w:r w:rsidRPr="002D2C9B">
        <w:rPr>
          <w:rFonts w:ascii="Times New Roman" w:eastAsia="Calibri" w:hAnsi="Times New Roman" w:cs="Times New Roman"/>
          <w:bCs/>
          <w:iCs/>
          <w:sz w:val="24"/>
          <w:szCs w:val="24"/>
        </w:rPr>
        <w:t>This item w</w:t>
      </w:r>
      <w:r w:rsidR="00EB06D9">
        <w:rPr>
          <w:rFonts w:ascii="Times New Roman" w:eastAsia="Calibri" w:hAnsi="Times New Roman" w:cs="Times New Roman"/>
          <w:bCs/>
          <w:iCs/>
          <w:sz w:val="24"/>
          <w:szCs w:val="24"/>
        </w:rPr>
        <w:t>ill</w:t>
      </w:r>
      <w:r w:rsidRPr="002D2C9B">
        <w:rPr>
          <w:rFonts w:ascii="Times New Roman" w:eastAsia="Calibri" w:hAnsi="Times New Roman" w:cs="Times New Roman"/>
          <w:bCs/>
          <w:iCs/>
          <w:sz w:val="24"/>
          <w:szCs w:val="24"/>
        </w:rPr>
        <w:t xml:space="preserve"> repeal the </w:t>
      </w:r>
      <w:r w:rsidRPr="002D2C9B">
        <w:rPr>
          <w:rFonts w:ascii="Times New Roman" w:eastAsia="Calibri" w:hAnsi="Times New Roman" w:cs="Times New Roman"/>
          <w:bCs/>
          <w:i/>
          <w:iCs/>
          <w:sz w:val="24"/>
          <w:szCs w:val="24"/>
        </w:rPr>
        <w:t>Family Law Regulations 1984</w:t>
      </w:r>
      <w:r w:rsidRPr="002D2C9B">
        <w:rPr>
          <w:rFonts w:ascii="Times New Roman" w:eastAsia="Calibri" w:hAnsi="Times New Roman" w:cs="Times New Roman"/>
          <w:bCs/>
          <w:i/>
          <w:iCs/>
          <w:szCs w:val="24"/>
        </w:rPr>
        <w:t xml:space="preserve">. </w:t>
      </w:r>
      <w:bookmarkEnd w:id="4"/>
    </w:p>
    <w:p w14:paraId="4760CD54" w14:textId="5E58AD81" w:rsidR="00406E38" w:rsidRPr="001C436B" w:rsidRDefault="00406E38" w:rsidP="00F574B1">
      <w:pPr>
        <w:spacing w:line="360" w:lineRule="auto"/>
        <w:rPr>
          <w:rFonts w:ascii="Times New Roman" w:hAnsi="Times New Roman" w:cs="Times New Roman"/>
          <w:bCs/>
          <w:iCs/>
          <w:szCs w:val="24"/>
        </w:rPr>
      </w:pPr>
    </w:p>
    <w:sectPr w:rsidR="00406E38" w:rsidRPr="001C436B" w:rsidSect="00F06FE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C473" w14:textId="77777777" w:rsidR="00AB1A78" w:rsidRDefault="00AB1A78" w:rsidP="0002636A">
      <w:pPr>
        <w:spacing w:after="0" w:line="240" w:lineRule="auto"/>
      </w:pPr>
      <w:r>
        <w:separator/>
      </w:r>
    </w:p>
  </w:endnote>
  <w:endnote w:type="continuationSeparator" w:id="0">
    <w:p w14:paraId="3FE712C3" w14:textId="77777777" w:rsidR="00AB1A78" w:rsidRDefault="00AB1A78"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0A0C" w14:textId="77777777" w:rsidR="0090711D" w:rsidRDefault="00907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9DAB" w14:textId="77777777" w:rsidR="0090711D" w:rsidRDefault="0090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3B9C" w14:textId="77777777" w:rsidR="00AB1A78" w:rsidRDefault="00AB1A78" w:rsidP="0002636A">
      <w:pPr>
        <w:spacing w:after="0" w:line="240" w:lineRule="auto"/>
      </w:pPr>
      <w:r>
        <w:separator/>
      </w:r>
    </w:p>
  </w:footnote>
  <w:footnote w:type="continuationSeparator" w:id="0">
    <w:p w14:paraId="7E81177B" w14:textId="77777777" w:rsidR="00AB1A78" w:rsidRDefault="00AB1A78" w:rsidP="0002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33A6A" w14:textId="77777777" w:rsidR="0090711D" w:rsidRDefault="0090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0021" w14:textId="217FC8B7" w:rsidR="0090711D" w:rsidRDefault="00907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08FD" w14:textId="77777777" w:rsidR="0090711D" w:rsidRDefault="00907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7867E5"/>
    <w:multiLevelType w:val="hybridMultilevel"/>
    <w:tmpl w:val="2BBE9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A4E90"/>
    <w:multiLevelType w:val="hybridMultilevel"/>
    <w:tmpl w:val="5FC0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F32958"/>
    <w:multiLevelType w:val="hybridMultilevel"/>
    <w:tmpl w:val="8648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4"/>
  </w:num>
  <w:num w:numId="5">
    <w:abstractNumId w:val="4"/>
  </w:num>
  <w:num w:numId="6">
    <w:abstractNumId w:val="15"/>
  </w:num>
  <w:num w:numId="7">
    <w:abstractNumId w:val="0"/>
  </w:num>
  <w:num w:numId="8">
    <w:abstractNumId w:val="9"/>
  </w:num>
  <w:num w:numId="9">
    <w:abstractNumId w:val="5"/>
  </w:num>
  <w:num w:numId="10">
    <w:abstractNumId w:val="13"/>
  </w:num>
  <w:num w:numId="11">
    <w:abstractNumId w:val="12"/>
  </w:num>
  <w:num w:numId="12">
    <w:abstractNumId w:val="11"/>
  </w:num>
  <w:num w:numId="13">
    <w:abstractNumId w:val="7"/>
  </w:num>
  <w:num w:numId="14">
    <w:abstractNumId w:val="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2636A"/>
    <w:rsid w:val="000415BA"/>
    <w:rsid w:val="00043840"/>
    <w:rsid w:val="00050D03"/>
    <w:rsid w:val="00055079"/>
    <w:rsid w:val="000620FF"/>
    <w:rsid w:val="00064FB2"/>
    <w:rsid w:val="0008212B"/>
    <w:rsid w:val="00087FE3"/>
    <w:rsid w:val="00092565"/>
    <w:rsid w:val="000A66BD"/>
    <w:rsid w:val="000E1EA1"/>
    <w:rsid w:val="000E2C80"/>
    <w:rsid w:val="000F0FB1"/>
    <w:rsid w:val="0010364C"/>
    <w:rsid w:val="00106CBA"/>
    <w:rsid w:val="00120076"/>
    <w:rsid w:val="00122EA6"/>
    <w:rsid w:val="00132863"/>
    <w:rsid w:val="0013292B"/>
    <w:rsid w:val="0014285D"/>
    <w:rsid w:val="001469C7"/>
    <w:rsid w:val="001670E9"/>
    <w:rsid w:val="0017632E"/>
    <w:rsid w:val="00186EFA"/>
    <w:rsid w:val="00195A18"/>
    <w:rsid w:val="001C436B"/>
    <w:rsid w:val="001C4696"/>
    <w:rsid w:val="001C750C"/>
    <w:rsid w:val="001D3031"/>
    <w:rsid w:val="001D7189"/>
    <w:rsid w:val="001E300F"/>
    <w:rsid w:val="0021477B"/>
    <w:rsid w:val="0022726E"/>
    <w:rsid w:val="002402AB"/>
    <w:rsid w:val="0026109C"/>
    <w:rsid w:val="00262B9E"/>
    <w:rsid w:val="002B0C10"/>
    <w:rsid w:val="002B361E"/>
    <w:rsid w:val="002C3489"/>
    <w:rsid w:val="002C5B76"/>
    <w:rsid w:val="002C5E45"/>
    <w:rsid w:val="002D2C9B"/>
    <w:rsid w:val="002E1991"/>
    <w:rsid w:val="002E2783"/>
    <w:rsid w:val="00302147"/>
    <w:rsid w:val="0030228D"/>
    <w:rsid w:val="003030C5"/>
    <w:rsid w:val="003200DA"/>
    <w:rsid w:val="00344D48"/>
    <w:rsid w:val="003516FD"/>
    <w:rsid w:val="003542A3"/>
    <w:rsid w:val="00381AEC"/>
    <w:rsid w:val="00391AC4"/>
    <w:rsid w:val="003A17BA"/>
    <w:rsid w:val="003B244F"/>
    <w:rsid w:val="003B6050"/>
    <w:rsid w:val="003C6789"/>
    <w:rsid w:val="003D6C6B"/>
    <w:rsid w:val="00406E38"/>
    <w:rsid w:val="004117D2"/>
    <w:rsid w:val="00412681"/>
    <w:rsid w:val="004518A4"/>
    <w:rsid w:val="00454EA9"/>
    <w:rsid w:val="00455EAF"/>
    <w:rsid w:val="00470855"/>
    <w:rsid w:val="004709FE"/>
    <w:rsid w:val="004760F7"/>
    <w:rsid w:val="00477757"/>
    <w:rsid w:val="0049094A"/>
    <w:rsid w:val="00490E4C"/>
    <w:rsid w:val="004946B6"/>
    <w:rsid w:val="004A0438"/>
    <w:rsid w:val="004A4086"/>
    <w:rsid w:val="004B3C03"/>
    <w:rsid w:val="004C2DEB"/>
    <w:rsid w:val="004C5655"/>
    <w:rsid w:val="004F07F1"/>
    <w:rsid w:val="004F430F"/>
    <w:rsid w:val="004F4C19"/>
    <w:rsid w:val="004F4F69"/>
    <w:rsid w:val="0050398F"/>
    <w:rsid w:val="00503C63"/>
    <w:rsid w:val="00521029"/>
    <w:rsid w:val="00566C9B"/>
    <w:rsid w:val="00573B99"/>
    <w:rsid w:val="00577CC4"/>
    <w:rsid w:val="00592375"/>
    <w:rsid w:val="005A0AC1"/>
    <w:rsid w:val="005C2213"/>
    <w:rsid w:val="005D194A"/>
    <w:rsid w:val="005D6AE6"/>
    <w:rsid w:val="005E2C79"/>
    <w:rsid w:val="005E36D0"/>
    <w:rsid w:val="005F0B8E"/>
    <w:rsid w:val="005F5F23"/>
    <w:rsid w:val="006109AC"/>
    <w:rsid w:val="00610E39"/>
    <w:rsid w:val="006129A6"/>
    <w:rsid w:val="00623728"/>
    <w:rsid w:val="0062767D"/>
    <w:rsid w:val="0063239B"/>
    <w:rsid w:val="00634AE9"/>
    <w:rsid w:val="00635C6A"/>
    <w:rsid w:val="00651D9A"/>
    <w:rsid w:val="00664830"/>
    <w:rsid w:val="00670C8D"/>
    <w:rsid w:val="006713BB"/>
    <w:rsid w:val="00674543"/>
    <w:rsid w:val="00676141"/>
    <w:rsid w:val="00683660"/>
    <w:rsid w:val="00686B0F"/>
    <w:rsid w:val="006B6663"/>
    <w:rsid w:val="006F76FF"/>
    <w:rsid w:val="00751A98"/>
    <w:rsid w:val="00752394"/>
    <w:rsid w:val="00756F39"/>
    <w:rsid w:val="007A2C8B"/>
    <w:rsid w:val="007B7195"/>
    <w:rsid w:val="007F1D53"/>
    <w:rsid w:val="007F5C8C"/>
    <w:rsid w:val="00810ABD"/>
    <w:rsid w:val="00821759"/>
    <w:rsid w:val="00853EEA"/>
    <w:rsid w:val="00857702"/>
    <w:rsid w:val="00872B27"/>
    <w:rsid w:val="0089319F"/>
    <w:rsid w:val="00894D9D"/>
    <w:rsid w:val="00896A28"/>
    <w:rsid w:val="008B2955"/>
    <w:rsid w:val="008B2D92"/>
    <w:rsid w:val="008D3376"/>
    <w:rsid w:val="00902F3D"/>
    <w:rsid w:val="0090711D"/>
    <w:rsid w:val="00911332"/>
    <w:rsid w:val="009213BD"/>
    <w:rsid w:val="009227B6"/>
    <w:rsid w:val="00957401"/>
    <w:rsid w:val="009601BB"/>
    <w:rsid w:val="0097015D"/>
    <w:rsid w:val="0099590D"/>
    <w:rsid w:val="009B1F88"/>
    <w:rsid w:val="009B6322"/>
    <w:rsid w:val="009C0AFF"/>
    <w:rsid w:val="009C0BE2"/>
    <w:rsid w:val="009D2B82"/>
    <w:rsid w:val="009D7302"/>
    <w:rsid w:val="00A21D57"/>
    <w:rsid w:val="00A23A3E"/>
    <w:rsid w:val="00A42F5D"/>
    <w:rsid w:val="00A85FDA"/>
    <w:rsid w:val="00AA421A"/>
    <w:rsid w:val="00AB1A78"/>
    <w:rsid w:val="00AB3F89"/>
    <w:rsid w:val="00AC39E5"/>
    <w:rsid w:val="00AF0C63"/>
    <w:rsid w:val="00AF673F"/>
    <w:rsid w:val="00B14DEA"/>
    <w:rsid w:val="00B273E1"/>
    <w:rsid w:val="00B316EF"/>
    <w:rsid w:val="00B427D5"/>
    <w:rsid w:val="00B5156F"/>
    <w:rsid w:val="00B54344"/>
    <w:rsid w:val="00B57503"/>
    <w:rsid w:val="00B57898"/>
    <w:rsid w:val="00B81EC4"/>
    <w:rsid w:val="00B828BC"/>
    <w:rsid w:val="00B96D2F"/>
    <w:rsid w:val="00B97D08"/>
    <w:rsid w:val="00BA3F3C"/>
    <w:rsid w:val="00BF1B78"/>
    <w:rsid w:val="00BF78AC"/>
    <w:rsid w:val="00C16B35"/>
    <w:rsid w:val="00C45CD4"/>
    <w:rsid w:val="00C66EF8"/>
    <w:rsid w:val="00C70BFF"/>
    <w:rsid w:val="00C719E8"/>
    <w:rsid w:val="00C76BFF"/>
    <w:rsid w:val="00C858F4"/>
    <w:rsid w:val="00C964D3"/>
    <w:rsid w:val="00CA5DBF"/>
    <w:rsid w:val="00CB1088"/>
    <w:rsid w:val="00CC1142"/>
    <w:rsid w:val="00CD03B6"/>
    <w:rsid w:val="00CE6485"/>
    <w:rsid w:val="00CF14E3"/>
    <w:rsid w:val="00D02D53"/>
    <w:rsid w:val="00D13E21"/>
    <w:rsid w:val="00D26A94"/>
    <w:rsid w:val="00D36B86"/>
    <w:rsid w:val="00D51A2A"/>
    <w:rsid w:val="00D6456B"/>
    <w:rsid w:val="00D761C6"/>
    <w:rsid w:val="00D801E1"/>
    <w:rsid w:val="00DA4461"/>
    <w:rsid w:val="00DB2DA6"/>
    <w:rsid w:val="00DB54AF"/>
    <w:rsid w:val="00E0596B"/>
    <w:rsid w:val="00E0725E"/>
    <w:rsid w:val="00E23B2F"/>
    <w:rsid w:val="00E41313"/>
    <w:rsid w:val="00E44073"/>
    <w:rsid w:val="00E52281"/>
    <w:rsid w:val="00E66006"/>
    <w:rsid w:val="00E7486B"/>
    <w:rsid w:val="00E81349"/>
    <w:rsid w:val="00EA05D2"/>
    <w:rsid w:val="00EB06D9"/>
    <w:rsid w:val="00EC662B"/>
    <w:rsid w:val="00ED357E"/>
    <w:rsid w:val="00ED78FF"/>
    <w:rsid w:val="00EE5DC1"/>
    <w:rsid w:val="00F06FE8"/>
    <w:rsid w:val="00F10A91"/>
    <w:rsid w:val="00F11561"/>
    <w:rsid w:val="00F26896"/>
    <w:rsid w:val="00F3029D"/>
    <w:rsid w:val="00F33269"/>
    <w:rsid w:val="00F43AD7"/>
    <w:rsid w:val="00F53D2B"/>
    <w:rsid w:val="00F574B1"/>
    <w:rsid w:val="00F75E8B"/>
    <w:rsid w:val="00F769DC"/>
    <w:rsid w:val="00F82EE4"/>
    <w:rsid w:val="00F92042"/>
    <w:rsid w:val="00FC0F7F"/>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B543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43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B543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434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420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69D909A-BB13-4F6B-8399-872D7CA006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E5C72A79ABACD4291FDB17340238DD0" ma:contentTypeVersion="" ma:contentTypeDescription="PDMS Document Site Content Type" ma:contentTypeScope="" ma:versionID="813deddf15d99d0a0db767d7f57e0017">
  <xsd:schema xmlns:xsd="http://www.w3.org/2001/XMLSchema" xmlns:xs="http://www.w3.org/2001/XMLSchema" xmlns:p="http://schemas.microsoft.com/office/2006/metadata/properties" xmlns:ns2="369D909A-BB13-4F6B-8399-872D7CA006B8" targetNamespace="http://schemas.microsoft.com/office/2006/metadata/properties" ma:root="true" ma:fieldsID="77f6fac7b3a0920e7672321a454ed1e4" ns2:_="">
    <xsd:import namespace="369D909A-BB13-4F6B-8399-872D7CA006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D909A-BB13-4F6B-8399-872D7CA006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369D909A-BB13-4F6B-8399-872D7CA006B8"/>
    <ds:schemaRef ds:uri="http://www.w3.org/XML/1998/namespace"/>
  </ds:schemaRefs>
</ds:datastoreItem>
</file>

<file path=customXml/itemProps3.xml><?xml version="1.0" encoding="utf-8"?>
<ds:datastoreItem xmlns:ds="http://schemas.openxmlformats.org/officeDocument/2006/customXml" ds:itemID="{AD519852-9378-4A18-AC16-BAF63FF46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D909A-BB13-4F6B-8399-872D7CA00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9FD36-1AB5-49AD-BA6D-247A2548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Cocker, Claire</cp:lastModifiedBy>
  <cp:revision>2</cp:revision>
  <dcterms:created xsi:type="dcterms:W3CDTF">2024-12-05T03:18:00Z</dcterms:created>
  <dcterms:modified xsi:type="dcterms:W3CDTF">2024-12-05T03:18:00Z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0x010100266966F133664895A6EE3632470D45F5000E5C72A79ABACD4291FDB17340238DD0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