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8F39F6" w:rsidRDefault="00FF6E25" w:rsidP="000C310A">
      <w:pPr>
        <w:pStyle w:val="Title"/>
      </w:pPr>
      <w:r w:rsidRPr="008F39F6">
        <w:t>EXPLANATORY STATEMENT</w:t>
      </w:r>
    </w:p>
    <w:p w14:paraId="0A64FA7B" w14:textId="77777777" w:rsidR="009B7CC2" w:rsidRPr="000C310A" w:rsidRDefault="009B7CC2" w:rsidP="009B7CC2">
      <w:pPr>
        <w:pStyle w:val="Subtitle"/>
        <w:rPr>
          <w:rStyle w:val="IntenseEmphasis"/>
          <w:color w:val="auto"/>
          <w:highlight w:val="yellow"/>
        </w:rPr>
      </w:pPr>
      <w:r w:rsidRPr="000C310A">
        <w:rPr>
          <w:rStyle w:val="IntenseEmphasis"/>
          <w:color w:val="auto"/>
        </w:rPr>
        <w:t>Issued by the authority o</w:t>
      </w:r>
      <w:r>
        <w:rPr>
          <w:rStyle w:val="IntenseEmphasis"/>
          <w:color w:val="auto"/>
        </w:rPr>
        <w:t>f the Minister for Education</w:t>
      </w:r>
    </w:p>
    <w:p w14:paraId="12EB6806" w14:textId="5EE9F117" w:rsidR="00455C2A" w:rsidRPr="009D0999" w:rsidRDefault="009B7CC2" w:rsidP="009B7CC2">
      <w:pPr>
        <w:pStyle w:val="Subtitle"/>
        <w:rPr>
          <w:highlight w:val="yellow"/>
        </w:rPr>
      </w:pPr>
      <w:r w:rsidRPr="00A90E04">
        <w:t>Higher Education Support Act 2003</w:t>
      </w:r>
    </w:p>
    <w:p w14:paraId="3CA461C1" w14:textId="77777777" w:rsidR="00571CE3" w:rsidRPr="00571CE3" w:rsidRDefault="00571CE3" w:rsidP="00571CE3">
      <w:pPr>
        <w:pStyle w:val="Subtitle"/>
      </w:pPr>
      <w:bookmarkStart w:id="0" w:name="_Hlk177646218"/>
      <w:bookmarkStart w:id="1" w:name="_Hlk177459362"/>
      <w:r w:rsidRPr="00571CE3">
        <w:t>Higher Education Support (Student Services, Amenities, Representation and Advocacy) Amendment (Student Led Organisations) Guidelines 2024</w:t>
      </w:r>
      <w:bookmarkEnd w:id="0"/>
    </w:p>
    <w:p w14:paraId="33AB2D38" w14:textId="77777777" w:rsidR="00455C2A" w:rsidRPr="009D0999" w:rsidRDefault="00144950" w:rsidP="000C310A">
      <w:pPr>
        <w:pStyle w:val="Heading1"/>
      </w:pPr>
      <w:bookmarkStart w:id="2" w:name="_Toc23942238"/>
      <w:bookmarkStart w:id="3" w:name="_Toc34293358"/>
      <w:bookmarkEnd w:id="1"/>
      <w:r w:rsidRPr="009D0999">
        <w:t>AUTHORITY</w:t>
      </w:r>
    </w:p>
    <w:p w14:paraId="35E92E7E" w14:textId="4E568F3E" w:rsidR="00AA17A7" w:rsidRPr="00B40CB3" w:rsidRDefault="00AA17A7" w:rsidP="7A9BEB49">
      <w:pPr>
        <w:spacing w:before="120" w:after="120"/>
        <w:rPr>
          <w:rFonts w:asciiTheme="minorHAnsi" w:hAnsiTheme="minorHAnsi" w:cstheme="minorHAnsi"/>
          <w:iCs/>
          <w:szCs w:val="24"/>
        </w:rPr>
      </w:pPr>
      <w:r w:rsidRPr="00B40CB3">
        <w:rPr>
          <w:rFonts w:asciiTheme="minorHAnsi" w:hAnsiTheme="minorHAnsi" w:cstheme="minorHAnsi"/>
          <w:iCs/>
        </w:rPr>
        <w:t xml:space="preserve">Section 238-10 of the </w:t>
      </w:r>
      <w:r w:rsidRPr="00B40CB3">
        <w:rPr>
          <w:rFonts w:asciiTheme="minorHAnsi" w:hAnsiTheme="minorHAnsi" w:cstheme="minorHAnsi"/>
          <w:i/>
        </w:rPr>
        <w:t>Higher Education Support Act 2003</w:t>
      </w:r>
      <w:r w:rsidRPr="00B40CB3">
        <w:rPr>
          <w:rFonts w:asciiTheme="minorHAnsi" w:hAnsiTheme="minorHAnsi" w:cstheme="minorHAnsi"/>
          <w:iCs/>
        </w:rPr>
        <w:t xml:space="preserve"> (HESA) provides that the Minister may make guidelines for the purposes of the Act. </w:t>
      </w:r>
      <w:proofErr w:type="gramStart"/>
      <w:r w:rsidRPr="00B40CB3">
        <w:rPr>
          <w:rFonts w:asciiTheme="minorHAnsi" w:hAnsiTheme="minorHAnsi" w:cstheme="minorHAnsi"/>
          <w:iCs/>
        </w:rPr>
        <w:t>In particular, item</w:t>
      </w:r>
      <w:proofErr w:type="gramEnd"/>
      <w:r w:rsidRPr="00B40CB3">
        <w:rPr>
          <w:rFonts w:asciiTheme="minorHAnsi" w:hAnsiTheme="minorHAnsi" w:cstheme="minorHAnsi"/>
          <w:iCs/>
        </w:rPr>
        <w:t xml:space="preserve"> 10A of the table at section 238-10 specifies that the Minister may make the </w:t>
      </w:r>
      <w:r w:rsidRPr="00B40CB3">
        <w:rPr>
          <w:rFonts w:asciiTheme="minorHAnsi" w:hAnsiTheme="minorHAnsi" w:cstheme="minorHAnsi"/>
        </w:rPr>
        <w:t>Student Services, Amenities, Representation and Advocacy Guidelines</w:t>
      </w:r>
      <w:r w:rsidRPr="00B40CB3">
        <w:rPr>
          <w:rFonts w:asciiTheme="minorHAnsi" w:hAnsiTheme="minorHAnsi" w:cstheme="minorHAnsi"/>
          <w:i/>
          <w:iCs/>
        </w:rPr>
        <w:t xml:space="preserve"> </w:t>
      </w:r>
      <w:r w:rsidRPr="00B40CB3">
        <w:rPr>
          <w:rFonts w:asciiTheme="minorHAnsi" w:hAnsiTheme="minorHAnsi" w:cstheme="minorHAnsi"/>
          <w:iCs/>
        </w:rPr>
        <w:t>in order to carry out, or give effect to, the matters set out in sections 19-3</w:t>
      </w:r>
      <w:r w:rsidR="005C5262" w:rsidRPr="00B40CB3">
        <w:rPr>
          <w:rFonts w:asciiTheme="minorHAnsi" w:hAnsiTheme="minorHAnsi" w:cstheme="minorHAnsi"/>
          <w:iCs/>
        </w:rPr>
        <w:t>9, 19-40 and</w:t>
      </w:r>
      <w:r w:rsidRPr="00B40CB3">
        <w:rPr>
          <w:rFonts w:asciiTheme="minorHAnsi" w:hAnsiTheme="minorHAnsi" w:cstheme="minorHAnsi"/>
          <w:iCs/>
        </w:rPr>
        <w:t> </w:t>
      </w:r>
      <w:r w:rsidRPr="7A9BEB49">
        <w:rPr>
          <w:rFonts w:asciiTheme="minorHAnsi" w:hAnsiTheme="minorHAnsi"/>
        </w:rPr>
        <w:t>1967</w:t>
      </w:r>
      <w:r w:rsidRPr="00B40CB3">
        <w:rPr>
          <w:rFonts w:asciiTheme="minorHAnsi" w:hAnsiTheme="minorHAnsi" w:cstheme="minorHAnsi"/>
          <w:iCs/>
        </w:rPr>
        <w:t xml:space="preserve"> of HESA.</w:t>
      </w:r>
    </w:p>
    <w:p w14:paraId="0378932B" w14:textId="68463E8D" w:rsidR="009478E4" w:rsidRPr="00B40CB3" w:rsidRDefault="009478E4" w:rsidP="676CCB40">
      <w:pPr>
        <w:spacing w:before="120" w:after="120"/>
        <w:rPr>
          <w:rFonts w:asciiTheme="minorHAnsi" w:hAnsiTheme="minorHAnsi"/>
        </w:rPr>
      </w:pPr>
      <w:r w:rsidRPr="676CCB40">
        <w:rPr>
          <w:rFonts w:asciiTheme="minorHAnsi" w:hAnsiTheme="minorHAnsi"/>
        </w:rPr>
        <w:t>Under subsection 33(3) of the </w:t>
      </w:r>
      <w:r w:rsidRPr="676CCB40">
        <w:rPr>
          <w:rFonts w:asciiTheme="minorHAnsi" w:hAnsiTheme="minorHAnsi"/>
          <w:i/>
          <w:iCs/>
        </w:rPr>
        <w:t>Acts Interpretation Act 1901</w:t>
      </w:r>
      <w:r w:rsidRPr="676CCB40">
        <w:rPr>
          <w:rFonts w:asciiTheme="minorHAnsi" w:hAnsiTheme="minorHAnsi"/>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amendments to the</w:t>
      </w:r>
      <w:r w:rsidR="00E25C50" w:rsidRPr="676CCB40">
        <w:rPr>
          <w:rFonts w:asciiTheme="minorHAnsi" w:hAnsiTheme="minorHAnsi"/>
        </w:rPr>
        <w:t xml:space="preserve"> </w:t>
      </w:r>
      <w:r w:rsidR="00041CA8" w:rsidRPr="676CCB40">
        <w:rPr>
          <w:rFonts w:asciiTheme="minorHAnsi" w:hAnsiTheme="minorHAnsi"/>
          <w:i/>
          <w:iCs/>
        </w:rPr>
        <w:t xml:space="preserve">Higher Education Support (Student Services, Amenities, Representation and Advocacy) Guidelines </w:t>
      </w:r>
      <w:r w:rsidR="00D5443E" w:rsidRPr="676CCB40">
        <w:rPr>
          <w:rFonts w:asciiTheme="minorHAnsi" w:hAnsiTheme="minorHAnsi"/>
          <w:i/>
          <w:iCs/>
        </w:rPr>
        <w:t>2022</w:t>
      </w:r>
      <w:r w:rsidR="00041CA8" w:rsidRPr="676CCB40">
        <w:rPr>
          <w:rFonts w:asciiTheme="minorHAnsi" w:hAnsiTheme="minorHAnsi"/>
          <w:i/>
          <w:iCs/>
        </w:rPr>
        <w:t xml:space="preserve"> </w:t>
      </w:r>
      <w:r w:rsidR="001C61DE" w:rsidRPr="676CCB40">
        <w:rPr>
          <w:rFonts w:asciiTheme="minorHAnsi" w:hAnsiTheme="minorHAnsi"/>
        </w:rPr>
        <w:t xml:space="preserve">(the </w:t>
      </w:r>
      <w:r w:rsidR="4E6281E5" w:rsidRPr="676CCB40">
        <w:rPr>
          <w:rFonts w:asciiTheme="minorHAnsi" w:hAnsiTheme="minorHAnsi"/>
        </w:rPr>
        <w:t>Student Services Guidelines</w:t>
      </w:r>
      <w:r w:rsidR="00F55D82" w:rsidRPr="676CCB40">
        <w:rPr>
          <w:rFonts w:asciiTheme="minorHAnsi" w:hAnsiTheme="minorHAnsi"/>
        </w:rPr>
        <w:t xml:space="preserve">) </w:t>
      </w:r>
      <w:r w:rsidRPr="676CCB40">
        <w:rPr>
          <w:rFonts w:asciiTheme="minorHAnsi" w:hAnsiTheme="minorHAnsi"/>
        </w:rPr>
        <w:t xml:space="preserve">made by the </w:t>
      </w:r>
      <w:r w:rsidR="005E692F" w:rsidRPr="676CCB40">
        <w:rPr>
          <w:rFonts w:asciiTheme="minorHAnsi" w:hAnsiTheme="minorHAnsi"/>
          <w:i/>
          <w:iCs/>
        </w:rPr>
        <w:t>Higher Education Support (Student Services, Amenities, Representation and Advocacy) Amendment (Student Led Organisations) Guidelines 2024</w:t>
      </w:r>
      <w:r w:rsidR="000401B5" w:rsidRPr="676CCB40">
        <w:rPr>
          <w:rFonts w:asciiTheme="minorHAnsi" w:hAnsiTheme="minorHAnsi"/>
          <w:i/>
          <w:iCs/>
        </w:rPr>
        <w:t xml:space="preserve"> </w:t>
      </w:r>
      <w:r w:rsidRPr="676CCB40">
        <w:rPr>
          <w:rFonts w:asciiTheme="minorHAnsi" w:hAnsiTheme="minorHAnsi"/>
        </w:rPr>
        <w:t>(the Instrument) rely on this provision.</w:t>
      </w:r>
    </w:p>
    <w:bookmarkEnd w:id="2"/>
    <w:bookmarkEnd w:id="3"/>
    <w:p w14:paraId="56CDA376" w14:textId="77777777" w:rsidR="00DA552F" w:rsidRPr="00B40CB3" w:rsidRDefault="00144950" w:rsidP="000C310A">
      <w:pPr>
        <w:pStyle w:val="Heading1"/>
      </w:pPr>
      <w:r w:rsidRPr="00B40CB3">
        <w:t>PURPOSE AND OPERATION</w:t>
      </w:r>
    </w:p>
    <w:p w14:paraId="5549E329" w14:textId="6F0AC2ED" w:rsidR="00AF4438" w:rsidRDefault="00BD72D2" w:rsidP="676CCB40">
      <w:pPr>
        <w:spacing w:before="120" w:after="120"/>
        <w:rPr>
          <w:rFonts w:asciiTheme="minorHAnsi" w:hAnsiTheme="minorHAnsi"/>
        </w:rPr>
      </w:pPr>
      <w:r w:rsidRPr="676CCB40">
        <w:rPr>
          <w:rFonts w:asciiTheme="minorHAnsi" w:hAnsiTheme="minorHAnsi"/>
        </w:rPr>
        <w:t xml:space="preserve">The Instrument amends the </w:t>
      </w:r>
      <w:r w:rsidR="09E0A704" w:rsidRPr="676CCB40">
        <w:rPr>
          <w:rFonts w:asciiTheme="minorHAnsi" w:hAnsiTheme="minorHAnsi"/>
        </w:rPr>
        <w:t xml:space="preserve">Student Services Guidelines </w:t>
      </w:r>
      <w:r w:rsidRPr="676CCB40">
        <w:rPr>
          <w:rFonts w:asciiTheme="minorHAnsi" w:hAnsiTheme="minorHAnsi"/>
        </w:rPr>
        <w:t>to</w:t>
      </w:r>
      <w:r w:rsidR="00F55D82" w:rsidRPr="676CCB40">
        <w:rPr>
          <w:rFonts w:asciiTheme="minorHAnsi" w:hAnsiTheme="minorHAnsi"/>
        </w:rPr>
        <w:t xml:space="preserve"> </w:t>
      </w:r>
      <w:r w:rsidR="00520841" w:rsidRPr="676CCB40">
        <w:rPr>
          <w:rFonts w:asciiTheme="minorHAnsi" w:hAnsiTheme="minorHAnsi"/>
        </w:rPr>
        <w:t>support</w:t>
      </w:r>
      <w:r w:rsidR="00F55D82" w:rsidRPr="676CCB40">
        <w:rPr>
          <w:rFonts w:asciiTheme="minorHAnsi" w:hAnsiTheme="minorHAnsi"/>
        </w:rPr>
        <w:t xml:space="preserve"> amendments made by the </w:t>
      </w:r>
      <w:r w:rsidR="00F55D82" w:rsidRPr="676CCB40">
        <w:rPr>
          <w:rFonts w:asciiTheme="minorHAnsi" w:hAnsiTheme="minorHAnsi"/>
          <w:i/>
          <w:iCs/>
        </w:rPr>
        <w:t xml:space="preserve">Universities Accord (Student Support and Other Measures) </w:t>
      </w:r>
      <w:r w:rsidR="00B96910" w:rsidRPr="676CCB40">
        <w:rPr>
          <w:rFonts w:asciiTheme="minorHAnsi" w:hAnsiTheme="minorHAnsi"/>
          <w:i/>
          <w:iCs/>
        </w:rPr>
        <w:t>Act</w:t>
      </w:r>
      <w:r w:rsidR="00F55D82" w:rsidRPr="676CCB40">
        <w:rPr>
          <w:rFonts w:asciiTheme="minorHAnsi" w:hAnsiTheme="minorHAnsi"/>
          <w:i/>
          <w:iCs/>
        </w:rPr>
        <w:t xml:space="preserve"> 2024</w:t>
      </w:r>
      <w:r w:rsidR="0057421E" w:rsidRPr="676CCB40">
        <w:rPr>
          <w:rFonts w:asciiTheme="minorHAnsi" w:hAnsiTheme="minorHAnsi"/>
        </w:rPr>
        <w:t xml:space="preserve"> (the </w:t>
      </w:r>
      <w:r w:rsidR="00B96910" w:rsidRPr="676CCB40">
        <w:rPr>
          <w:rFonts w:asciiTheme="minorHAnsi" w:hAnsiTheme="minorHAnsi"/>
        </w:rPr>
        <w:t>Amendment Act</w:t>
      </w:r>
      <w:r w:rsidR="0057421E" w:rsidRPr="676CCB40">
        <w:rPr>
          <w:rFonts w:asciiTheme="minorHAnsi" w:hAnsiTheme="minorHAnsi"/>
        </w:rPr>
        <w:t>)</w:t>
      </w:r>
      <w:r w:rsidR="00F55D82" w:rsidRPr="676CCB40">
        <w:rPr>
          <w:rFonts w:asciiTheme="minorHAnsi" w:hAnsiTheme="minorHAnsi"/>
        </w:rPr>
        <w:t xml:space="preserve">. </w:t>
      </w:r>
      <w:r w:rsidR="0057421E" w:rsidRPr="676CCB40">
        <w:rPr>
          <w:rFonts w:asciiTheme="minorHAnsi" w:hAnsiTheme="minorHAnsi"/>
        </w:rPr>
        <w:t>Relevantly, t</w:t>
      </w:r>
      <w:r w:rsidR="0008640B" w:rsidRPr="676CCB40">
        <w:rPr>
          <w:rFonts w:asciiTheme="minorHAnsi" w:hAnsiTheme="minorHAnsi"/>
        </w:rPr>
        <w:t xml:space="preserve">he </w:t>
      </w:r>
      <w:r w:rsidR="00B854FB" w:rsidRPr="676CCB40">
        <w:rPr>
          <w:rFonts w:asciiTheme="minorHAnsi" w:hAnsiTheme="minorHAnsi"/>
        </w:rPr>
        <w:t xml:space="preserve">Amendment Act </w:t>
      </w:r>
      <w:r w:rsidR="0008640B" w:rsidRPr="676CCB40">
        <w:rPr>
          <w:rFonts w:asciiTheme="minorHAnsi" w:hAnsiTheme="minorHAnsi"/>
        </w:rPr>
        <w:t>amend</w:t>
      </w:r>
      <w:r w:rsidR="00A2353B" w:rsidRPr="676CCB40">
        <w:rPr>
          <w:rFonts w:asciiTheme="minorHAnsi" w:hAnsiTheme="minorHAnsi"/>
        </w:rPr>
        <w:t>ed</w:t>
      </w:r>
      <w:r w:rsidR="0008640B" w:rsidRPr="676CCB40">
        <w:rPr>
          <w:rFonts w:asciiTheme="minorHAnsi" w:hAnsiTheme="minorHAnsi"/>
        </w:rPr>
        <w:t xml:space="preserve"> HESA to </w:t>
      </w:r>
      <w:r w:rsidR="00BA21A1" w:rsidRPr="676CCB40">
        <w:rPr>
          <w:rFonts w:asciiTheme="minorHAnsi" w:hAnsiTheme="minorHAnsi"/>
        </w:rPr>
        <w:t>require higher education providers to allocate a minimum of 40</w:t>
      </w:r>
      <w:r w:rsidR="00807CC0" w:rsidRPr="676CCB40">
        <w:rPr>
          <w:rFonts w:asciiTheme="minorHAnsi" w:hAnsiTheme="minorHAnsi"/>
        </w:rPr>
        <w:t> </w:t>
      </w:r>
      <w:r w:rsidR="00BA21A1" w:rsidRPr="676CCB40">
        <w:rPr>
          <w:rFonts w:asciiTheme="minorHAnsi" w:hAnsiTheme="minorHAnsi"/>
        </w:rPr>
        <w:t xml:space="preserve">per cent of their </w:t>
      </w:r>
      <w:r w:rsidR="00AF4438" w:rsidRPr="676CCB40">
        <w:rPr>
          <w:rFonts w:asciiTheme="minorHAnsi" w:hAnsiTheme="minorHAnsi"/>
        </w:rPr>
        <w:t xml:space="preserve">Student Services and Amenities Fees (SSAF) </w:t>
      </w:r>
      <w:r w:rsidR="00BA21A1" w:rsidRPr="676CCB40">
        <w:rPr>
          <w:rFonts w:asciiTheme="minorHAnsi" w:hAnsiTheme="minorHAnsi"/>
        </w:rPr>
        <w:t>revenue to student-led organisations</w:t>
      </w:r>
      <w:r w:rsidR="00EE0497" w:rsidRPr="676CCB40">
        <w:rPr>
          <w:rFonts w:asciiTheme="minorHAnsi" w:hAnsiTheme="minorHAnsi"/>
        </w:rPr>
        <w:t>.</w:t>
      </w:r>
      <w:r w:rsidR="00041039" w:rsidRPr="676CCB40">
        <w:rPr>
          <w:rFonts w:asciiTheme="minorHAnsi" w:hAnsiTheme="minorHAnsi"/>
        </w:rPr>
        <w:t xml:space="preserve"> </w:t>
      </w:r>
      <w:r w:rsidR="00215E21" w:rsidRPr="676CCB40">
        <w:rPr>
          <w:rFonts w:asciiTheme="minorHAnsi" w:hAnsiTheme="minorHAnsi"/>
        </w:rPr>
        <w:t>This</w:t>
      </w:r>
      <w:r w:rsidR="00807CC0" w:rsidRPr="676CCB40">
        <w:rPr>
          <w:rFonts w:asciiTheme="minorHAnsi" w:hAnsiTheme="minorHAnsi"/>
        </w:rPr>
        <w:t xml:space="preserve"> </w:t>
      </w:r>
      <w:r w:rsidR="4EE373B4" w:rsidRPr="676CCB40">
        <w:rPr>
          <w:rFonts w:asciiTheme="minorHAnsi" w:hAnsiTheme="minorHAnsi"/>
        </w:rPr>
        <w:t xml:space="preserve">ensures that organisations led by students benefit from a consistent and predictable stream of SSAF revenue to plan and commit to long-term student support services </w:t>
      </w:r>
      <w:r w:rsidR="65ED38FB" w:rsidRPr="676CCB40">
        <w:rPr>
          <w:rFonts w:asciiTheme="minorHAnsi" w:hAnsiTheme="minorHAnsi"/>
        </w:rPr>
        <w:t xml:space="preserve">and </w:t>
      </w:r>
      <w:r w:rsidR="4EE373B4" w:rsidRPr="676CCB40">
        <w:rPr>
          <w:rFonts w:asciiTheme="minorHAnsi" w:hAnsiTheme="minorHAnsi"/>
        </w:rPr>
        <w:t>support students to succeed in their studies</w:t>
      </w:r>
      <w:r w:rsidR="00AF4438" w:rsidRPr="676CCB40">
        <w:rPr>
          <w:rFonts w:asciiTheme="minorHAnsi" w:hAnsiTheme="minorHAnsi"/>
        </w:rPr>
        <w:t>.</w:t>
      </w:r>
    </w:p>
    <w:p w14:paraId="6338E502" w14:textId="77777777" w:rsidR="005061F9" w:rsidRDefault="005061F9" w:rsidP="005061F9">
      <w:pPr>
        <w:spacing w:before="120" w:after="120"/>
        <w:rPr>
          <w:rFonts w:asciiTheme="minorHAnsi" w:hAnsiTheme="minorHAnsi"/>
        </w:rPr>
      </w:pPr>
      <w:r w:rsidRPr="005061F9">
        <w:rPr>
          <w:rFonts w:asciiTheme="minorHAnsi" w:hAnsiTheme="minorHAnsi"/>
        </w:rPr>
        <w:t>The Amendment Act also provides for transition arrangements to be agreed by the Secretary of the Department of Education (or their delegate) that would permit a higher education provider to allocate less than 40 per cent of their SSAF revenue to student-led organisations, for up to three years for Table A providers and up to five years for other providers. This recognises the diverse ways in which services are currently delivered to students and how</w:t>
      </w:r>
      <w:r>
        <w:rPr>
          <w:rFonts w:asciiTheme="minorHAnsi" w:hAnsiTheme="minorHAnsi"/>
        </w:rPr>
        <w:t xml:space="preserve"> they </w:t>
      </w:r>
      <w:r w:rsidRPr="005061F9">
        <w:rPr>
          <w:rFonts w:asciiTheme="minorHAnsi" w:hAnsiTheme="minorHAnsi"/>
        </w:rPr>
        <w:t>may need to be adjusted to meet the new requirements</w:t>
      </w:r>
      <w:r>
        <w:rPr>
          <w:rFonts w:asciiTheme="minorHAnsi" w:hAnsiTheme="minorHAnsi"/>
        </w:rPr>
        <w:t xml:space="preserve">. </w:t>
      </w:r>
    </w:p>
    <w:p w14:paraId="3623BB64" w14:textId="14AEEAF2" w:rsidR="00DC228C" w:rsidRPr="00BC36DF" w:rsidRDefault="001E5180" w:rsidP="005061F9">
      <w:pPr>
        <w:spacing w:before="120" w:after="120"/>
        <w:rPr>
          <w:rFonts w:ascii="Calibri" w:eastAsia="Calibri" w:hAnsi="Calibri" w:cs="Calibri"/>
          <w:shd w:val="clear" w:color="auto" w:fill="FFFFFF"/>
        </w:rPr>
      </w:pPr>
      <w:r w:rsidRPr="00BC36DF">
        <w:rPr>
          <w:rFonts w:ascii="Calibri" w:eastAsia="Calibri" w:hAnsi="Calibri" w:cs="Calibri"/>
          <w:shd w:val="clear" w:color="auto" w:fill="FFFFFF"/>
        </w:rPr>
        <w:t xml:space="preserve">The Instrument </w:t>
      </w:r>
      <w:r w:rsidR="00B824F7" w:rsidRPr="00BC36DF">
        <w:rPr>
          <w:rFonts w:ascii="Calibri" w:eastAsia="Calibri" w:hAnsi="Calibri" w:cs="Calibri"/>
          <w:shd w:val="clear" w:color="auto" w:fill="FFFFFF"/>
        </w:rPr>
        <w:t xml:space="preserve">amends </w:t>
      </w:r>
      <w:r w:rsidR="00EF03DB" w:rsidRPr="00BC36DF">
        <w:rPr>
          <w:rFonts w:ascii="Calibri" w:eastAsia="Calibri" w:hAnsi="Calibri" w:cs="Calibri"/>
          <w:shd w:val="clear" w:color="auto" w:fill="FFFFFF"/>
        </w:rPr>
        <w:t xml:space="preserve">the </w:t>
      </w:r>
      <w:r w:rsidR="5A12BC25" w:rsidRPr="00BC36DF">
        <w:rPr>
          <w:rFonts w:ascii="Calibri" w:eastAsia="Calibri" w:hAnsi="Calibri" w:cs="Calibri"/>
          <w:shd w:val="clear" w:color="auto" w:fill="FFFFFF"/>
        </w:rPr>
        <w:t>Student Services Guidelines</w:t>
      </w:r>
      <w:r w:rsidR="00EF03DB" w:rsidRPr="00BC36DF">
        <w:rPr>
          <w:rFonts w:ascii="Calibri" w:eastAsia="Calibri" w:hAnsi="Calibri" w:cs="Calibri"/>
          <w:shd w:val="clear" w:color="auto" w:fill="FFFFFF"/>
        </w:rPr>
        <w:t xml:space="preserve"> to</w:t>
      </w:r>
      <w:r w:rsidR="008A1BAA" w:rsidRPr="00BC36DF">
        <w:rPr>
          <w:rFonts w:ascii="Calibri" w:eastAsia="Calibri" w:hAnsi="Calibri" w:cs="Calibri"/>
          <w:shd w:val="clear" w:color="auto" w:fill="FFFFFF"/>
        </w:rPr>
        <w:t xml:space="preserve"> </w:t>
      </w:r>
      <w:r w:rsidR="00855086" w:rsidRPr="00BC36DF">
        <w:rPr>
          <w:rFonts w:ascii="Calibri" w:eastAsia="Calibri" w:hAnsi="Calibri" w:cs="Calibri"/>
          <w:shd w:val="clear" w:color="auto" w:fill="FFFFFF"/>
        </w:rPr>
        <w:t xml:space="preserve">prescribe additional requirements </w:t>
      </w:r>
      <w:r w:rsidR="00510734" w:rsidRPr="00BC36DF">
        <w:rPr>
          <w:rFonts w:ascii="Calibri" w:eastAsia="Calibri" w:hAnsi="Calibri" w:cs="Calibri"/>
          <w:shd w:val="clear" w:color="auto" w:fill="FFFFFF"/>
        </w:rPr>
        <w:t xml:space="preserve">that </w:t>
      </w:r>
      <w:r w:rsidR="00D14D7B" w:rsidRPr="00BC36DF">
        <w:rPr>
          <w:rFonts w:ascii="Calibri" w:eastAsia="Calibri" w:hAnsi="Calibri" w:cs="Calibri"/>
          <w:shd w:val="clear" w:color="auto" w:fill="FFFFFF"/>
        </w:rPr>
        <w:t xml:space="preserve">must be met </w:t>
      </w:r>
      <w:r w:rsidR="00783709" w:rsidRPr="00BC36DF">
        <w:rPr>
          <w:rFonts w:ascii="Calibri" w:eastAsia="Calibri" w:hAnsi="Calibri" w:cs="Calibri"/>
          <w:shd w:val="clear" w:color="auto" w:fill="FFFFFF"/>
        </w:rPr>
        <w:t xml:space="preserve">by </w:t>
      </w:r>
      <w:r w:rsidR="00D14D7B" w:rsidRPr="00BC36DF">
        <w:rPr>
          <w:rFonts w:ascii="Calibri" w:eastAsia="Calibri" w:hAnsi="Calibri" w:cs="Calibri"/>
          <w:shd w:val="clear" w:color="auto" w:fill="FFFFFF"/>
        </w:rPr>
        <w:t xml:space="preserve">a student-led organisation </w:t>
      </w:r>
      <w:r w:rsidR="00783709" w:rsidRPr="00BC36DF">
        <w:rPr>
          <w:rFonts w:ascii="Calibri" w:eastAsia="Calibri" w:hAnsi="Calibri" w:cs="Calibri"/>
          <w:shd w:val="clear" w:color="auto" w:fill="FFFFFF"/>
        </w:rPr>
        <w:t xml:space="preserve">before it </w:t>
      </w:r>
      <w:r w:rsidR="00D14D7B" w:rsidRPr="00BC36DF">
        <w:rPr>
          <w:rFonts w:ascii="Calibri" w:eastAsia="Calibri" w:hAnsi="Calibri" w:cs="Calibri"/>
          <w:shd w:val="clear" w:color="auto" w:fill="FFFFFF"/>
        </w:rPr>
        <w:t xml:space="preserve">can be considered </w:t>
      </w:r>
      <w:r w:rsidR="009E7BA0" w:rsidRPr="00BC36DF">
        <w:rPr>
          <w:rFonts w:ascii="Calibri" w:eastAsia="Calibri" w:hAnsi="Calibri" w:cs="Calibri"/>
          <w:shd w:val="clear" w:color="auto" w:fill="FFFFFF"/>
        </w:rPr>
        <w:t xml:space="preserve">by </w:t>
      </w:r>
      <w:r w:rsidR="009E7BA0" w:rsidRPr="00BC36DF">
        <w:rPr>
          <w:rFonts w:ascii="Calibri" w:eastAsia="Calibri" w:hAnsi="Calibri" w:cs="Calibri"/>
          <w:shd w:val="clear" w:color="auto" w:fill="FFFFFF"/>
        </w:rPr>
        <w:lastRenderedPageBreak/>
        <w:t xml:space="preserve">the higher education provider as an organisation </w:t>
      </w:r>
      <w:r w:rsidR="1480E392" w:rsidRPr="00BC36DF">
        <w:rPr>
          <w:rFonts w:ascii="Calibri" w:eastAsia="Calibri" w:hAnsi="Calibri" w:cs="Calibri"/>
          <w:shd w:val="clear" w:color="auto" w:fill="FFFFFF"/>
        </w:rPr>
        <w:t xml:space="preserve">whose revenue can be counted towards </w:t>
      </w:r>
      <w:r w:rsidR="68BB8355" w:rsidRPr="00BC36DF">
        <w:rPr>
          <w:rFonts w:ascii="Calibri" w:eastAsia="Calibri" w:hAnsi="Calibri" w:cs="Calibri"/>
          <w:shd w:val="clear" w:color="auto" w:fill="FFFFFF"/>
        </w:rPr>
        <w:t xml:space="preserve">satisfying the requirement for the provider to allocate at least </w:t>
      </w:r>
      <w:r w:rsidR="00DC228C" w:rsidRPr="00BC36DF">
        <w:rPr>
          <w:rFonts w:ascii="Calibri" w:eastAsia="Calibri" w:hAnsi="Calibri" w:cs="Calibri"/>
          <w:shd w:val="clear" w:color="auto" w:fill="FFFFFF"/>
        </w:rPr>
        <w:t xml:space="preserve">40 per cent of </w:t>
      </w:r>
      <w:r w:rsidR="37AE4F41" w:rsidRPr="00BC36DF">
        <w:rPr>
          <w:rFonts w:ascii="Calibri" w:eastAsia="Calibri" w:hAnsi="Calibri" w:cs="Calibri"/>
          <w:shd w:val="clear" w:color="auto" w:fill="FFFFFF"/>
        </w:rPr>
        <w:t xml:space="preserve">its </w:t>
      </w:r>
      <w:r w:rsidR="00DC228C" w:rsidRPr="00BC36DF">
        <w:rPr>
          <w:rFonts w:ascii="Calibri" w:eastAsia="Calibri" w:hAnsi="Calibri" w:cs="Calibri"/>
          <w:shd w:val="clear" w:color="auto" w:fill="FFFFFF"/>
        </w:rPr>
        <w:t>SSAF revenue</w:t>
      </w:r>
      <w:r w:rsidR="0337F82D" w:rsidRPr="00BC36DF">
        <w:rPr>
          <w:rFonts w:ascii="Calibri" w:eastAsia="Calibri" w:hAnsi="Calibri" w:cs="Calibri"/>
          <w:shd w:val="clear" w:color="auto" w:fill="FFFFFF"/>
        </w:rPr>
        <w:t xml:space="preserve"> to student-led organisations</w:t>
      </w:r>
      <w:r w:rsidR="00DC228C" w:rsidRPr="00BC36DF">
        <w:rPr>
          <w:rFonts w:ascii="Calibri" w:eastAsia="Calibri" w:hAnsi="Calibri" w:cs="Calibri"/>
          <w:shd w:val="clear" w:color="auto" w:fill="FFFFFF"/>
        </w:rPr>
        <w:t xml:space="preserve">. </w:t>
      </w:r>
      <w:r w:rsidR="0079414A" w:rsidRPr="00BC36DF">
        <w:rPr>
          <w:rFonts w:ascii="Calibri" w:eastAsia="Calibri" w:hAnsi="Calibri" w:cs="Calibri"/>
          <w:shd w:val="clear" w:color="auto" w:fill="FFFFFF"/>
        </w:rPr>
        <w:t xml:space="preserve">These requirements are </w:t>
      </w:r>
      <w:r w:rsidR="00E716E9" w:rsidRPr="00BC36DF">
        <w:rPr>
          <w:rFonts w:ascii="Calibri" w:eastAsia="Calibri" w:hAnsi="Calibri" w:cs="Calibri"/>
          <w:shd w:val="clear" w:color="auto" w:fill="FFFFFF"/>
        </w:rPr>
        <w:t xml:space="preserve">aimed at </w:t>
      </w:r>
      <w:r w:rsidR="00C80284" w:rsidRPr="00BC36DF">
        <w:rPr>
          <w:rFonts w:ascii="Calibri" w:eastAsia="Calibri" w:hAnsi="Calibri" w:cs="Calibri"/>
          <w:shd w:val="clear" w:color="auto" w:fill="FFFFFF"/>
        </w:rPr>
        <w:t>ensuring the student</w:t>
      </w:r>
      <w:r w:rsidR="04E6DE13" w:rsidRPr="00BC36DF">
        <w:rPr>
          <w:rFonts w:ascii="Calibri" w:eastAsia="Calibri" w:hAnsi="Calibri" w:cs="Calibri"/>
          <w:shd w:val="clear" w:color="auto" w:fill="FFFFFF"/>
        </w:rPr>
        <w:t>-</w:t>
      </w:r>
      <w:r w:rsidR="00C80284" w:rsidRPr="00BC36DF">
        <w:rPr>
          <w:rFonts w:ascii="Calibri" w:eastAsia="Calibri" w:hAnsi="Calibri" w:cs="Calibri"/>
          <w:shd w:val="clear" w:color="auto" w:fill="FFFFFF"/>
        </w:rPr>
        <w:t xml:space="preserve">led organisation is </w:t>
      </w:r>
      <w:r w:rsidR="00E716E9" w:rsidRPr="00BC36DF">
        <w:rPr>
          <w:rFonts w:ascii="Calibri" w:eastAsia="Calibri" w:hAnsi="Calibri" w:cs="Calibri"/>
          <w:shd w:val="clear" w:color="auto" w:fill="FFFFFF"/>
        </w:rPr>
        <w:t>independen</w:t>
      </w:r>
      <w:r w:rsidR="00C80284" w:rsidRPr="00BC36DF">
        <w:rPr>
          <w:rFonts w:ascii="Calibri" w:eastAsia="Calibri" w:hAnsi="Calibri" w:cs="Calibri"/>
          <w:shd w:val="clear" w:color="auto" w:fill="FFFFFF"/>
        </w:rPr>
        <w:t xml:space="preserve">t and has </w:t>
      </w:r>
      <w:r w:rsidR="00E716E9" w:rsidRPr="00BC36DF">
        <w:rPr>
          <w:rFonts w:ascii="Calibri" w:eastAsia="Calibri" w:hAnsi="Calibri" w:cs="Calibri"/>
          <w:shd w:val="clear" w:color="auto" w:fill="FFFFFF"/>
        </w:rPr>
        <w:t xml:space="preserve">good governance </w:t>
      </w:r>
      <w:r w:rsidR="00C80284" w:rsidRPr="00BC36DF">
        <w:rPr>
          <w:rFonts w:ascii="Calibri" w:eastAsia="Calibri" w:hAnsi="Calibri" w:cs="Calibri"/>
          <w:shd w:val="clear" w:color="auto" w:fill="FFFFFF"/>
        </w:rPr>
        <w:t>arrangements in place</w:t>
      </w:r>
      <w:r w:rsidR="009629D1" w:rsidRPr="00BC36DF">
        <w:rPr>
          <w:rFonts w:ascii="Calibri" w:eastAsia="Calibri" w:hAnsi="Calibri" w:cs="Calibri"/>
          <w:shd w:val="clear" w:color="auto" w:fill="FFFFFF"/>
        </w:rPr>
        <w:t>.</w:t>
      </w:r>
    </w:p>
    <w:p w14:paraId="07F56D82" w14:textId="30AD3506" w:rsidR="00B816F4" w:rsidRDefault="007844D5" w:rsidP="00367601">
      <w:pPr>
        <w:spacing w:before="120" w:after="120"/>
        <w:rPr>
          <w:rFonts w:ascii="Calibri" w:eastAsia="Calibri" w:hAnsi="Calibri" w:cs="Calibri"/>
          <w:shd w:val="clear" w:color="auto" w:fill="FFFFFF"/>
        </w:rPr>
      </w:pPr>
      <w:r w:rsidRPr="00BC36DF">
        <w:rPr>
          <w:rFonts w:ascii="Calibri" w:eastAsia="Calibri" w:hAnsi="Calibri" w:cs="Calibri"/>
          <w:shd w:val="clear" w:color="auto" w:fill="FFFFFF"/>
        </w:rPr>
        <w:t>The Instrument also</w:t>
      </w:r>
      <w:r w:rsidR="00D46917" w:rsidRPr="00BC36DF">
        <w:rPr>
          <w:rFonts w:ascii="Calibri" w:eastAsia="Calibri" w:hAnsi="Calibri" w:cs="Calibri"/>
          <w:shd w:val="clear" w:color="auto" w:fill="FFFFFF"/>
        </w:rPr>
        <w:t xml:space="preserve"> amends the </w:t>
      </w:r>
      <w:r w:rsidR="662CB3BA" w:rsidRPr="00BC36DF">
        <w:rPr>
          <w:rFonts w:ascii="Calibri" w:eastAsia="Calibri" w:hAnsi="Calibri" w:cs="Calibri"/>
          <w:shd w:val="clear" w:color="auto" w:fill="FFFFFF"/>
        </w:rPr>
        <w:t>Student Services Guidelines</w:t>
      </w:r>
      <w:r w:rsidR="00D46917" w:rsidRPr="00BC36DF">
        <w:rPr>
          <w:rFonts w:ascii="Calibri" w:eastAsia="Calibri" w:hAnsi="Calibri" w:cs="Calibri"/>
          <w:shd w:val="clear" w:color="auto" w:fill="FFFFFF"/>
        </w:rPr>
        <w:t xml:space="preserve"> to </w:t>
      </w:r>
      <w:r w:rsidR="00872756" w:rsidRPr="676CCB40">
        <w:rPr>
          <w:rFonts w:asciiTheme="minorHAnsi" w:hAnsiTheme="minorHAnsi"/>
        </w:rPr>
        <w:t xml:space="preserve">prescribe </w:t>
      </w:r>
      <w:r w:rsidR="00093F0A" w:rsidRPr="676CCB40">
        <w:rPr>
          <w:rFonts w:asciiTheme="minorHAnsi" w:hAnsiTheme="minorHAnsi"/>
        </w:rPr>
        <w:t xml:space="preserve">the </w:t>
      </w:r>
      <w:r w:rsidR="00973B75" w:rsidRPr="676CCB40">
        <w:rPr>
          <w:rFonts w:asciiTheme="minorHAnsi" w:hAnsiTheme="minorHAnsi"/>
        </w:rPr>
        <w:t xml:space="preserve">period </w:t>
      </w:r>
      <w:r w:rsidR="00C7793C" w:rsidRPr="00BC36DF">
        <w:rPr>
          <w:rFonts w:ascii="Calibri" w:eastAsia="Calibri" w:hAnsi="Calibri" w:cs="Calibri"/>
          <w:shd w:val="clear" w:color="auto" w:fill="FFFFFF"/>
        </w:rPr>
        <w:t xml:space="preserve">in which </w:t>
      </w:r>
      <w:r w:rsidR="00C25C71" w:rsidRPr="00BC36DF">
        <w:rPr>
          <w:rFonts w:ascii="Calibri" w:eastAsia="Calibri" w:hAnsi="Calibri" w:cs="Calibri"/>
          <w:shd w:val="clear" w:color="auto" w:fill="FFFFFF"/>
        </w:rPr>
        <w:t>a</w:t>
      </w:r>
      <w:r w:rsidR="00C7793C" w:rsidRPr="00BC36DF">
        <w:rPr>
          <w:rFonts w:ascii="Calibri" w:eastAsia="Calibri" w:hAnsi="Calibri" w:cs="Calibri"/>
          <w:shd w:val="clear" w:color="auto" w:fill="FFFFFF"/>
        </w:rPr>
        <w:t xml:space="preserve"> higher education provider must make </w:t>
      </w:r>
      <w:r w:rsidR="007B1D74" w:rsidRPr="00BC36DF">
        <w:rPr>
          <w:rFonts w:ascii="Calibri" w:eastAsia="Calibri" w:hAnsi="Calibri" w:cs="Calibri"/>
          <w:shd w:val="clear" w:color="auto" w:fill="FFFFFF"/>
        </w:rPr>
        <w:t xml:space="preserve">an </w:t>
      </w:r>
      <w:r w:rsidR="00C7793C" w:rsidRPr="00BC36DF">
        <w:rPr>
          <w:rFonts w:ascii="Calibri" w:eastAsia="Calibri" w:hAnsi="Calibri" w:cs="Calibri"/>
          <w:shd w:val="clear" w:color="auto" w:fill="FFFFFF"/>
        </w:rPr>
        <w:t>application in relation to transitional arrangements</w:t>
      </w:r>
      <w:r w:rsidR="007B1D74" w:rsidRPr="00BC36DF">
        <w:rPr>
          <w:rFonts w:ascii="Calibri" w:eastAsia="Calibri" w:hAnsi="Calibri" w:cs="Calibri"/>
          <w:shd w:val="clear" w:color="auto" w:fill="FFFFFF"/>
        </w:rPr>
        <w:t>.</w:t>
      </w:r>
    </w:p>
    <w:p w14:paraId="626F1531" w14:textId="21BCA2BF" w:rsidR="00350779" w:rsidRPr="00350779" w:rsidRDefault="00144950" w:rsidP="000C310A">
      <w:pPr>
        <w:pStyle w:val="Heading1"/>
      </w:pPr>
      <w:r>
        <w:t>IMPACT</w:t>
      </w:r>
      <w:r w:rsidR="00C90E38">
        <w:t xml:space="preserve"> </w:t>
      </w:r>
      <w:r w:rsidR="00C90E38" w:rsidRPr="00C90E38">
        <w:t>ANALYSIS</w:t>
      </w:r>
    </w:p>
    <w:p w14:paraId="1A89409F" w14:textId="5E2B43C1" w:rsidR="00E21595" w:rsidRPr="009405FF" w:rsidRDefault="00E21595" w:rsidP="00E21595">
      <w:pPr>
        <w:spacing w:before="120" w:after="120"/>
        <w:rPr>
          <w:rFonts w:asciiTheme="minorHAnsi" w:hAnsiTheme="minorHAnsi" w:cstheme="minorHAnsi"/>
          <w:bCs/>
          <w:iCs/>
          <w:szCs w:val="24"/>
        </w:rPr>
      </w:pPr>
      <w:r>
        <w:rPr>
          <w:rFonts w:asciiTheme="minorHAnsi" w:hAnsiTheme="minorHAnsi" w:cstheme="minorHAnsi"/>
          <w:iCs/>
          <w:szCs w:val="24"/>
        </w:rPr>
        <w:t xml:space="preserve">The </w:t>
      </w:r>
      <w:r>
        <w:rPr>
          <w:rFonts w:asciiTheme="minorHAnsi" w:hAnsiTheme="minorHAnsi" w:cstheme="minorHAnsi"/>
        </w:rPr>
        <w:t xml:space="preserve">Department of Education </w:t>
      </w:r>
      <w:r>
        <w:rPr>
          <w:rFonts w:asciiTheme="minorHAnsi" w:hAnsiTheme="minorHAnsi" w:cstheme="minorHAnsi"/>
          <w:iCs/>
          <w:szCs w:val="24"/>
        </w:rPr>
        <w:t xml:space="preserve">approached the Office of Impact Analysis (OIA) to seek advice </w:t>
      </w:r>
      <w:r w:rsidR="008964EA">
        <w:rPr>
          <w:rFonts w:asciiTheme="minorHAnsi" w:hAnsiTheme="minorHAnsi" w:cstheme="minorHAnsi"/>
          <w:iCs/>
          <w:szCs w:val="24"/>
        </w:rPr>
        <w:t xml:space="preserve">on whether </w:t>
      </w:r>
      <w:r>
        <w:rPr>
          <w:rFonts w:asciiTheme="minorHAnsi" w:hAnsiTheme="minorHAnsi" w:cstheme="minorHAnsi"/>
          <w:iCs/>
          <w:szCs w:val="24"/>
        </w:rPr>
        <w:t>an Impact Analysis</w:t>
      </w:r>
      <w:r w:rsidR="00F26940">
        <w:rPr>
          <w:rFonts w:asciiTheme="minorHAnsi" w:hAnsiTheme="minorHAnsi" w:cstheme="minorHAnsi"/>
          <w:iCs/>
          <w:szCs w:val="24"/>
        </w:rPr>
        <w:t xml:space="preserve"> </w:t>
      </w:r>
      <w:r>
        <w:rPr>
          <w:rFonts w:asciiTheme="minorHAnsi" w:hAnsiTheme="minorHAnsi" w:cstheme="minorHAnsi"/>
          <w:iCs/>
          <w:szCs w:val="24"/>
        </w:rPr>
        <w:t xml:space="preserve">was required and provided </w:t>
      </w:r>
      <w:r w:rsidR="000B2794">
        <w:rPr>
          <w:rFonts w:asciiTheme="minorHAnsi" w:hAnsiTheme="minorHAnsi" w:cstheme="minorHAnsi"/>
          <w:iCs/>
          <w:szCs w:val="24"/>
        </w:rPr>
        <w:t>a</w:t>
      </w:r>
      <w:r w:rsidR="00016E5D">
        <w:rPr>
          <w:rFonts w:asciiTheme="minorHAnsi" w:hAnsiTheme="minorHAnsi" w:cstheme="minorHAnsi"/>
          <w:iCs/>
          <w:szCs w:val="24"/>
        </w:rPr>
        <w:t xml:space="preserve">n </w:t>
      </w:r>
      <w:r w:rsidR="00016E5D" w:rsidRPr="00016E5D">
        <w:rPr>
          <w:rFonts w:asciiTheme="minorHAnsi" w:hAnsiTheme="minorHAnsi" w:cstheme="minorHAnsi"/>
          <w:iCs/>
          <w:szCs w:val="24"/>
        </w:rPr>
        <w:t>Australian Government Impact Analysis Preliminary Assessment Form </w:t>
      </w:r>
      <w:r>
        <w:rPr>
          <w:rFonts w:asciiTheme="minorHAnsi" w:hAnsiTheme="minorHAnsi" w:cstheme="minorHAnsi"/>
          <w:iCs/>
          <w:szCs w:val="24"/>
        </w:rPr>
        <w:t>for the</w:t>
      </w:r>
      <w:r w:rsidR="00F26940">
        <w:rPr>
          <w:rFonts w:asciiTheme="minorHAnsi" w:hAnsiTheme="minorHAnsi" w:cstheme="minorHAnsi"/>
          <w:iCs/>
          <w:szCs w:val="24"/>
        </w:rPr>
        <w:t xml:space="preserve"> Instrument</w:t>
      </w:r>
      <w:r w:rsidRPr="009405FF">
        <w:rPr>
          <w:rFonts w:asciiTheme="minorHAnsi" w:hAnsiTheme="minorHAnsi" w:cstheme="minorHAnsi"/>
          <w:bCs/>
          <w:iCs/>
          <w:szCs w:val="24"/>
        </w:rPr>
        <w:t>.</w:t>
      </w:r>
    </w:p>
    <w:p w14:paraId="0AFFEB23" w14:textId="1AF9FDF8" w:rsidR="007A4ECF" w:rsidRDefault="00E21595" w:rsidP="00E21595">
      <w:pPr>
        <w:spacing w:before="120" w:after="120"/>
        <w:rPr>
          <w:rFonts w:asciiTheme="minorHAnsi" w:hAnsiTheme="minorHAnsi" w:cstheme="minorHAnsi"/>
          <w:iCs/>
          <w:szCs w:val="24"/>
        </w:rPr>
      </w:pPr>
      <w:r>
        <w:rPr>
          <w:rFonts w:asciiTheme="minorHAnsi" w:hAnsiTheme="minorHAnsi" w:cstheme="minorHAnsi"/>
          <w:iCs/>
          <w:szCs w:val="24"/>
        </w:rPr>
        <w:t>T</w:t>
      </w:r>
      <w:r w:rsidRPr="008906AC">
        <w:rPr>
          <w:rFonts w:asciiTheme="minorHAnsi" w:hAnsiTheme="minorHAnsi" w:cstheme="minorHAnsi"/>
          <w:iCs/>
          <w:szCs w:val="24"/>
        </w:rPr>
        <w:t xml:space="preserve">he OIA determined that a detailed </w:t>
      </w:r>
      <w:r w:rsidR="00F26940">
        <w:rPr>
          <w:rFonts w:asciiTheme="minorHAnsi" w:hAnsiTheme="minorHAnsi" w:cstheme="minorHAnsi"/>
          <w:iCs/>
          <w:szCs w:val="24"/>
        </w:rPr>
        <w:t>Impact Analysis</w:t>
      </w:r>
      <w:r w:rsidRPr="008906AC">
        <w:rPr>
          <w:rFonts w:asciiTheme="minorHAnsi" w:hAnsiTheme="minorHAnsi" w:cstheme="minorHAnsi"/>
          <w:iCs/>
          <w:szCs w:val="24"/>
        </w:rPr>
        <w:t xml:space="preserve"> </w:t>
      </w:r>
      <w:r>
        <w:rPr>
          <w:rFonts w:asciiTheme="minorHAnsi" w:hAnsiTheme="minorHAnsi" w:cstheme="minorHAnsi"/>
          <w:iCs/>
          <w:szCs w:val="24"/>
        </w:rPr>
        <w:t>was</w:t>
      </w:r>
      <w:r w:rsidRPr="008906AC">
        <w:rPr>
          <w:rFonts w:asciiTheme="minorHAnsi" w:hAnsiTheme="minorHAnsi" w:cstheme="minorHAnsi"/>
          <w:iCs/>
          <w:szCs w:val="24"/>
        </w:rPr>
        <w:t xml:space="preserve"> not required</w:t>
      </w:r>
      <w:r>
        <w:rPr>
          <w:rFonts w:asciiTheme="minorHAnsi" w:hAnsiTheme="minorHAnsi" w:cstheme="minorHAnsi"/>
          <w:iCs/>
          <w:szCs w:val="24"/>
        </w:rPr>
        <w:t xml:space="preserve"> for </w:t>
      </w:r>
      <w:r w:rsidR="00AB0861">
        <w:rPr>
          <w:rFonts w:asciiTheme="minorHAnsi" w:hAnsiTheme="minorHAnsi" w:cstheme="minorHAnsi"/>
          <w:iCs/>
          <w:szCs w:val="24"/>
        </w:rPr>
        <w:t>the</w:t>
      </w:r>
      <w:r w:rsidR="00F26940">
        <w:rPr>
          <w:rFonts w:asciiTheme="minorHAnsi" w:hAnsiTheme="minorHAnsi" w:cstheme="minorHAnsi"/>
          <w:iCs/>
          <w:szCs w:val="24"/>
        </w:rPr>
        <w:t xml:space="preserve"> Instrument </w:t>
      </w:r>
      <w:r>
        <w:rPr>
          <w:rFonts w:asciiTheme="minorHAnsi" w:hAnsiTheme="minorHAnsi" w:cstheme="minorHAnsi"/>
          <w:iCs/>
          <w:szCs w:val="24"/>
        </w:rPr>
        <w:t>(</w:t>
      </w:r>
      <w:r w:rsidRPr="00850C33">
        <w:rPr>
          <w:rFonts w:asciiTheme="minorHAnsi" w:hAnsiTheme="minorHAnsi" w:cstheme="minorHAnsi"/>
          <w:iCs/>
          <w:szCs w:val="24"/>
        </w:rPr>
        <w:t xml:space="preserve">reference </w:t>
      </w:r>
      <w:r w:rsidR="00850C33" w:rsidRPr="00850C33">
        <w:rPr>
          <w:rFonts w:asciiTheme="minorHAnsi" w:hAnsiTheme="minorHAnsi" w:cstheme="minorHAnsi"/>
          <w:iCs/>
          <w:szCs w:val="24"/>
        </w:rPr>
        <w:t>OIA24-07150</w:t>
      </w:r>
      <w:r w:rsidRPr="00850C33">
        <w:rPr>
          <w:rFonts w:asciiTheme="minorHAnsi" w:hAnsiTheme="minorHAnsi" w:cstheme="minorHAnsi"/>
          <w:iCs/>
          <w:szCs w:val="24"/>
        </w:rPr>
        <w:t>).</w:t>
      </w:r>
    </w:p>
    <w:p w14:paraId="4818CCF0" w14:textId="77777777" w:rsidR="00696CF0" w:rsidRPr="0088497A" w:rsidRDefault="00144950" w:rsidP="000C310A">
      <w:pPr>
        <w:pStyle w:val="Heading1"/>
      </w:pPr>
      <w:r w:rsidRPr="0088497A">
        <w:t>COMMENC</w:t>
      </w:r>
      <w:r>
        <w:t>E</w:t>
      </w:r>
      <w:r w:rsidRPr="0088497A">
        <w:t>MENT</w:t>
      </w:r>
    </w:p>
    <w:p w14:paraId="7A7AF185" w14:textId="66A5DF12" w:rsidR="00696CF0" w:rsidRPr="00455C2A" w:rsidRDefault="000D6E6F" w:rsidP="676CCB40">
      <w:pPr>
        <w:spacing w:before="120" w:after="120"/>
        <w:rPr>
          <w:rFonts w:asciiTheme="minorHAnsi" w:hAnsiTheme="minorHAnsi"/>
          <w:i/>
          <w:iCs/>
          <w:color w:val="FF0000"/>
        </w:rPr>
      </w:pPr>
      <w:r w:rsidRPr="676CCB40">
        <w:rPr>
          <w:rFonts w:asciiTheme="minorHAnsi" w:hAnsiTheme="minorHAnsi"/>
        </w:rPr>
        <w:t xml:space="preserve">The Instrument </w:t>
      </w:r>
      <w:r w:rsidR="008B5BA2" w:rsidRPr="676CCB40">
        <w:rPr>
          <w:rFonts w:asciiTheme="minorHAnsi" w:hAnsiTheme="minorHAnsi"/>
        </w:rPr>
        <w:t>will commence immediately after the relevant amendments to HESA made by the Amendment Act commence</w:t>
      </w:r>
      <w:r w:rsidR="0A723E8C" w:rsidRPr="676CCB40">
        <w:rPr>
          <w:rFonts w:asciiTheme="minorHAnsi" w:hAnsiTheme="minorHAnsi"/>
        </w:rPr>
        <w:t>,</w:t>
      </w:r>
      <w:r w:rsidR="008B5BA2" w:rsidRPr="676CCB40">
        <w:rPr>
          <w:rFonts w:asciiTheme="minorHAnsi" w:hAnsiTheme="minorHAnsi"/>
        </w:rPr>
        <w:t xml:space="preserve"> </w:t>
      </w:r>
      <w:r w:rsidRPr="676CCB40">
        <w:rPr>
          <w:rFonts w:asciiTheme="minorHAnsi" w:hAnsiTheme="minorHAnsi"/>
        </w:rPr>
        <w:t xml:space="preserve">on </w:t>
      </w:r>
      <w:r w:rsidR="0038206C" w:rsidRPr="676CCB40">
        <w:rPr>
          <w:rFonts w:asciiTheme="minorHAnsi" w:hAnsiTheme="minorHAnsi"/>
        </w:rPr>
        <w:t>1 January 2025.</w:t>
      </w:r>
      <w:r w:rsidR="00117C3F" w:rsidRPr="676CCB40">
        <w:rPr>
          <w:rFonts w:asciiTheme="minorHAnsi" w:hAnsiTheme="minorHAnsi"/>
        </w:rPr>
        <w:t xml:space="preserve"> </w:t>
      </w:r>
    </w:p>
    <w:p w14:paraId="59906F74" w14:textId="77777777" w:rsidR="00696CF0" w:rsidRPr="008134D5" w:rsidRDefault="00144950" w:rsidP="000C310A">
      <w:pPr>
        <w:pStyle w:val="Heading1"/>
      </w:pPr>
      <w:bookmarkStart w:id="4" w:name="_Toc34293360"/>
      <w:r w:rsidRPr="008134D5">
        <w:t>CONSULTATION</w:t>
      </w:r>
      <w:bookmarkEnd w:id="4"/>
    </w:p>
    <w:p w14:paraId="2A4884C1" w14:textId="6F8B6C6F" w:rsidR="00BA363B" w:rsidRDefault="00684390" w:rsidP="00883819">
      <w:pPr>
        <w:spacing w:before="120" w:after="120"/>
        <w:rPr>
          <w:rFonts w:asciiTheme="minorHAnsi" w:hAnsiTheme="minorHAnsi"/>
        </w:rPr>
      </w:pPr>
      <w:bookmarkStart w:id="5" w:name="_Hlk177466936"/>
      <w:r w:rsidRPr="00C4397C">
        <w:rPr>
          <w:rFonts w:asciiTheme="minorHAnsi" w:hAnsiTheme="minorHAnsi"/>
        </w:rPr>
        <w:t xml:space="preserve">The Instrument gives operation to amendments </w:t>
      </w:r>
      <w:r w:rsidR="001D21E7" w:rsidRPr="00C4397C">
        <w:rPr>
          <w:rFonts w:asciiTheme="minorHAnsi" w:hAnsiTheme="minorHAnsi"/>
        </w:rPr>
        <w:t xml:space="preserve">introduced in </w:t>
      </w:r>
      <w:r w:rsidRPr="00C4397C">
        <w:rPr>
          <w:rFonts w:asciiTheme="minorHAnsi" w:hAnsiTheme="minorHAnsi"/>
        </w:rPr>
        <w:t xml:space="preserve">the </w:t>
      </w:r>
      <w:r w:rsidR="00B854FB">
        <w:rPr>
          <w:rFonts w:asciiTheme="minorHAnsi" w:hAnsiTheme="minorHAnsi"/>
        </w:rPr>
        <w:t>Amendment Act</w:t>
      </w:r>
      <w:r w:rsidR="00250D42" w:rsidRPr="00C4397C">
        <w:rPr>
          <w:rFonts w:asciiTheme="minorHAnsi" w:hAnsiTheme="minorHAnsi"/>
        </w:rPr>
        <w:t xml:space="preserve">. </w:t>
      </w:r>
      <w:r w:rsidR="00941A14" w:rsidRPr="00C4397C">
        <w:rPr>
          <w:rFonts w:asciiTheme="minorHAnsi" w:hAnsiTheme="minorHAnsi"/>
        </w:rPr>
        <w:t>These measures were developed in response to Recommendation 19 of the Australian Universities Accord</w:t>
      </w:r>
      <w:r w:rsidR="006E0F0C">
        <w:rPr>
          <w:rFonts w:asciiTheme="minorHAnsi" w:hAnsiTheme="minorHAnsi"/>
        </w:rPr>
        <w:t xml:space="preserve">, </w:t>
      </w:r>
      <w:r w:rsidR="00C95F6C" w:rsidRPr="00C4397C">
        <w:rPr>
          <w:rFonts w:asciiTheme="minorHAnsi" w:hAnsiTheme="minorHAnsi"/>
        </w:rPr>
        <w:t>which conducted e</w:t>
      </w:r>
      <w:r w:rsidR="00AE668C" w:rsidRPr="00C4397C">
        <w:rPr>
          <w:rFonts w:asciiTheme="minorHAnsi" w:hAnsiTheme="minorHAnsi"/>
        </w:rPr>
        <w:t>xtensive stakeholder consultation</w:t>
      </w:r>
      <w:r w:rsidR="00A531B7" w:rsidRPr="00C4397C">
        <w:rPr>
          <w:rFonts w:asciiTheme="minorHAnsi" w:hAnsiTheme="minorHAnsi"/>
        </w:rPr>
        <w:t xml:space="preserve"> </w:t>
      </w:r>
      <w:r w:rsidR="00171F80" w:rsidRPr="00C4397C">
        <w:rPr>
          <w:rFonts w:asciiTheme="minorHAnsi" w:hAnsiTheme="minorHAnsi"/>
        </w:rPr>
        <w:t>throughout its</w:t>
      </w:r>
      <w:r w:rsidR="00171F80">
        <w:rPr>
          <w:rFonts w:asciiTheme="minorHAnsi" w:hAnsiTheme="minorHAnsi"/>
        </w:rPr>
        <w:t xml:space="preserve"> </w:t>
      </w:r>
      <w:r w:rsidR="006D5667">
        <w:rPr>
          <w:rFonts w:asciiTheme="minorHAnsi" w:hAnsiTheme="minorHAnsi"/>
        </w:rPr>
        <w:t>review</w:t>
      </w:r>
      <w:r w:rsidR="00AE668C" w:rsidRPr="00723E55">
        <w:rPr>
          <w:rFonts w:asciiTheme="minorHAnsi" w:hAnsiTheme="minorHAnsi"/>
        </w:rPr>
        <w:t xml:space="preserve">. </w:t>
      </w:r>
    </w:p>
    <w:p w14:paraId="17598B76" w14:textId="6F3394AC" w:rsidR="00B35D33" w:rsidRPr="00B35D33" w:rsidRDefault="00B7444F" w:rsidP="00B35D33">
      <w:pPr>
        <w:spacing w:before="120" w:after="120"/>
        <w:rPr>
          <w:rFonts w:asciiTheme="minorHAnsi" w:hAnsiTheme="minorHAnsi"/>
        </w:rPr>
      </w:pPr>
      <w:r w:rsidRPr="676CCB40">
        <w:rPr>
          <w:rFonts w:asciiTheme="minorHAnsi" w:hAnsiTheme="minorHAnsi"/>
        </w:rPr>
        <w:t xml:space="preserve">Following introduction of the </w:t>
      </w:r>
      <w:r w:rsidR="00B854FB" w:rsidRPr="676CCB40">
        <w:rPr>
          <w:rFonts w:asciiTheme="minorHAnsi" w:hAnsiTheme="minorHAnsi"/>
        </w:rPr>
        <w:t>Amendment Act</w:t>
      </w:r>
      <w:r w:rsidRPr="676CCB40">
        <w:rPr>
          <w:rFonts w:asciiTheme="minorHAnsi" w:hAnsiTheme="minorHAnsi"/>
        </w:rPr>
        <w:t>, t</w:t>
      </w:r>
      <w:r w:rsidR="00B35D33" w:rsidRPr="676CCB40">
        <w:rPr>
          <w:rFonts w:asciiTheme="minorHAnsi" w:hAnsiTheme="minorHAnsi"/>
        </w:rPr>
        <w:t xml:space="preserve">he key principles to be included in the </w:t>
      </w:r>
      <w:r w:rsidRPr="676CCB40">
        <w:rPr>
          <w:rFonts w:asciiTheme="minorHAnsi" w:hAnsiTheme="minorHAnsi"/>
        </w:rPr>
        <w:t>In</w:t>
      </w:r>
      <w:r w:rsidR="00183035" w:rsidRPr="676CCB40">
        <w:rPr>
          <w:rFonts w:asciiTheme="minorHAnsi" w:hAnsiTheme="minorHAnsi"/>
        </w:rPr>
        <w:t>strument</w:t>
      </w:r>
      <w:r w:rsidR="00B35D33" w:rsidRPr="676CCB40">
        <w:rPr>
          <w:rFonts w:asciiTheme="minorHAnsi" w:hAnsiTheme="minorHAnsi"/>
        </w:rPr>
        <w:t xml:space="preserve"> were discussed with key stakeholders during consultation sessions held in July and August 2024.</w:t>
      </w:r>
    </w:p>
    <w:p w14:paraId="72F15972" w14:textId="27C6B10F" w:rsidR="008232FF" w:rsidRPr="008232FF" w:rsidRDefault="00853316" w:rsidP="008232FF">
      <w:pPr>
        <w:spacing w:before="120" w:after="120"/>
        <w:rPr>
          <w:rFonts w:asciiTheme="minorHAnsi" w:hAnsiTheme="minorHAnsi"/>
        </w:rPr>
      </w:pPr>
      <w:r>
        <w:rPr>
          <w:rFonts w:asciiTheme="minorHAnsi" w:hAnsiTheme="minorHAnsi"/>
        </w:rPr>
        <w:t>Consultations have included:</w:t>
      </w:r>
      <w:r w:rsidR="008232FF" w:rsidRPr="008232FF">
        <w:rPr>
          <w:rFonts w:asciiTheme="minorHAnsi" w:hAnsiTheme="minorHAnsi"/>
        </w:rPr>
        <w:t xml:space="preserve"> </w:t>
      </w:r>
    </w:p>
    <w:p w14:paraId="30017016" w14:textId="7A9DFE17" w:rsidR="008232FF" w:rsidRPr="008232FF" w:rsidRDefault="008232FF" w:rsidP="008232FF">
      <w:pPr>
        <w:numPr>
          <w:ilvl w:val="0"/>
          <w:numId w:val="9"/>
        </w:numPr>
        <w:spacing w:before="120" w:after="120"/>
        <w:rPr>
          <w:rFonts w:asciiTheme="minorHAnsi" w:hAnsiTheme="minorHAnsi"/>
        </w:rPr>
      </w:pPr>
      <w:r w:rsidRPr="008232FF">
        <w:rPr>
          <w:rFonts w:asciiTheme="minorHAnsi" w:hAnsiTheme="minorHAnsi"/>
        </w:rPr>
        <w:t>a collective meeting with all SSAF providers</w:t>
      </w:r>
      <w:r w:rsidR="000E4B42">
        <w:rPr>
          <w:rFonts w:asciiTheme="minorHAnsi" w:hAnsiTheme="minorHAnsi"/>
        </w:rPr>
        <w:t xml:space="preserve"> (who wished to attend the meeting</w:t>
      </w:r>
      <w:proofErr w:type="gramStart"/>
      <w:r w:rsidR="000E4B42">
        <w:rPr>
          <w:rFonts w:asciiTheme="minorHAnsi" w:hAnsiTheme="minorHAnsi"/>
        </w:rPr>
        <w:t>)</w:t>
      </w:r>
      <w:r w:rsidRPr="008232FF">
        <w:rPr>
          <w:rFonts w:asciiTheme="minorHAnsi" w:hAnsiTheme="minorHAnsi"/>
        </w:rPr>
        <w:t>;</w:t>
      </w:r>
      <w:proofErr w:type="gramEnd"/>
      <w:r w:rsidRPr="008232FF">
        <w:rPr>
          <w:rFonts w:asciiTheme="minorHAnsi" w:hAnsiTheme="minorHAnsi"/>
        </w:rPr>
        <w:t xml:space="preserve"> </w:t>
      </w:r>
    </w:p>
    <w:p w14:paraId="4235D7A1" w14:textId="05736102" w:rsidR="008232FF" w:rsidRPr="008232FF" w:rsidRDefault="008232FF" w:rsidP="008232FF">
      <w:pPr>
        <w:numPr>
          <w:ilvl w:val="0"/>
          <w:numId w:val="9"/>
        </w:numPr>
        <w:spacing w:before="120" w:after="120"/>
        <w:rPr>
          <w:rFonts w:asciiTheme="minorHAnsi" w:hAnsiTheme="minorHAnsi"/>
        </w:rPr>
      </w:pPr>
      <w:r w:rsidRPr="008232FF">
        <w:rPr>
          <w:rFonts w:asciiTheme="minorHAnsi" w:hAnsiTheme="minorHAnsi"/>
        </w:rPr>
        <w:t xml:space="preserve">individual engagement with 16 separate providers or student associations that raised concerns with the proposal prior to the introduction of the </w:t>
      </w:r>
      <w:r w:rsidR="00B854FB">
        <w:rPr>
          <w:rFonts w:asciiTheme="minorHAnsi" w:hAnsiTheme="minorHAnsi"/>
        </w:rPr>
        <w:t>Amendment Act</w:t>
      </w:r>
      <w:r w:rsidRPr="008232FF">
        <w:rPr>
          <w:rFonts w:asciiTheme="minorHAnsi" w:hAnsiTheme="minorHAnsi"/>
        </w:rPr>
        <w:t xml:space="preserve">, and another 13 individual meetings after </w:t>
      </w:r>
      <w:proofErr w:type="gramStart"/>
      <w:r w:rsidRPr="008232FF">
        <w:rPr>
          <w:rFonts w:asciiTheme="minorHAnsi" w:hAnsiTheme="minorHAnsi"/>
        </w:rPr>
        <w:t>introduction;</w:t>
      </w:r>
      <w:proofErr w:type="gramEnd"/>
      <w:r w:rsidRPr="008232FF">
        <w:rPr>
          <w:rFonts w:asciiTheme="minorHAnsi" w:hAnsiTheme="minorHAnsi"/>
        </w:rPr>
        <w:t xml:space="preserve"> </w:t>
      </w:r>
    </w:p>
    <w:p w14:paraId="269E1AF3" w14:textId="59712CA5" w:rsidR="008232FF" w:rsidRPr="008232FF" w:rsidRDefault="008232FF" w:rsidP="008232FF">
      <w:pPr>
        <w:numPr>
          <w:ilvl w:val="0"/>
          <w:numId w:val="9"/>
        </w:numPr>
        <w:spacing w:before="120" w:after="120"/>
        <w:rPr>
          <w:rFonts w:asciiTheme="minorHAnsi" w:hAnsiTheme="minorHAnsi"/>
        </w:rPr>
      </w:pPr>
      <w:r w:rsidRPr="008232FF">
        <w:rPr>
          <w:rFonts w:asciiTheme="minorHAnsi" w:hAnsiTheme="minorHAnsi"/>
        </w:rPr>
        <w:t xml:space="preserve">consultation with Western Australian universities; and </w:t>
      </w:r>
    </w:p>
    <w:p w14:paraId="1A7C9F7E" w14:textId="77777777" w:rsidR="008232FF" w:rsidRPr="008232FF" w:rsidRDefault="008232FF" w:rsidP="008232FF">
      <w:pPr>
        <w:numPr>
          <w:ilvl w:val="0"/>
          <w:numId w:val="9"/>
        </w:numPr>
        <w:spacing w:before="120" w:after="120"/>
        <w:rPr>
          <w:rFonts w:asciiTheme="minorHAnsi" w:hAnsiTheme="minorHAnsi"/>
        </w:rPr>
      </w:pPr>
      <w:r w:rsidRPr="008232FF">
        <w:rPr>
          <w:rFonts w:asciiTheme="minorHAnsi" w:hAnsiTheme="minorHAnsi"/>
        </w:rPr>
        <w:t>individual meetings with peak representative bodies including Universities Australia, the National Tertiary Education Union, the Student Engagement Network and the National Union of Students.</w:t>
      </w:r>
    </w:p>
    <w:p w14:paraId="39FF55A1" w14:textId="70F49A5B" w:rsidR="008232FF" w:rsidRPr="008232FF" w:rsidRDefault="008232FF" w:rsidP="008232FF">
      <w:pPr>
        <w:spacing w:before="120" w:after="120"/>
        <w:rPr>
          <w:rFonts w:asciiTheme="minorHAnsi" w:hAnsiTheme="minorHAnsi"/>
        </w:rPr>
      </w:pPr>
      <w:r w:rsidRPr="676CCB40">
        <w:rPr>
          <w:rFonts w:asciiTheme="minorHAnsi" w:hAnsiTheme="minorHAnsi"/>
        </w:rPr>
        <w:lastRenderedPageBreak/>
        <w:t xml:space="preserve">There have been many opportunities for sector feedback, including responding to the initial concerns raised by the </w:t>
      </w:r>
      <w:r w:rsidR="007E1891" w:rsidRPr="676CCB40">
        <w:rPr>
          <w:rFonts w:asciiTheme="minorHAnsi" w:hAnsiTheme="minorHAnsi"/>
        </w:rPr>
        <w:t xml:space="preserve">Australian Universities </w:t>
      </w:r>
      <w:r w:rsidRPr="676CCB40">
        <w:rPr>
          <w:rFonts w:asciiTheme="minorHAnsi" w:hAnsiTheme="minorHAnsi"/>
        </w:rPr>
        <w:t>Accord in its interim report in July 2023</w:t>
      </w:r>
      <w:r w:rsidR="00842284" w:rsidRPr="676CCB40">
        <w:rPr>
          <w:rFonts w:asciiTheme="minorHAnsi" w:hAnsiTheme="minorHAnsi"/>
        </w:rPr>
        <w:t>,</w:t>
      </w:r>
      <w:r w:rsidRPr="676CCB40">
        <w:rPr>
          <w:rFonts w:asciiTheme="minorHAnsi" w:hAnsiTheme="minorHAnsi"/>
        </w:rPr>
        <w:t xml:space="preserve"> and the subsequent recommendation in February 2024.  </w:t>
      </w:r>
    </w:p>
    <w:p w14:paraId="238AC4D6" w14:textId="5903848C" w:rsidR="67A3B905" w:rsidRDefault="67A3B905" w:rsidP="676CCB40">
      <w:pPr>
        <w:spacing w:before="120" w:after="120"/>
        <w:rPr>
          <w:rFonts w:asciiTheme="minorHAnsi" w:hAnsiTheme="minorHAnsi"/>
        </w:rPr>
      </w:pPr>
      <w:r w:rsidRPr="676CCB40">
        <w:rPr>
          <w:rFonts w:asciiTheme="minorHAnsi" w:hAnsiTheme="minorHAnsi"/>
        </w:rPr>
        <w:t xml:space="preserve">Issues raised by stakeholders, particularly around </w:t>
      </w:r>
      <w:r w:rsidR="0045280C">
        <w:rPr>
          <w:rFonts w:asciiTheme="minorHAnsi" w:hAnsiTheme="minorHAnsi"/>
        </w:rPr>
        <w:t xml:space="preserve">time to adjust and implement the new arrangements and </w:t>
      </w:r>
      <w:r w:rsidRPr="676CCB40">
        <w:rPr>
          <w:rFonts w:asciiTheme="minorHAnsi" w:hAnsiTheme="minorHAnsi"/>
        </w:rPr>
        <w:t>governanc</w:t>
      </w:r>
      <w:r w:rsidR="0045280C">
        <w:rPr>
          <w:rFonts w:asciiTheme="minorHAnsi" w:hAnsiTheme="minorHAnsi"/>
        </w:rPr>
        <w:t>e</w:t>
      </w:r>
      <w:r w:rsidRPr="676CCB40">
        <w:rPr>
          <w:rFonts w:asciiTheme="minorHAnsi" w:hAnsiTheme="minorHAnsi"/>
        </w:rPr>
        <w:t>, have been addressed in the Instrument.</w:t>
      </w:r>
    </w:p>
    <w:p w14:paraId="447679CF" w14:textId="5FC062C4" w:rsidR="676CCB40" w:rsidRDefault="676CCB40" w:rsidP="676CCB40">
      <w:pPr>
        <w:spacing w:before="120" w:after="120"/>
        <w:rPr>
          <w:rFonts w:asciiTheme="minorHAnsi" w:hAnsiTheme="minorHAnsi"/>
        </w:rPr>
      </w:pPr>
    </w:p>
    <w:p w14:paraId="6D13BE8D" w14:textId="77777777" w:rsidR="006416F3" w:rsidRDefault="006416F3" w:rsidP="008232FF">
      <w:pPr>
        <w:spacing w:before="120" w:after="120"/>
        <w:rPr>
          <w:rFonts w:asciiTheme="minorHAnsi" w:hAnsiTheme="minorHAnsi"/>
        </w:rPr>
      </w:pPr>
    </w:p>
    <w:p w14:paraId="4764C433" w14:textId="62589600" w:rsidR="008232FF" w:rsidRDefault="008232FF" w:rsidP="008232FF">
      <w:pPr>
        <w:spacing w:before="120" w:after="120"/>
        <w:rPr>
          <w:rFonts w:asciiTheme="minorHAnsi" w:hAnsiTheme="minorHAnsi"/>
        </w:rPr>
      </w:pPr>
    </w:p>
    <w:p w14:paraId="58570296" w14:textId="3B19AC9E" w:rsidR="00AE668C" w:rsidRDefault="00AE668C" w:rsidP="00883819">
      <w:pPr>
        <w:spacing w:before="120" w:after="120"/>
        <w:rPr>
          <w:rFonts w:asciiTheme="minorHAnsi" w:hAnsiTheme="minorHAnsi"/>
        </w:rPr>
      </w:pPr>
    </w:p>
    <w:p w14:paraId="0F6710EB" w14:textId="77777777" w:rsidR="00BA363B" w:rsidRDefault="00BA363B">
      <w:pPr>
        <w:spacing w:after="160" w:line="259" w:lineRule="auto"/>
        <w:rPr>
          <w:rFonts w:asciiTheme="minorHAnsi" w:hAnsiTheme="minorHAnsi" w:cstheme="minorHAnsi"/>
          <w:b/>
          <w:szCs w:val="24"/>
        </w:rPr>
      </w:pPr>
      <w:bookmarkStart w:id="6" w:name="_Toc23942241"/>
      <w:bookmarkStart w:id="7" w:name="_Toc34293362"/>
      <w:bookmarkEnd w:id="5"/>
      <w:r>
        <w:br w:type="page"/>
      </w:r>
    </w:p>
    <w:p w14:paraId="2023D52E" w14:textId="62FFEE55" w:rsidR="00DA552F" w:rsidRPr="0080510C" w:rsidRDefault="00DA552F" w:rsidP="000C310A">
      <w:pPr>
        <w:pStyle w:val="Title"/>
      </w:pPr>
      <w:r w:rsidRPr="0080510C">
        <w:rPr>
          <w:u w:val="none"/>
        </w:rPr>
        <w:lastRenderedPageBreak/>
        <w:t>STATEMENT OF COMPATIBILITY WITH HUMAN RIGHTS</w:t>
      </w:r>
      <w:bookmarkEnd w:id="6"/>
      <w:bookmarkEnd w:id="7"/>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2F6A1F24" w14:textId="026C0440" w:rsidR="00712B9B" w:rsidRPr="00BB5F6B" w:rsidRDefault="00BB5F6B" w:rsidP="005A331D">
      <w:pPr>
        <w:spacing w:before="120" w:after="120"/>
        <w:jc w:val="center"/>
        <w:rPr>
          <w:rFonts w:asciiTheme="minorHAnsi" w:hAnsiTheme="minorHAnsi" w:cstheme="minorHAnsi"/>
          <w:bCs/>
          <w:szCs w:val="24"/>
          <w:u w:val="single"/>
        </w:rPr>
      </w:pPr>
      <w:r w:rsidRPr="00571CE3">
        <w:rPr>
          <w:rFonts w:asciiTheme="minorHAnsi" w:hAnsiTheme="minorHAnsi" w:cstheme="minorHAnsi"/>
          <w:bCs/>
          <w:szCs w:val="24"/>
          <w:u w:val="single"/>
        </w:rPr>
        <w:t>Higher Education Support (Student Services, Amenities, Representation and Advocacy) Amendment (Student Led Organisations) Guidelines 2024</w:t>
      </w:r>
    </w:p>
    <w:p w14:paraId="65F6CFAB" w14:textId="7052188E"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BB5F6B" w:rsidRPr="00571CE3">
        <w:rPr>
          <w:rFonts w:asciiTheme="minorHAnsi" w:hAnsiTheme="minorHAnsi" w:cstheme="minorHAnsi"/>
          <w:bCs/>
          <w:i/>
          <w:szCs w:val="24"/>
        </w:rPr>
        <w:t>Higher Education Support (Student Services, Amenities, Representation and Advocacy) Amendment (Student Led Organisations) Guidelines 2024</w:t>
      </w:r>
      <w:r w:rsidR="00BB5F6B">
        <w:rPr>
          <w:rFonts w:asciiTheme="minorHAnsi" w:hAnsiTheme="minorHAnsi" w:cstheme="minorHAnsi"/>
          <w:szCs w:val="24"/>
        </w:rPr>
        <w:t xml:space="preserve"> </w:t>
      </w:r>
      <w:r w:rsidR="001E52EB">
        <w:rPr>
          <w:rFonts w:asciiTheme="minorHAnsi" w:hAnsiTheme="minorHAnsi" w:cstheme="minorHAnsi"/>
          <w:szCs w:val="24"/>
        </w:rPr>
        <w:t xml:space="preserve">(the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t xml:space="preserve">Overview of the </w:t>
      </w:r>
      <w:r w:rsidR="002C40FB">
        <w:t>Legislative Instrument</w:t>
      </w:r>
    </w:p>
    <w:p w14:paraId="6181D982" w14:textId="06757AAE" w:rsidR="3B4A2015" w:rsidRDefault="3B4A2015" w:rsidP="676CCB40">
      <w:pPr>
        <w:spacing w:before="120" w:after="120"/>
        <w:rPr>
          <w:rFonts w:asciiTheme="minorHAnsi" w:hAnsiTheme="minorHAnsi"/>
        </w:rPr>
      </w:pPr>
      <w:r w:rsidRPr="676CCB40">
        <w:rPr>
          <w:rFonts w:asciiTheme="minorHAnsi" w:hAnsiTheme="minorHAnsi"/>
        </w:rPr>
        <w:t xml:space="preserve">The Instrument amends the </w:t>
      </w:r>
      <w:r w:rsidRPr="676CCB40">
        <w:rPr>
          <w:rFonts w:asciiTheme="minorHAnsi" w:hAnsiTheme="minorHAnsi"/>
          <w:i/>
          <w:iCs/>
        </w:rPr>
        <w:t>Higher Education Support (Student Services, Amenities, Representation and Advoca</w:t>
      </w:r>
      <w:r w:rsidR="3303B5B7" w:rsidRPr="676CCB40">
        <w:rPr>
          <w:rFonts w:asciiTheme="minorHAnsi" w:hAnsiTheme="minorHAnsi"/>
          <w:i/>
          <w:iCs/>
        </w:rPr>
        <w:t>c</w:t>
      </w:r>
      <w:r w:rsidRPr="676CCB40">
        <w:rPr>
          <w:rFonts w:asciiTheme="minorHAnsi" w:hAnsiTheme="minorHAnsi"/>
          <w:i/>
          <w:iCs/>
        </w:rPr>
        <w:t>y) Guidelines 2022</w:t>
      </w:r>
      <w:r w:rsidRPr="676CCB40">
        <w:rPr>
          <w:rFonts w:asciiTheme="minorHAnsi" w:hAnsiTheme="minorHAnsi"/>
        </w:rPr>
        <w:t xml:space="preserve"> (</w:t>
      </w:r>
      <w:r w:rsidR="7C1AA4B4" w:rsidRPr="676CCB40">
        <w:rPr>
          <w:rFonts w:asciiTheme="minorHAnsi" w:hAnsiTheme="minorHAnsi"/>
        </w:rPr>
        <w:t xml:space="preserve">the </w:t>
      </w:r>
      <w:r w:rsidRPr="676CCB40">
        <w:rPr>
          <w:rFonts w:asciiTheme="minorHAnsi" w:hAnsiTheme="minorHAnsi"/>
        </w:rPr>
        <w:t>Student Services Guidelines</w:t>
      </w:r>
      <w:r w:rsidR="4553A204" w:rsidRPr="676CCB40">
        <w:rPr>
          <w:rFonts w:asciiTheme="minorHAnsi" w:hAnsiTheme="minorHAnsi"/>
        </w:rPr>
        <w:t>)</w:t>
      </w:r>
      <w:r w:rsidRPr="676CCB40">
        <w:rPr>
          <w:rFonts w:asciiTheme="minorHAnsi" w:hAnsiTheme="minorHAnsi"/>
        </w:rPr>
        <w:t xml:space="preserve"> to support amendments made </w:t>
      </w:r>
      <w:r w:rsidR="1875A683" w:rsidRPr="676CCB40">
        <w:rPr>
          <w:rFonts w:asciiTheme="minorHAnsi" w:hAnsiTheme="minorHAnsi"/>
        </w:rPr>
        <w:t xml:space="preserve">to the </w:t>
      </w:r>
      <w:r w:rsidR="1875A683" w:rsidRPr="676CCB40">
        <w:rPr>
          <w:rFonts w:asciiTheme="minorHAnsi" w:hAnsiTheme="minorHAnsi"/>
          <w:i/>
          <w:iCs/>
        </w:rPr>
        <w:t>Higher Education Support Act 2003</w:t>
      </w:r>
      <w:r w:rsidR="1875A683" w:rsidRPr="676CCB40">
        <w:rPr>
          <w:rFonts w:asciiTheme="minorHAnsi" w:hAnsiTheme="minorHAnsi"/>
        </w:rPr>
        <w:t xml:space="preserve"> (HESA) </w:t>
      </w:r>
      <w:r w:rsidRPr="676CCB40">
        <w:rPr>
          <w:rFonts w:asciiTheme="minorHAnsi" w:hAnsiTheme="minorHAnsi"/>
        </w:rPr>
        <w:t xml:space="preserve">by the </w:t>
      </w:r>
      <w:r w:rsidRPr="676CCB40">
        <w:rPr>
          <w:rFonts w:asciiTheme="minorHAnsi" w:hAnsiTheme="minorHAnsi"/>
          <w:i/>
          <w:iCs/>
        </w:rPr>
        <w:t>Universities Accord (Student Support and Other Measures) Act 2024</w:t>
      </w:r>
      <w:r w:rsidRPr="676CCB40">
        <w:rPr>
          <w:rFonts w:asciiTheme="minorHAnsi" w:hAnsiTheme="minorHAnsi"/>
        </w:rPr>
        <w:t xml:space="preserve"> (the Amendment Act). Relevantly, the Amendment Act amended HESA to require higher education providers to allocate a minimum of 40 per cent of their Student Services and Amenities Fees (SSAF) revenue to student-led organisations. This ensures that organisations led by students benefit from a consistent and predictable stream of SSAF revenue to plan and commit to long-term student support services and support students to succeed in their studies.</w:t>
      </w:r>
    </w:p>
    <w:p w14:paraId="612FA8E0" w14:textId="664B75DA" w:rsidR="3B4A2015" w:rsidRDefault="3B4A2015" w:rsidP="676CCB40">
      <w:pPr>
        <w:spacing w:before="120" w:after="120"/>
        <w:rPr>
          <w:rFonts w:asciiTheme="minorHAnsi" w:hAnsiTheme="minorHAnsi"/>
        </w:rPr>
      </w:pPr>
      <w:r w:rsidRPr="676CCB40">
        <w:rPr>
          <w:rFonts w:asciiTheme="minorHAnsi" w:hAnsiTheme="minorHAnsi"/>
        </w:rPr>
        <w:t xml:space="preserve">The Amendment Act also provides for transition arrangements to be agreed by the Secretary of the Department of Education (or their delegate) that would permit a higher education provider to allocate less than 40 per cent of their SSAF revenue to student-led organisations, for up to three years for Table A providers and up to five years for other providers. This recognises that some higher education providers need time to adjust to and implement the new requirements. </w:t>
      </w:r>
    </w:p>
    <w:p w14:paraId="760CCC53" w14:textId="523462CE" w:rsidR="3B4A2015" w:rsidRDefault="3B4A2015" w:rsidP="676CCB40">
      <w:pPr>
        <w:spacing w:before="120" w:after="120"/>
        <w:rPr>
          <w:rFonts w:asciiTheme="minorHAnsi" w:hAnsiTheme="minorHAnsi"/>
        </w:rPr>
      </w:pPr>
      <w:r w:rsidRPr="676CCB40">
        <w:rPr>
          <w:rFonts w:asciiTheme="minorHAnsi" w:hAnsiTheme="minorHAnsi"/>
        </w:rPr>
        <w:t>There is complexity and a diversity of capability across student-led organisations in both how they are established and governed. The Instrument aims to accommodate these complexities and differences across all providers and student-led organisations.</w:t>
      </w:r>
    </w:p>
    <w:p w14:paraId="64498D03" w14:textId="56882A76" w:rsidR="3B4A2015" w:rsidRDefault="3B4A2015" w:rsidP="676CCB40">
      <w:pPr>
        <w:spacing w:before="120" w:after="120"/>
        <w:rPr>
          <w:rFonts w:ascii="Calibri" w:eastAsia="Calibri" w:hAnsi="Calibri" w:cs="Calibri"/>
        </w:rPr>
      </w:pPr>
      <w:r w:rsidRPr="676CCB40">
        <w:rPr>
          <w:rFonts w:ascii="Calibri" w:eastAsia="Calibri" w:hAnsi="Calibri" w:cs="Calibri"/>
        </w:rPr>
        <w:t>The Instrument amends the Student Services Guidelines to prescribe additional requirements that must be met by a student-led organisation before it can be considered by the higher education provider as an organisation whose revenue can be counted towards satisfying the requirement for the provider to allocate at least 40 per cent of its SSAF revenue to student-led organisations. These requirements are aimed at ensuring the student-led organisation is independent and has good governance arrangements in place.</w:t>
      </w:r>
    </w:p>
    <w:p w14:paraId="2114D449" w14:textId="30AD3506" w:rsidR="3B4A2015" w:rsidRDefault="3B4A2015" w:rsidP="676CCB40">
      <w:pPr>
        <w:spacing w:before="120" w:after="120"/>
        <w:rPr>
          <w:rFonts w:ascii="Calibri" w:eastAsia="Calibri" w:hAnsi="Calibri" w:cs="Calibri"/>
        </w:rPr>
      </w:pPr>
      <w:r w:rsidRPr="676CCB40">
        <w:rPr>
          <w:rFonts w:ascii="Calibri" w:eastAsia="Calibri" w:hAnsi="Calibri" w:cs="Calibri"/>
        </w:rPr>
        <w:t xml:space="preserve">The Instrument also amends the Student Services Guidelines to </w:t>
      </w:r>
      <w:r w:rsidRPr="676CCB40">
        <w:rPr>
          <w:rFonts w:asciiTheme="minorHAnsi" w:hAnsiTheme="minorHAnsi"/>
        </w:rPr>
        <w:t xml:space="preserve">prescribe the period </w:t>
      </w:r>
      <w:r w:rsidRPr="676CCB40">
        <w:rPr>
          <w:rFonts w:ascii="Calibri" w:eastAsia="Calibri" w:hAnsi="Calibri" w:cs="Calibri"/>
        </w:rPr>
        <w:t>in which a higher education provider must make an application in relation to transitional arrangements.</w:t>
      </w:r>
    </w:p>
    <w:p w14:paraId="57CC71C9" w14:textId="165CBC11" w:rsidR="00F9205E" w:rsidRPr="008134D5" w:rsidRDefault="00F9205E" w:rsidP="00D0747E">
      <w:pPr>
        <w:pStyle w:val="Heading2"/>
      </w:pPr>
      <w:r w:rsidRPr="008134D5">
        <w:lastRenderedPageBreak/>
        <w:t>Human rights implications</w:t>
      </w:r>
    </w:p>
    <w:p w14:paraId="2B6F07DE" w14:textId="6DC9861F" w:rsidR="009A167B" w:rsidRPr="00582D0F" w:rsidRDefault="0019212D" w:rsidP="00800FF2">
      <w:pPr>
        <w:spacing w:before="120" w:after="120"/>
        <w:rPr>
          <w:rFonts w:asciiTheme="minorHAnsi" w:hAnsiTheme="minorHAnsi" w:cstheme="minorHAnsi"/>
          <w:iCs/>
          <w:szCs w:val="24"/>
        </w:rPr>
      </w:pPr>
      <w:r w:rsidRPr="00800FF2">
        <w:rPr>
          <w:rFonts w:asciiTheme="minorHAnsi" w:hAnsiTheme="minorHAnsi" w:cstheme="minorHAnsi"/>
          <w:szCs w:val="24"/>
        </w:rPr>
        <w:t>This Instrument does not engage any of the applicable rights or freedoms.</w:t>
      </w:r>
    </w:p>
    <w:p w14:paraId="0D664062" w14:textId="77777777" w:rsidR="00DA552F" w:rsidRPr="008134D5" w:rsidRDefault="00F9205E" w:rsidP="000C310A">
      <w:pPr>
        <w:pStyle w:val="Heading2"/>
      </w:pPr>
      <w:r w:rsidRPr="008134D5">
        <w:t>Conclusion</w:t>
      </w:r>
    </w:p>
    <w:p w14:paraId="3F208D0B" w14:textId="4CD58FB8" w:rsidR="002630C0" w:rsidRPr="00582D0F" w:rsidRDefault="002630C0" w:rsidP="002630C0">
      <w:pPr>
        <w:spacing w:before="120" w:after="120"/>
        <w:rPr>
          <w:rFonts w:asciiTheme="minorHAnsi" w:hAnsiTheme="minorHAnsi" w:cstheme="minorHAnsi"/>
          <w:szCs w:val="24"/>
        </w:rPr>
      </w:pPr>
      <w:r w:rsidRPr="00582D0F">
        <w:rPr>
          <w:rFonts w:asciiTheme="minorHAnsi" w:hAnsiTheme="minorHAnsi" w:cstheme="minorHAnsi"/>
          <w:szCs w:val="24"/>
        </w:rPr>
        <w:t xml:space="preserve">The Instrument is compatible with human rights </w:t>
      </w:r>
      <w:r w:rsidRPr="0004237A">
        <w:rPr>
          <w:rFonts w:asciiTheme="minorHAnsi" w:hAnsiTheme="minorHAnsi" w:cstheme="minorHAnsi"/>
          <w:szCs w:val="24"/>
        </w:rPr>
        <w:t xml:space="preserve">because it </w:t>
      </w:r>
      <w:r w:rsidR="0049051A" w:rsidRPr="0004237A">
        <w:rPr>
          <w:rFonts w:asciiTheme="minorHAnsi" w:hAnsiTheme="minorHAnsi" w:cstheme="minorHAnsi"/>
          <w:szCs w:val="24"/>
        </w:rPr>
        <w:t>does not raise any human rights issues.</w:t>
      </w:r>
    </w:p>
    <w:p w14:paraId="5ECFAE45" w14:textId="77777777" w:rsidR="002630C0" w:rsidRPr="00582D0F" w:rsidRDefault="002630C0" w:rsidP="002630C0">
      <w:pPr>
        <w:spacing w:before="120" w:after="120"/>
        <w:rPr>
          <w:rFonts w:asciiTheme="minorHAnsi" w:hAnsiTheme="minorHAnsi" w:cstheme="minorHAnsi"/>
          <w:b/>
          <w:szCs w:val="24"/>
        </w:rPr>
      </w:pPr>
    </w:p>
    <w:p w14:paraId="605D7B82" w14:textId="77777777" w:rsidR="002630C0" w:rsidRPr="00582D0F" w:rsidRDefault="002630C0" w:rsidP="002630C0">
      <w:pPr>
        <w:spacing w:before="120" w:after="120"/>
        <w:jc w:val="center"/>
        <w:rPr>
          <w:rFonts w:asciiTheme="minorHAnsi" w:hAnsiTheme="minorHAnsi" w:cstheme="minorHAnsi"/>
          <w:szCs w:val="24"/>
        </w:rPr>
      </w:pPr>
      <w:r w:rsidRPr="00582D0F">
        <w:rPr>
          <w:rFonts w:asciiTheme="minorHAnsi" w:hAnsiTheme="minorHAnsi" w:cstheme="minorHAnsi"/>
          <w:b/>
          <w:szCs w:val="24"/>
        </w:rPr>
        <w:t>Minister for Education, the Hon Jason Clare MP</w:t>
      </w:r>
    </w:p>
    <w:p w14:paraId="1EC89B8A" w14:textId="000446E6" w:rsidR="00DA552F" w:rsidRPr="008134D5" w:rsidRDefault="00DA552F" w:rsidP="00DD7496">
      <w:pPr>
        <w:spacing w:before="120" w:after="120"/>
        <w:jc w:val="center"/>
        <w:rPr>
          <w:rFonts w:asciiTheme="minorHAnsi" w:hAnsiTheme="minorHAnsi" w:cstheme="minorHAnsi"/>
          <w:szCs w:val="24"/>
        </w:rPr>
      </w:pP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0AD287E5" w:rsidR="00DA552F" w:rsidRPr="00506241" w:rsidRDefault="00D46CA0" w:rsidP="000C310A">
      <w:pPr>
        <w:pStyle w:val="Title"/>
        <w:rPr>
          <w:b w:val="0"/>
          <w:caps/>
        </w:rPr>
      </w:pPr>
      <w:r w:rsidRPr="00D46CA0">
        <w:rPr>
          <w:caps/>
          <w:u w:val="none"/>
        </w:rPr>
        <w:lastRenderedPageBreak/>
        <w:t>Higher Education Support (Student Services, Amenities, Representation and Advocacy) Amendment (Student Led Organisations) Guidelines 2024</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707CCC79" w:rsidR="00DA552F" w:rsidRPr="00EF4ACB" w:rsidRDefault="00DA552F" w:rsidP="0076132B">
      <w:pPr>
        <w:pStyle w:val="ListParagraph"/>
        <w:numPr>
          <w:ilvl w:val="0"/>
          <w:numId w:val="2"/>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 xml:space="preserve">name of the </w:t>
      </w:r>
      <w:r w:rsidR="00A248A8">
        <w:rPr>
          <w:rFonts w:asciiTheme="minorHAnsi" w:hAnsiTheme="minorHAnsi" w:cstheme="minorHAnsi"/>
          <w:szCs w:val="24"/>
        </w:rPr>
        <w:t>I</w:t>
      </w:r>
      <w:r w:rsidR="00E631F9" w:rsidRPr="00EF4ACB">
        <w:rPr>
          <w:rFonts w:asciiTheme="minorHAnsi" w:hAnsiTheme="minorHAnsi" w:cstheme="minorHAnsi"/>
          <w:szCs w:val="24"/>
        </w:rPr>
        <w:t>nstrument.</w:t>
      </w:r>
      <w:r w:rsidR="000A78C4">
        <w:rPr>
          <w:rFonts w:asciiTheme="minorHAnsi" w:hAnsiTheme="minorHAnsi" w:cstheme="minorHAnsi"/>
          <w:szCs w:val="24"/>
        </w:rPr>
        <w:t xml:space="preserve"> It specifies that the name of the </w:t>
      </w:r>
      <w:r w:rsidR="009646A3">
        <w:rPr>
          <w:rFonts w:asciiTheme="minorHAnsi" w:hAnsiTheme="minorHAnsi" w:cstheme="minorHAnsi"/>
          <w:szCs w:val="24"/>
        </w:rPr>
        <w:t>I</w:t>
      </w:r>
      <w:r w:rsidR="000A78C4">
        <w:rPr>
          <w:rFonts w:asciiTheme="minorHAnsi" w:hAnsiTheme="minorHAnsi" w:cstheme="minorHAnsi"/>
          <w:szCs w:val="24"/>
        </w:rPr>
        <w:t xml:space="preserve">nstrument </w:t>
      </w:r>
      <w:r w:rsidR="00EE3718">
        <w:rPr>
          <w:rFonts w:asciiTheme="minorHAnsi" w:hAnsiTheme="minorHAnsi" w:cstheme="minorHAnsi"/>
          <w:szCs w:val="24"/>
        </w:rPr>
        <w:t xml:space="preserve">is the </w:t>
      </w:r>
      <w:r w:rsidR="009A167B" w:rsidRPr="00571CE3">
        <w:rPr>
          <w:rFonts w:asciiTheme="minorHAnsi" w:hAnsiTheme="minorHAnsi" w:cstheme="minorHAnsi"/>
          <w:bCs/>
          <w:i/>
          <w:szCs w:val="24"/>
        </w:rPr>
        <w:t>Higher Education Support (Student Services, Amenities, Representation and Advocacy) Amendment (Student Led Organisations) Guidelines 2024</w:t>
      </w:r>
      <w:r w:rsidR="009B372F">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5B55F3B7" w14:textId="76DE6799" w:rsidR="007108E2" w:rsidRPr="007108E2" w:rsidRDefault="007108E2" w:rsidP="0076132B">
      <w:pPr>
        <w:pStyle w:val="Heading3"/>
        <w:numPr>
          <w:ilvl w:val="0"/>
          <w:numId w:val="2"/>
        </w:numPr>
        <w:spacing w:before="240"/>
        <w:rPr>
          <w:u w:val="none"/>
        </w:rPr>
      </w:pPr>
      <w:r w:rsidRPr="007108E2">
        <w:rPr>
          <w:u w:val="none"/>
        </w:rPr>
        <w:t xml:space="preserve">This section provides that the Instrument commences </w:t>
      </w:r>
      <w:r w:rsidR="003776F9">
        <w:rPr>
          <w:u w:val="none"/>
        </w:rPr>
        <w:t xml:space="preserve">immediately after Schedule 2 to the </w:t>
      </w:r>
      <w:r w:rsidR="003776F9" w:rsidRPr="46D8102F">
        <w:rPr>
          <w:rFonts w:cstheme="minorBidi"/>
          <w:i/>
          <w:iCs/>
          <w:u w:val="none"/>
        </w:rPr>
        <w:t>Universities Accord (Student Support and Other Measures) Act 2024.</w:t>
      </w:r>
      <w:r w:rsidR="003776F9" w:rsidRPr="46D8102F">
        <w:rPr>
          <w:rFonts w:cstheme="minorBidi"/>
          <w:u w:val="none"/>
        </w:rPr>
        <w:t xml:space="preserve"> The note to the section explains that this will occur </w:t>
      </w:r>
      <w:r w:rsidR="003776F9" w:rsidRPr="007108E2">
        <w:rPr>
          <w:u w:val="none"/>
        </w:rPr>
        <w:t xml:space="preserve">on </w:t>
      </w:r>
      <w:r w:rsidR="003776F9">
        <w:rPr>
          <w:u w:val="none"/>
        </w:rPr>
        <w:t>1 January 2025</w:t>
      </w:r>
      <w:r w:rsidR="003776F9" w:rsidRPr="00117C3F">
        <w:rPr>
          <w:u w:val="none"/>
        </w:rPr>
        <w:t>.</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031B27F6" w:rsidR="00E631F9" w:rsidRPr="009C10C1" w:rsidRDefault="009B372F" w:rsidP="0076132B">
      <w:pPr>
        <w:pStyle w:val="ListParagraph"/>
        <w:keepNext/>
        <w:numPr>
          <w:ilvl w:val="0"/>
          <w:numId w:val="2"/>
        </w:numPr>
        <w:spacing w:before="360" w:after="120"/>
        <w:rPr>
          <w:rFonts w:asciiTheme="minorHAnsi" w:hAnsiTheme="minorHAnsi" w:cstheme="minorHAnsi"/>
          <w:i/>
          <w:color w:val="FF0000"/>
        </w:rPr>
      </w:pPr>
      <w:r w:rsidRPr="00356965">
        <w:rPr>
          <w:rFonts w:asciiTheme="minorHAnsi" w:hAnsiTheme="minorHAnsi" w:cstheme="minorHAnsi"/>
          <w:iCs/>
        </w:rPr>
        <w:t xml:space="preserve">This section provides that the Instrument is made under section 238-10 of the </w:t>
      </w:r>
      <w:r w:rsidRPr="00356965">
        <w:rPr>
          <w:rFonts w:asciiTheme="minorHAnsi" w:hAnsiTheme="minorHAnsi" w:cstheme="minorHAnsi"/>
          <w:i/>
        </w:rPr>
        <w:t xml:space="preserve">Higher Education Support Act 2003 </w:t>
      </w:r>
      <w:r w:rsidRPr="00356965">
        <w:rPr>
          <w:rFonts w:asciiTheme="minorHAnsi" w:hAnsiTheme="minorHAnsi" w:cstheme="minorHAnsi"/>
          <w:iCs/>
        </w:rPr>
        <w:t>(</w:t>
      </w:r>
      <w:r w:rsidR="00FF37E6">
        <w:rPr>
          <w:rFonts w:asciiTheme="minorHAnsi" w:hAnsiTheme="minorHAnsi" w:cstheme="minorHAnsi"/>
          <w:iCs/>
        </w:rPr>
        <w:t>HESA</w:t>
      </w:r>
      <w:r w:rsidRPr="00356965">
        <w:rPr>
          <w:rFonts w:asciiTheme="minorHAnsi" w:hAnsiTheme="minorHAnsi" w:cstheme="minorHAnsi"/>
          <w:iCs/>
        </w:rPr>
        <w:t>)</w:t>
      </w:r>
      <w:r w:rsidR="00FF37E6">
        <w:rPr>
          <w:rFonts w:asciiTheme="minorHAnsi" w:hAnsiTheme="minorHAnsi" w:cstheme="minorHAnsi"/>
          <w:iCs/>
        </w:rPr>
        <w:t xml:space="preserve">. </w:t>
      </w:r>
    </w:p>
    <w:p w14:paraId="19D69928" w14:textId="77777777" w:rsidR="00A92BAD" w:rsidRPr="00356965" w:rsidRDefault="00A92BAD" w:rsidP="00A92BAD">
      <w:pPr>
        <w:pStyle w:val="Heading3"/>
        <w:spacing w:before="240"/>
        <w:rPr>
          <w:b/>
          <w:bCs/>
        </w:rPr>
      </w:pPr>
      <w:bookmarkStart w:id="8" w:name="_Toc23942243"/>
      <w:bookmarkEnd w:id="8"/>
      <w:r w:rsidRPr="00356965">
        <w:rPr>
          <w:b/>
          <w:bCs/>
        </w:rPr>
        <w:t>Section 4: Schedules</w:t>
      </w:r>
    </w:p>
    <w:p w14:paraId="58BE4F9F" w14:textId="711E56C9" w:rsidR="00A92BAD" w:rsidRPr="00D16B1A" w:rsidRDefault="00A92BAD" w:rsidP="0076132B">
      <w:pPr>
        <w:pStyle w:val="ListParagraph"/>
        <w:numPr>
          <w:ilvl w:val="0"/>
          <w:numId w:val="2"/>
        </w:numPr>
        <w:spacing w:before="360" w:after="120"/>
        <w:rPr>
          <w:rFonts w:asciiTheme="minorHAnsi" w:hAnsiTheme="minorHAnsi" w:cstheme="minorHAnsi"/>
          <w:iCs/>
          <w:szCs w:val="24"/>
        </w:rPr>
      </w:pPr>
      <w:r w:rsidRPr="00D16B1A">
        <w:rPr>
          <w:rFonts w:asciiTheme="minorHAnsi" w:hAnsiTheme="minorHAnsi" w:cstheme="minorHAnsi"/>
          <w:iCs/>
          <w:szCs w:val="24"/>
        </w:rPr>
        <w:t xml:space="preserve">This is a technical provision that explains that each </w:t>
      </w:r>
      <w:r w:rsidR="001F2864">
        <w:rPr>
          <w:rFonts w:asciiTheme="minorHAnsi" w:hAnsiTheme="minorHAnsi" w:cstheme="minorHAnsi"/>
          <w:iCs/>
          <w:szCs w:val="24"/>
        </w:rPr>
        <w:t>I</w:t>
      </w:r>
      <w:r w:rsidRPr="00D16B1A">
        <w:rPr>
          <w:rFonts w:asciiTheme="minorHAnsi" w:hAnsiTheme="minorHAnsi" w:cstheme="minorHAnsi"/>
          <w:iCs/>
          <w:szCs w:val="24"/>
        </w:rPr>
        <w:t xml:space="preserve">nstrument that is specified in a Schedule to the Instrument is amended or repealed as set out in the applicable items in the Schedule concerned, and any other item in a Schedule to this </w:t>
      </w:r>
      <w:r w:rsidR="002847C3">
        <w:rPr>
          <w:rFonts w:asciiTheme="minorHAnsi" w:hAnsiTheme="minorHAnsi" w:cstheme="minorHAnsi"/>
          <w:iCs/>
          <w:szCs w:val="24"/>
        </w:rPr>
        <w:t>I</w:t>
      </w:r>
      <w:r w:rsidRPr="00D16B1A">
        <w:rPr>
          <w:rFonts w:asciiTheme="minorHAnsi" w:hAnsiTheme="minorHAnsi" w:cstheme="minorHAnsi"/>
          <w:iCs/>
          <w:szCs w:val="24"/>
        </w:rPr>
        <w:t xml:space="preserve">nstrument has effect according to its terms. </w:t>
      </w:r>
    </w:p>
    <w:p w14:paraId="43BB2F08" w14:textId="15D5A151" w:rsidR="007538F3" w:rsidRPr="00C67EF5" w:rsidRDefault="002853F2" w:rsidP="007538F3">
      <w:pPr>
        <w:spacing w:before="360" w:after="120"/>
        <w:rPr>
          <w:rFonts w:asciiTheme="minorHAnsi" w:hAnsiTheme="minorHAnsi" w:cstheme="minorHAnsi"/>
          <w:b/>
          <w:bCs/>
          <w:iCs/>
          <w:szCs w:val="24"/>
        </w:rPr>
      </w:pPr>
      <w:r w:rsidRPr="007C093E">
        <w:rPr>
          <w:rFonts w:asciiTheme="minorHAnsi" w:hAnsiTheme="minorHAnsi" w:cstheme="minorHAnsi"/>
          <w:b/>
          <w:bCs/>
          <w:iCs/>
          <w:szCs w:val="24"/>
        </w:rPr>
        <w:t>Schedule 1—Amendments</w:t>
      </w:r>
      <w:r w:rsidRPr="00C67EF5">
        <w:rPr>
          <w:rFonts w:asciiTheme="minorHAnsi" w:hAnsiTheme="minorHAnsi" w:cstheme="minorHAnsi"/>
          <w:b/>
          <w:bCs/>
          <w:iCs/>
          <w:szCs w:val="24"/>
        </w:rPr>
        <w:t xml:space="preserve"> </w:t>
      </w:r>
    </w:p>
    <w:p w14:paraId="024BD420" w14:textId="00152163" w:rsidR="00890C3C" w:rsidRPr="00890C3C" w:rsidRDefault="00711D8B" w:rsidP="00890C3C">
      <w:pPr>
        <w:spacing w:before="360" w:after="120"/>
        <w:rPr>
          <w:rFonts w:asciiTheme="minorHAnsi" w:hAnsiTheme="minorHAnsi" w:cstheme="minorHAnsi"/>
          <w:b/>
          <w:i/>
          <w:iCs/>
          <w:szCs w:val="24"/>
        </w:rPr>
      </w:pPr>
      <w:r w:rsidRPr="00571CE3">
        <w:rPr>
          <w:rFonts w:asciiTheme="minorHAnsi" w:hAnsiTheme="minorHAnsi" w:cstheme="minorHAnsi"/>
          <w:b/>
          <w:bCs/>
          <w:i/>
          <w:iCs/>
          <w:szCs w:val="24"/>
        </w:rPr>
        <w:t>Higher Education Support (Student Services, Amenities, Representation and Advocacy) Guidelines 202</w:t>
      </w:r>
      <w:r>
        <w:rPr>
          <w:rFonts w:asciiTheme="minorHAnsi" w:hAnsiTheme="minorHAnsi" w:cstheme="minorHAnsi"/>
          <w:b/>
          <w:bCs/>
          <w:i/>
          <w:iCs/>
          <w:szCs w:val="24"/>
        </w:rPr>
        <w:t>2</w:t>
      </w:r>
    </w:p>
    <w:p w14:paraId="23D46223" w14:textId="3943146C" w:rsidR="00890C3C" w:rsidRPr="00DB60F4" w:rsidRDefault="00DB60F4" w:rsidP="007538F3">
      <w:pPr>
        <w:spacing w:before="360" w:after="120"/>
        <w:rPr>
          <w:rFonts w:asciiTheme="minorHAnsi" w:hAnsiTheme="minorHAnsi" w:cstheme="minorHAnsi"/>
          <w:iCs/>
          <w:szCs w:val="24"/>
          <w:u w:val="single"/>
        </w:rPr>
      </w:pPr>
      <w:r>
        <w:rPr>
          <w:rFonts w:asciiTheme="minorHAnsi" w:hAnsiTheme="minorHAnsi" w:cstheme="minorHAnsi"/>
          <w:iCs/>
          <w:szCs w:val="24"/>
          <w:u w:val="single"/>
        </w:rPr>
        <w:t>Item 1</w:t>
      </w:r>
      <w:r w:rsidR="00672077">
        <w:rPr>
          <w:rFonts w:asciiTheme="minorHAnsi" w:hAnsiTheme="minorHAnsi" w:cstheme="minorHAnsi"/>
          <w:iCs/>
          <w:szCs w:val="24"/>
          <w:u w:val="single"/>
        </w:rPr>
        <w:t xml:space="preserve">: Section </w:t>
      </w:r>
      <w:r w:rsidR="00711D8B">
        <w:rPr>
          <w:rFonts w:asciiTheme="minorHAnsi" w:hAnsiTheme="minorHAnsi" w:cstheme="minorHAnsi"/>
          <w:iCs/>
          <w:szCs w:val="24"/>
          <w:u w:val="single"/>
        </w:rPr>
        <w:t>6</w:t>
      </w:r>
    </w:p>
    <w:p w14:paraId="498573C2" w14:textId="6ECA2B06" w:rsidR="00DF6E19" w:rsidRDefault="00DF6E19" w:rsidP="676CCB40">
      <w:pPr>
        <w:pStyle w:val="ListParagraph"/>
        <w:numPr>
          <w:ilvl w:val="0"/>
          <w:numId w:val="2"/>
        </w:numPr>
        <w:spacing w:before="360" w:after="120"/>
        <w:rPr>
          <w:rFonts w:asciiTheme="minorHAnsi" w:hAnsiTheme="minorHAnsi"/>
        </w:rPr>
      </w:pPr>
      <w:r w:rsidRPr="676CCB40">
        <w:rPr>
          <w:rFonts w:asciiTheme="minorHAnsi" w:hAnsiTheme="minorHAnsi"/>
        </w:rPr>
        <w:t>This item re</w:t>
      </w:r>
      <w:r w:rsidR="0E01C34B" w:rsidRPr="676CCB40">
        <w:rPr>
          <w:rFonts w:asciiTheme="minorHAnsi" w:hAnsiTheme="minorHAnsi"/>
        </w:rPr>
        <w:t xml:space="preserve">places the Outline in </w:t>
      </w:r>
      <w:r w:rsidRPr="676CCB40">
        <w:rPr>
          <w:rFonts w:asciiTheme="minorHAnsi" w:hAnsiTheme="minorHAnsi"/>
        </w:rPr>
        <w:t xml:space="preserve">section </w:t>
      </w:r>
      <w:r w:rsidR="00711D8B" w:rsidRPr="676CCB40">
        <w:rPr>
          <w:rFonts w:asciiTheme="minorHAnsi" w:hAnsiTheme="minorHAnsi"/>
        </w:rPr>
        <w:t>6</w:t>
      </w:r>
      <w:r w:rsidR="00DC07C9" w:rsidRPr="676CCB40">
        <w:rPr>
          <w:rFonts w:asciiTheme="minorHAnsi" w:hAnsiTheme="minorHAnsi"/>
        </w:rPr>
        <w:t xml:space="preserve"> </w:t>
      </w:r>
      <w:r w:rsidR="0E1DD5D9" w:rsidRPr="676CCB40">
        <w:rPr>
          <w:rFonts w:asciiTheme="minorHAnsi" w:hAnsiTheme="minorHAnsi"/>
        </w:rPr>
        <w:t>of the Student Services Guidelines</w:t>
      </w:r>
      <w:r w:rsidRPr="676CCB40">
        <w:rPr>
          <w:rFonts w:asciiTheme="minorHAnsi" w:hAnsiTheme="minorHAnsi"/>
        </w:rPr>
        <w:t xml:space="preserve">. </w:t>
      </w:r>
    </w:p>
    <w:p w14:paraId="46FBAFD0" w14:textId="3E01D366" w:rsidR="005C5CDC" w:rsidRDefault="005C5CDC" w:rsidP="005C5CDC">
      <w:pPr>
        <w:pStyle w:val="ListParagraph"/>
        <w:spacing w:before="360" w:after="120"/>
        <w:rPr>
          <w:rFonts w:asciiTheme="minorHAnsi" w:hAnsiTheme="minorHAnsi" w:cstheme="minorHAnsi"/>
          <w:iCs/>
          <w:szCs w:val="24"/>
        </w:rPr>
      </w:pPr>
    </w:p>
    <w:p w14:paraId="4D34167A" w14:textId="14510B12" w:rsidR="005C5CDC" w:rsidRPr="00EB4DDF" w:rsidRDefault="008C14A7" w:rsidP="676CCB40">
      <w:pPr>
        <w:pStyle w:val="ListParagraph"/>
        <w:numPr>
          <w:ilvl w:val="0"/>
          <w:numId w:val="2"/>
        </w:numPr>
        <w:spacing w:before="360" w:after="120"/>
        <w:rPr>
          <w:rFonts w:asciiTheme="minorHAnsi" w:hAnsiTheme="minorHAnsi"/>
        </w:rPr>
      </w:pPr>
      <w:r w:rsidRPr="676CCB40">
        <w:rPr>
          <w:rFonts w:asciiTheme="minorHAnsi" w:hAnsiTheme="minorHAnsi"/>
        </w:rPr>
        <w:t>T</w:t>
      </w:r>
      <w:r w:rsidR="00013CBE" w:rsidRPr="676CCB40">
        <w:rPr>
          <w:rFonts w:asciiTheme="minorHAnsi" w:hAnsiTheme="minorHAnsi"/>
        </w:rPr>
        <w:t>he</w:t>
      </w:r>
      <w:r w:rsidR="608CD88E" w:rsidRPr="676CCB40">
        <w:rPr>
          <w:rFonts w:asciiTheme="minorHAnsi" w:hAnsiTheme="minorHAnsi"/>
        </w:rPr>
        <w:t xml:space="preserve"> new Outline largely replicates the previous Outline but </w:t>
      </w:r>
      <w:r w:rsidR="00013CBE" w:rsidRPr="676CCB40">
        <w:rPr>
          <w:rFonts w:asciiTheme="minorHAnsi" w:hAnsiTheme="minorHAnsi"/>
        </w:rPr>
        <w:t>provide</w:t>
      </w:r>
      <w:r w:rsidR="0329B037" w:rsidRPr="676CCB40">
        <w:rPr>
          <w:rFonts w:asciiTheme="minorHAnsi" w:hAnsiTheme="minorHAnsi"/>
        </w:rPr>
        <w:t>s</w:t>
      </w:r>
      <w:r w:rsidR="00013CBE" w:rsidRPr="676CCB40">
        <w:rPr>
          <w:rFonts w:asciiTheme="minorHAnsi" w:hAnsiTheme="minorHAnsi"/>
        </w:rPr>
        <w:t xml:space="preserve"> addition</w:t>
      </w:r>
      <w:r w:rsidR="00744E2D" w:rsidRPr="676CCB40">
        <w:rPr>
          <w:rFonts w:asciiTheme="minorHAnsi" w:hAnsiTheme="minorHAnsi"/>
        </w:rPr>
        <w:t>al</w:t>
      </w:r>
      <w:r w:rsidR="00013CBE" w:rsidRPr="676CCB40">
        <w:rPr>
          <w:rFonts w:asciiTheme="minorHAnsi" w:hAnsiTheme="minorHAnsi"/>
        </w:rPr>
        <w:t xml:space="preserve"> explanation </w:t>
      </w:r>
      <w:r w:rsidR="00691FF4" w:rsidRPr="676CCB40">
        <w:rPr>
          <w:rFonts w:asciiTheme="minorHAnsi" w:hAnsiTheme="minorHAnsi"/>
        </w:rPr>
        <w:t xml:space="preserve">on </w:t>
      </w:r>
      <w:r w:rsidR="000C0E67" w:rsidRPr="676CCB40">
        <w:rPr>
          <w:rFonts w:asciiTheme="minorHAnsi" w:hAnsiTheme="minorHAnsi"/>
        </w:rPr>
        <w:t xml:space="preserve">the new </w:t>
      </w:r>
      <w:r w:rsidR="005E28A6" w:rsidRPr="676CCB40">
        <w:rPr>
          <w:rFonts w:asciiTheme="minorHAnsi" w:hAnsiTheme="minorHAnsi"/>
        </w:rPr>
        <w:t xml:space="preserve">power to make Guidelines </w:t>
      </w:r>
      <w:r w:rsidR="00976057" w:rsidRPr="676CCB40">
        <w:rPr>
          <w:rFonts w:asciiTheme="minorHAnsi" w:hAnsiTheme="minorHAnsi"/>
        </w:rPr>
        <w:t xml:space="preserve">to provide for matters required or permitted by </w:t>
      </w:r>
      <w:r w:rsidR="006E776F" w:rsidRPr="676CCB40">
        <w:rPr>
          <w:rFonts w:asciiTheme="minorHAnsi" w:hAnsiTheme="minorHAnsi"/>
        </w:rPr>
        <w:t xml:space="preserve">the new </w:t>
      </w:r>
      <w:r w:rsidR="00976057" w:rsidRPr="676CCB40">
        <w:rPr>
          <w:rFonts w:asciiTheme="minorHAnsi" w:hAnsiTheme="minorHAnsi"/>
        </w:rPr>
        <w:t>sections 19-39</w:t>
      </w:r>
      <w:r w:rsidR="006E776F" w:rsidRPr="676CCB40">
        <w:rPr>
          <w:rFonts w:asciiTheme="minorHAnsi" w:hAnsiTheme="minorHAnsi"/>
        </w:rPr>
        <w:t xml:space="preserve"> and</w:t>
      </w:r>
      <w:r w:rsidR="00976057" w:rsidRPr="676CCB40">
        <w:rPr>
          <w:rFonts w:asciiTheme="minorHAnsi" w:hAnsiTheme="minorHAnsi"/>
        </w:rPr>
        <w:t xml:space="preserve"> 19-40</w:t>
      </w:r>
      <w:r w:rsidR="005E28A6" w:rsidRPr="676CCB40">
        <w:rPr>
          <w:rFonts w:asciiTheme="minorHAnsi" w:hAnsiTheme="minorHAnsi"/>
        </w:rPr>
        <w:t xml:space="preserve"> </w:t>
      </w:r>
      <w:r w:rsidR="006E776F" w:rsidRPr="676CCB40">
        <w:rPr>
          <w:rFonts w:asciiTheme="minorHAnsi" w:hAnsiTheme="minorHAnsi"/>
        </w:rPr>
        <w:t xml:space="preserve">which were </w:t>
      </w:r>
      <w:r w:rsidR="005E28A6" w:rsidRPr="676CCB40">
        <w:rPr>
          <w:rFonts w:asciiTheme="minorHAnsi" w:hAnsiTheme="minorHAnsi"/>
        </w:rPr>
        <w:t xml:space="preserve">introduced in the </w:t>
      </w:r>
      <w:r w:rsidR="00AB2F7D" w:rsidRPr="676CCB40">
        <w:rPr>
          <w:rFonts w:asciiTheme="minorHAnsi" w:hAnsiTheme="minorHAnsi"/>
        </w:rPr>
        <w:lastRenderedPageBreak/>
        <w:t>Amendment Act</w:t>
      </w:r>
      <w:r w:rsidR="00053651" w:rsidRPr="676CCB40">
        <w:rPr>
          <w:rFonts w:asciiTheme="minorHAnsi" w:hAnsiTheme="minorHAnsi"/>
        </w:rPr>
        <w:t xml:space="preserve">, and to provide a brief overview of the </w:t>
      </w:r>
      <w:r w:rsidR="00BF7283" w:rsidRPr="676CCB40">
        <w:rPr>
          <w:rFonts w:asciiTheme="minorHAnsi" w:hAnsiTheme="minorHAnsi"/>
        </w:rPr>
        <w:t xml:space="preserve">requirements </w:t>
      </w:r>
      <w:r w:rsidR="00EB4DDF" w:rsidRPr="676CCB40">
        <w:rPr>
          <w:rFonts w:asciiTheme="minorHAnsi" w:hAnsiTheme="minorHAnsi"/>
        </w:rPr>
        <w:t xml:space="preserve">being </w:t>
      </w:r>
      <w:r w:rsidR="00BF7283" w:rsidRPr="676CCB40">
        <w:rPr>
          <w:rFonts w:asciiTheme="minorHAnsi" w:hAnsiTheme="minorHAnsi"/>
        </w:rPr>
        <w:t xml:space="preserve">introduced into the </w:t>
      </w:r>
      <w:r w:rsidR="6072AFF1" w:rsidRPr="676CCB40">
        <w:rPr>
          <w:rFonts w:asciiTheme="minorHAnsi" w:hAnsiTheme="minorHAnsi"/>
        </w:rPr>
        <w:t>Student Services Guidelines</w:t>
      </w:r>
      <w:r w:rsidR="00BF7283" w:rsidRPr="676CCB40">
        <w:rPr>
          <w:rFonts w:asciiTheme="minorHAnsi" w:hAnsiTheme="minorHAnsi"/>
        </w:rPr>
        <w:t>.</w:t>
      </w:r>
    </w:p>
    <w:p w14:paraId="1461D362" w14:textId="45AFA8F8" w:rsidR="30541FDE" w:rsidRDefault="30541FDE" w:rsidP="676CCB40">
      <w:pPr>
        <w:spacing w:before="360" w:after="120"/>
        <w:rPr>
          <w:rFonts w:asciiTheme="minorHAnsi" w:hAnsiTheme="minorHAnsi"/>
          <w:u w:val="single"/>
        </w:rPr>
      </w:pPr>
      <w:r w:rsidRPr="676CCB40">
        <w:rPr>
          <w:rFonts w:asciiTheme="minorHAnsi" w:hAnsiTheme="minorHAnsi"/>
          <w:u w:val="single"/>
        </w:rPr>
        <w:t>Item 2: Subsection 19(5)</w:t>
      </w:r>
    </w:p>
    <w:p w14:paraId="577A6F29" w14:textId="0ECF044D" w:rsidR="30541FDE" w:rsidRDefault="30541FDE" w:rsidP="676CCB40">
      <w:pPr>
        <w:pStyle w:val="ListParagraph"/>
        <w:numPr>
          <w:ilvl w:val="0"/>
          <w:numId w:val="2"/>
        </w:numPr>
        <w:rPr>
          <w:rFonts w:asciiTheme="minorHAnsi" w:hAnsiTheme="minorHAnsi"/>
        </w:rPr>
      </w:pPr>
      <w:r w:rsidRPr="676CCB40">
        <w:rPr>
          <w:rFonts w:asciiTheme="minorHAnsi" w:hAnsiTheme="minorHAnsi"/>
        </w:rPr>
        <w:t>This item replaces the current subsection 19(5) of the Student Services Guidelines</w:t>
      </w:r>
      <w:r w:rsidR="75348569" w:rsidRPr="676CCB40">
        <w:rPr>
          <w:rFonts w:asciiTheme="minorHAnsi" w:hAnsiTheme="minorHAnsi"/>
        </w:rPr>
        <w:t xml:space="preserve"> with a new subsection 19(5)</w:t>
      </w:r>
      <w:r w:rsidRPr="676CCB40">
        <w:rPr>
          <w:rFonts w:asciiTheme="minorHAnsi" w:hAnsiTheme="minorHAnsi"/>
        </w:rPr>
        <w:t>.</w:t>
      </w:r>
      <w:r w:rsidR="76A06FB9" w:rsidRPr="676CCB40">
        <w:rPr>
          <w:rFonts w:asciiTheme="minorHAnsi" w:hAnsiTheme="minorHAnsi"/>
        </w:rPr>
        <w:t xml:space="preserve"> </w:t>
      </w:r>
      <w:r w:rsidR="56A9491D" w:rsidRPr="676CCB40">
        <w:rPr>
          <w:rFonts w:asciiTheme="minorHAnsi" w:hAnsiTheme="minorHAnsi"/>
        </w:rPr>
        <w:t>The current s</w:t>
      </w:r>
      <w:r w:rsidR="4F0EF0D7" w:rsidRPr="676CCB40">
        <w:rPr>
          <w:rFonts w:asciiTheme="minorHAnsi" w:hAnsiTheme="minorHAnsi"/>
        </w:rPr>
        <w:t xml:space="preserve">ubsection 19(5) </w:t>
      </w:r>
      <w:r w:rsidR="7D6F21B6" w:rsidRPr="676CCB40">
        <w:rPr>
          <w:rFonts w:asciiTheme="minorHAnsi" w:hAnsiTheme="minorHAnsi"/>
        </w:rPr>
        <w:t>r</w:t>
      </w:r>
      <w:r w:rsidR="4F0EF0D7" w:rsidRPr="676CCB40">
        <w:rPr>
          <w:rFonts w:asciiTheme="minorHAnsi" w:hAnsiTheme="minorHAnsi"/>
        </w:rPr>
        <w:t xml:space="preserve">equires higher education providers to provide a publicly available report on </w:t>
      </w:r>
      <w:r w:rsidR="1E4554F3" w:rsidRPr="676CCB40">
        <w:rPr>
          <w:rFonts w:asciiTheme="minorHAnsi" w:hAnsiTheme="minorHAnsi"/>
        </w:rPr>
        <w:t>student</w:t>
      </w:r>
      <w:r w:rsidR="4F0EF0D7" w:rsidRPr="676CCB40">
        <w:rPr>
          <w:rFonts w:asciiTheme="minorHAnsi" w:hAnsiTheme="minorHAnsi"/>
        </w:rPr>
        <w:t xml:space="preserve"> services and amen</w:t>
      </w:r>
      <w:r w:rsidR="5F8230F2" w:rsidRPr="676CCB40">
        <w:rPr>
          <w:rFonts w:asciiTheme="minorHAnsi" w:hAnsiTheme="minorHAnsi"/>
        </w:rPr>
        <w:t>i</w:t>
      </w:r>
      <w:r w:rsidR="4F0EF0D7" w:rsidRPr="676CCB40">
        <w:rPr>
          <w:rFonts w:asciiTheme="minorHAnsi" w:hAnsiTheme="minorHAnsi"/>
        </w:rPr>
        <w:t>ties fee al</w:t>
      </w:r>
      <w:r w:rsidR="58C95311" w:rsidRPr="676CCB40">
        <w:rPr>
          <w:rFonts w:asciiTheme="minorHAnsi" w:hAnsiTheme="minorHAnsi"/>
        </w:rPr>
        <w:t>locations and actual expenditure</w:t>
      </w:r>
      <w:r w:rsidR="694F8F84" w:rsidRPr="676CCB40">
        <w:rPr>
          <w:rFonts w:asciiTheme="minorHAnsi" w:hAnsiTheme="minorHAnsi"/>
        </w:rPr>
        <w:t xml:space="preserve"> as part of the annual reporting.</w:t>
      </w:r>
      <w:r w:rsidR="58C95311" w:rsidRPr="676CCB40">
        <w:rPr>
          <w:rFonts w:asciiTheme="minorHAnsi" w:hAnsiTheme="minorHAnsi"/>
        </w:rPr>
        <w:t xml:space="preserve"> </w:t>
      </w:r>
      <w:r w:rsidR="76A06FB9" w:rsidRPr="676CCB40">
        <w:rPr>
          <w:rFonts w:asciiTheme="minorHAnsi" w:hAnsiTheme="minorHAnsi"/>
        </w:rPr>
        <w:t>The new subsection 19(5) replicates the opera</w:t>
      </w:r>
      <w:r w:rsidR="4C0F95DD" w:rsidRPr="676CCB40">
        <w:rPr>
          <w:rFonts w:asciiTheme="minorHAnsi" w:hAnsiTheme="minorHAnsi"/>
        </w:rPr>
        <w:t>ti</w:t>
      </w:r>
      <w:r w:rsidR="76A06FB9" w:rsidRPr="676CCB40">
        <w:rPr>
          <w:rFonts w:asciiTheme="minorHAnsi" w:hAnsiTheme="minorHAnsi"/>
        </w:rPr>
        <w:t>on of the</w:t>
      </w:r>
      <w:r w:rsidR="7621CE2E" w:rsidRPr="676CCB40">
        <w:rPr>
          <w:rFonts w:asciiTheme="minorHAnsi" w:hAnsiTheme="minorHAnsi"/>
        </w:rPr>
        <w:t xml:space="preserve"> current</w:t>
      </w:r>
      <w:r w:rsidR="76A06FB9" w:rsidRPr="676CCB40">
        <w:rPr>
          <w:rFonts w:asciiTheme="minorHAnsi" w:hAnsiTheme="minorHAnsi"/>
        </w:rPr>
        <w:t xml:space="preserve"> subsection, with the addition of a requirement for the </w:t>
      </w:r>
      <w:r w:rsidR="03FE8018" w:rsidRPr="676CCB40">
        <w:rPr>
          <w:rFonts w:asciiTheme="minorHAnsi" w:hAnsiTheme="minorHAnsi"/>
        </w:rPr>
        <w:t>higher education provider to provide the report to the Department.</w:t>
      </w:r>
    </w:p>
    <w:p w14:paraId="6543600D" w14:textId="3E12FA93" w:rsidR="00F26537" w:rsidRPr="00FB77AA" w:rsidRDefault="00F26537" w:rsidP="676CCB40">
      <w:pPr>
        <w:spacing w:before="360" w:after="120"/>
        <w:rPr>
          <w:rFonts w:asciiTheme="minorHAnsi" w:hAnsiTheme="minorHAnsi"/>
          <w:u w:val="single"/>
        </w:rPr>
      </w:pPr>
      <w:r w:rsidRPr="676CCB40">
        <w:rPr>
          <w:rFonts w:asciiTheme="minorHAnsi" w:hAnsiTheme="minorHAnsi"/>
          <w:u w:val="single"/>
        </w:rPr>
        <w:t xml:space="preserve">Item </w:t>
      </w:r>
      <w:r w:rsidR="05DB5EED" w:rsidRPr="676CCB40">
        <w:rPr>
          <w:rFonts w:asciiTheme="minorHAnsi" w:hAnsiTheme="minorHAnsi"/>
          <w:u w:val="single"/>
        </w:rPr>
        <w:t>3</w:t>
      </w:r>
      <w:r w:rsidRPr="676CCB40">
        <w:rPr>
          <w:rFonts w:asciiTheme="minorHAnsi" w:hAnsiTheme="minorHAnsi"/>
          <w:u w:val="single"/>
        </w:rPr>
        <w:t>: After section 19</w:t>
      </w:r>
    </w:p>
    <w:p w14:paraId="64C8B4CD" w14:textId="55074090" w:rsidR="00F26537" w:rsidRDefault="00FE3F45" w:rsidP="676CCB40">
      <w:pPr>
        <w:pStyle w:val="ListParagraph"/>
        <w:numPr>
          <w:ilvl w:val="0"/>
          <w:numId w:val="2"/>
        </w:numPr>
        <w:spacing w:before="360" w:after="120"/>
        <w:rPr>
          <w:rFonts w:asciiTheme="minorHAnsi" w:hAnsiTheme="minorHAnsi"/>
        </w:rPr>
      </w:pPr>
      <w:r w:rsidRPr="676CCB40">
        <w:rPr>
          <w:rFonts w:asciiTheme="minorHAnsi" w:hAnsiTheme="minorHAnsi"/>
        </w:rPr>
        <w:t xml:space="preserve">This item inserts new Part 4 </w:t>
      </w:r>
      <w:r w:rsidR="5340E75C" w:rsidRPr="676CCB40">
        <w:rPr>
          <w:rFonts w:asciiTheme="minorHAnsi" w:hAnsiTheme="minorHAnsi"/>
        </w:rPr>
        <w:t xml:space="preserve">at the end of the Student Services Guidelines, </w:t>
      </w:r>
      <w:r w:rsidRPr="676CCB40">
        <w:rPr>
          <w:rFonts w:asciiTheme="minorHAnsi" w:hAnsiTheme="minorHAnsi"/>
        </w:rPr>
        <w:t>which is titled ‘</w:t>
      </w:r>
      <w:r w:rsidR="00F26537" w:rsidRPr="676CCB40">
        <w:rPr>
          <w:rFonts w:asciiTheme="minorHAnsi" w:hAnsiTheme="minorHAnsi"/>
        </w:rPr>
        <w:t xml:space="preserve">Requirements relating to student led </w:t>
      </w:r>
      <w:proofErr w:type="gramStart"/>
      <w:r w:rsidR="00F26537" w:rsidRPr="676CCB40">
        <w:rPr>
          <w:rFonts w:asciiTheme="minorHAnsi" w:hAnsiTheme="minorHAnsi"/>
        </w:rPr>
        <w:t>organisations</w:t>
      </w:r>
      <w:r w:rsidR="0067660C" w:rsidRPr="676CCB40">
        <w:rPr>
          <w:rFonts w:asciiTheme="minorHAnsi" w:hAnsiTheme="minorHAnsi"/>
        </w:rPr>
        <w:t>’</w:t>
      </w:r>
      <w:proofErr w:type="gramEnd"/>
      <w:r w:rsidR="016CD207" w:rsidRPr="676CCB40">
        <w:rPr>
          <w:rFonts w:asciiTheme="minorHAnsi" w:hAnsiTheme="minorHAnsi"/>
        </w:rPr>
        <w:t xml:space="preserve">. The new Part contains provisions that </w:t>
      </w:r>
      <w:r w:rsidR="0067660C" w:rsidRPr="676CCB40">
        <w:rPr>
          <w:rFonts w:asciiTheme="minorHAnsi" w:hAnsiTheme="minorHAnsi"/>
        </w:rPr>
        <w:t xml:space="preserve">prescribes the additional requirements </w:t>
      </w:r>
      <w:r w:rsidR="00072A4A" w:rsidRPr="676CCB40">
        <w:rPr>
          <w:rFonts w:asciiTheme="minorHAnsi" w:hAnsiTheme="minorHAnsi"/>
        </w:rPr>
        <w:t xml:space="preserve">that a higher education provider must be satisfied of </w:t>
      </w:r>
      <w:proofErr w:type="gramStart"/>
      <w:r w:rsidR="00072A4A" w:rsidRPr="676CCB40">
        <w:rPr>
          <w:rFonts w:asciiTheme="minorHAnsi" w:hAnsiTheme="minorHAnsi"/>
        </w:rPr>
        <w:t>in order to</w:t>
      </w:r>
      <w:proofErr w:type="gramEnd"/>
      <w:r w:rsidR="00072A4A" w:rsidRPr="676CCB40">
        <w:rPr>
          <w:rFonts w:asciiTheme="minorHAnsi" w:hAnsiTheme="minorHAnsi"/>
        </w:rPr>
        <w:t xml:space="preserve"> consider whether </w:t>
      </w:r>
      <w:r w:rsidR="00072A4A" w:rsidRPr="00BC36DF">
        <w:rPr>
          <w:rFonts w:ascii="Calibri" w:eastAsia="Calibri" w:hAnsi="Calibri" w:cs="Calibri"/>
          <w:shd w:val="clear" w:color="auto" w:fill="FFFFFF"/>
        </w:rPr>
        <w:t>a student</w:t>
      </w:r>
      <w:r w:rsidR="00CE2B35">
        <w:rPr>
          <w:rFonts w:ascii="Calibri" w:eastAsia="Calibri" w:hAnsi="Calibri" w:cs="Calibri"/>
          <w:shd w:val="clear" w:color="auto" w:fill="FFFFFF"/>
        </w:rPr>
        <w:t xml:space="preserve"> </w:t>
      </w:r>
      <w:r w:rsidR="00072A4A" w:rsidRPr="00BC36DF">
        <w:rPr>
          <w:rFonts w:ascii="Calibri" w:eastAsia="Calibri" w:hAnsi="Calibri" w:cs="Calibri"/>
          <w:shd w:val="clear" w:color="auto" w:fill="FFFFFF"/>
        </w:rPr>
        <w:t xml:space="preserve">led organisation </w:t>
      </w:r>
      <w:r w:rsidR="00072A4A">
        <w:rPr>
          <w:rFonts w:ascii="Calibri" w:eastAsia="Calibri" w:hAnsi="Calibri" w:cs="Calibri"/>
          <w:shd w:val="clear" w:color="auto" w:fill="FFFFFF"/>
        </w:rPr>
        <w:t xml:space="preserve">is eligible </w:t>
      </w:r>
      <w:r w:rsidR="00072A4A" w:rsidRPr="00BC36DF">
        <w:rPr>
          <w:rFonts w:ascii="Calibri" w:eastAsia="Calibri" w:hAnsi="Calibri" w:cs="Calibri"/>
          <w:shd w:val="clear" w:color="auto" w:fill="FFFFFF"/>
        </w:rPr>
        <w:t>to receive the mandated 40 per cent (or part thereof) of SSAF revenue</w:t>
      </w:r>
      <w:r w:rsidR="00A576CF">
        <w:rPr>
          <w:rFonts w:ascii="Calibri" w:eastAsia="Calibri" w:hAnsi="Calibri" w:cs="Calibri"/>
          <w:shd w:val="clear" w:color="auto" w:fill="FFFFFF"/>
        </w:rPr>
        <w:t>.</w:t>
      </w:r>
    </w:p>
    <w:p w14:paraId="46317188" w14:textId="77777777" w:rsidR="00DB7CA2" w:rsidRDefault="00DB7CA2" w:rsidP="00DB7CA2">
      <w:pPr>
        <w:pStyle w:val="ListParagraph"/>
        <w:spacing w:before="360" w:after="120"/>
        <w:rPr>
          <w:rFonts w:asciiTheme="minorHAnsi" w:hAnsiTheme="minorHAnsi" w:cstheme="minorHAnsi"/>
          <w:iCs/>
          <w:szCs w:val="24"/>
        </w:rPr>
      </w:pPr>
    </w:p>
    <w:p w14:paraId="107BD9EA" w14:textId="414C539C" w:rsidR="00F26537" w:rsidRPr="00A834BD" w:rsidRDefault="00755715" w:rsidP="676CCB40">
      <w:pPr>
        <w:pStyle w:val="ListParagraph"/>
        <w:numPr>
          <w:ilvl w:val="0"/>
          <w:numId w:val="2"/>
        </w:numPr>
        <w:spacing w:before="360" w:after="120"/>
        <w:rPr>
          <w:rFonts w:asciiTheme="minorHAnsi" w:hAnsiTheme="minorHAnsi"/>
        </w:rPr>
      </w:pPr>
      <w:r w:rsidRPr="676CCB40">
        <w:rPr>
          <w:rFonts w:asciiTheme="minorHAnsi" w:hAnsiTheme="minorHAnsi"/>
        </w:rPr>
        <w:t>This item</w:t>
      </w:r>
      <w:r w:rsidR="00DB7CA2" w:rsidRPr="676CCB40">
        <w:rPr>
          <w:rFonts w:asciiTheme="minorHAnsi" w:hAnsiTheme="minorHAnsi"/>
        </w:rPr>
        <w:t xml:space="preserve"> complements the definition of </w:t>
      </w:r>
      <w:r w:rsidR="00D2115A" w:rsidRPr="676CCB40">
        <w:rPr>
          <w:rFonts w:asciiTheme="minorHAnsi" w:hAnsiTheme="minorHAnsi"/>
        </w:rPr>
        <w:t xml:space="preserve">a ‘student led organisation’ </w:t>
      </w:r>
      <w:r w:rsidR="43B92520" w:rsidRPr="676CCB40">
        <w:rPr>
          <w:rFonts w:asciiTheme="minorHAnsi" w:hAnsiTheme="minorHAnsi"/>
        </w:rPr>
        <w:t xml:space="preserve">in subsection 19-39(3) of HESA, as inserted by </w:t>
      </w:r>
      <w:r w:rsidR="00D2115A" w:rsidRPr="676CCB40">
        <w:rPr>
          <w:rFonts w:asciiTheme="minorHAnsi" w:hAnsiTheme="minorHAnsi"/>
        </w:rPr>
        <w:t xml:space="preserve">the </w:t>
      </w:r>
      <w:r w:rsidR="00AB2F7D" w:rsidRPr="676CCB40">
        <w:rPr>
          <w:rFonts w:asciiTheme="minorHAnsi" w:hAnsiTheme="minorHAnsi"/>
        </w:rPr>
        <w:t>Amendment Act</w:t>
      </w:r>
      <w:r w:rsidR="00B8572C" w:rsidRPr="676CCB40">
        <w:rPr>
          <w:rFonts w:asciiTheme="minorHAnsi" w:hAnsiTheme="minorHAnsi"/>
        </w:rPr>
        <w:t xml:space="preserve">. The definition provides that an organisation is a student led organisation if: </w:t>
      </w:r>
      <w:r w:rsidR="00D2115A" w:rsidRPr="676CCB40">
        <w:rPr>
          <w:rFonts w:asciiTheme="minorHAnsi" w:hAnsiTheme="minorHAnsi"/>
        </w:rPr>
        <w:t xml:space="preserve"> </w:t>
      </w:r>
    </w:p>
    <w:p w14:paraId="7A6390B7" w14:textId="6B80ECEB" w:rsidR="00F26537" w:rsidRPr="00F70D68" w:rsidRDefault="00F26537" w:rsidP="00F70D68">
      <w:pPr>
        <w:pStyle w:val="ListParagraph"/>
        <w:keepNext/>
        <w:numPr>
          <w:ilvl w:val="1"/>
          <w:numId w:val="8"/>
        </w:numPr>
        <w:spacing w:before="360" w:after="120"/>
        <w:rPr>
          <w:rFonts w:asciiTheme="minorHAnsi" w:hAnsiTheme="minorHAnsi" w:cstheme="minorHAnsi"/>
          <w:szCs w:val="24"/>
        </w:rPr>
      </w:pPr>
      <w:r w:rsidRPr="00B253C9">
        <w:rPr>
          <w:rFonts w:asciiTheme="minorHAnsi" w:hAnsiTheme="minorHAnsi" w:cstheme="minorHAnsi"/>
          <w:szCs w:val="24"/>
        </w:rPr>
        <w:t xml:space="preserve">the majority of the persons constituting the governing body are either </w:t>
      </w:r>
      <w:r w:rsidRPr="003C276D">
        <w:rPr>
          <w:rFonts w:asciiTheme="minorHAnsi" w:hAnsiTheme="minorHAnsi" w:cstheme="minorHAnsi"/>
          <w:szCs w:val="24"/>
        </w:rPr>
        <w:t>students enrolled in a course of study</w:t>
      </w:r>
      <w:r>
        <w:rPr>
          <w:rFonts w:asciiTheme="minorHAnsi" w:hAnsiTheme="minorHAnsi" w:cstheme="minorHAnsi"/>
          <w:szCs w:val="24"/>
        </w:rPr>
        <w:t xml:space="preserve"> </w:t>
      </w:r>
      <w:r w:rsidRPr="003C276D">
        <w:rPr>
          <w:rFonts w:asciiTheme="minorHAnsi" w:hAnsiTheme="minorHAnsi" w:cstheme="minorHAnsi"/>
          <w:szCs w:val="24"/>
        </w:rPr>
        <w:t>with the higher education provider</w:t>
      </w:r>
      <w:r>
        <w:rPr>
          <w:rFonts w:asciiTheme="minorHAnsi" w:hAnsiTheme="minorHAnsi" w:cstheme="minorHAnsi"/>
          <w:szCs w:val="24"/>
        </w:rPr>
        <w:t>,</w:t>
      </w:r>
      <w:r w:rsidRPr="003C276D">
        <w:rPr>
          <w:rFonts w:asciiTheme="minorHAnsi" w:hAnsiTheme="minorHAnsi" w:cstheme="minorHAnsi"/>
          <w:szCs w:val="24"/>
        </w:rPr>
        <w:t xml:space="preserve"> </w:t>
      </w:r>
      <w:r>
        <w:rPr>
          <w:rFonts w:asciiTheme="minorHAnsi" w:hAnsiTheme="minorHAnsi" w:cstheme="minorHAnsi"/>
          <w:szCs w:val="24"/>
        </w:rPr>
        <w:t xml:space="preserve">or who have been enrolled in a course of study </w:t>
      </w:r>
      <w:r w:rsidRPr="003C276D">
        <w:rPr>
          <w:rFonts w:asciiTheme="minorHAnsi" w:hAnsiTheme="minorHAnsi" w:cstheme="minorHAnsi"/>
          <w:szCs w:val="24"/>
        </w:rPr>
        <w:t>with the higher education provider</w:t>
      </w:r>
      <w:r>
        <w:rPr>
          <w:rFonts w:asciiTheme="minorHAnsi" w:hAnsiTheme="minorHAnsi" w:cstheme="minorHAnsi"/>
          <w:szCs w:val="24"/>
        </w:rPr>
        <w:t xml:space="preserve"> during any of the 3 immediately preceding calendar </w:t>
      </w:r>
      <w:proofErr w:type="gramStart"/>
      <w:r>
        <w:rPr>
          <w:rFonts w:asciiTheme="minorHAnsi" w:hAnsiTheme="minorHAnsi" w:cstheme="minorHAnsi"/>
          <w:szCs w:val="24"/>
        </w:rPr>
        <w:t>years</w:t>
      </w:r>
      <w:r w:rsidR="00AA17BC">
        <w:rPr>
          <w:rFonts w:asciiTheme="minorHAnsi" w:hAnsiTheme="minorHAnsi" w:cstheme="minorHAnsi"/>
          <w:szCs w:val="24"/>
        </w:rPr>
        <w:t>;</w:t>
      </w:r>
      <w:proofErr w:type="gramEnd"/>
      <w:r w:rsidRPr="003C276D">
        <w:rPr>
          <w:rFonts w:asciiTheme="minorHAnsi" w:hAnsiTheme="minorHAnsi" w:cstheme="minorHAnsi"/>
          <w:szCs w:val="24"/>
        </w:rPr>
        <w:t xml:space="preserve"> </w:t>
      </w:r>
    </w:p>
    <w:p w14:paraId="58B3C1DA" w14:textId="77777777" w:rsidR="00F26537" w:rsidRDefault="00F26537" w:rsidP="00F26537">
      <w:pPr>
        <w:pStyle w:val="ListParagraph"/>
        <w:keepNext/>
        <w:numPr>
          <w:ilvl w:val="1"/>
          <w:numId w:val="8"/>
        </w:numPr>
        <w:spacing w:before="360" w:after="120"/>
        <w:rPr>
          <w:rFonts w:asciiTheme="minorHAnsi" w:hAnsiTheme="minorHAnsi" w:cstheme="minorHAnsi"/>
          <w:szCs w:val="24"/>
        </w:rPr>
      </w:pPr>
      <w:proofErr w:type="gramStart"/>
      <w:r w:rsidRPr="00603585">
        <w:rPr>
          <w:rFonts w:asciiTheme="minorHAnsi" w:hAnsiTheme="minorHAnsi" w:cstheme="minorHAnsi"/>
          <w:szCs w:val="24"/>
        </w:rPr>
        <w:t>the majority of</w:t>
      </w:r>
      <w:proofErr w:type="gramEnd"/>
      <w:r w:rsidRPr="00603585">
        <w:rPr>
          <w:rFonts w:asciiTheme="minorHAnsi" w:hAnsiTheme="minorHAnsi" w:cstheme="minorHAnsi"/>
          <w:szCs w:val="24"/>
        </w:rPr>
        <w:t xml:space="preserve"> the </w:t>
      </w:r>
      <w:r>
        <w:rPr>
          <w:rFonts w:asciiTheme="minorHAnsi" w:hAnsiTheme="minorHAnsi" w:cstheme="minorHAnsi"/>
          <w:szCs w:val="24"/>
        </w:rPr>
        <w:t>persons constituting</w:t>
      </w:r>
      <w:r w:rsidRPr="00603585">
        <w:rPr>
          <w:rFonts w:asciiTheme="minorHAnsi" w:hAnsiTheme="minorHAnsi" w:cstheme="minorHAnsi"/>
          <w:szCs w:val="24"/>
        </w:rPr>
        <w:t xml:space="preserve"> the governing body have been democratically elected by </w:t>
      </w:r>
      <w:r>
        <w:rPr>
          <w:rFonts w:asciiTheme="minorHAnsi" w:hAnsiTheme="minorHAnsi" w:cstheme="minorHAnsi"/>
          <w:szCs w:val="24"/>
        </w:rPr>
        <w:t>students</w:t>
      </w:r>
      <w:r w:rsidRPr="00603585">
        <w:rPr>
          <w:rFonts w:asciiTheme="minorHAnsi" w:hAnsiTheme="minorHAnsi" w:cstheme="minorHAnsi"/>
          <w:szCs w:val="24"/>
        </w:rPr>
        <w:t xml:space="preserve"> enrolled in a course of study with the higher education provider; and</w:t>
      </w:r>
    </w:p>
    <w:p w14:paraId="0320AE54" w14:textId="087445F9" w:rsidR="00F26537" w:rsidRDefault="00F26537" w:rsidP="676CCB40">
      <w:pPr>
        <w:pStyle w:val="ListParagraph"/>
        <w:keepNext/>
        <w:numPr>
          <w:ilvl w:val="1"/>
          <w:numId w:val="8"/>
        </w:numPr>
        <w:spacing w:before="360" w:after="120"/>
        <w:rPr>
          <w:rFonts w:asciiTheme="minorHAnsi" w:hAnsiTheme="minorHAnsi"/>
        </w:rPr>
      </w:pPr>
      <w:r w:rsidRPr="676CCB40">
        <w:rPr>
          <w:rFonts w:asciiTheme="minorHAnsi" w:hAnsiTheme="minorHAnsi"/>
        </w:rPr>
        <w:t>the organisation satisfies the requirements (if any) specified in the Student Services Guidelines.</w:t>
      </w:r>
    </w:p>
    <w:p w14:paraId="17CC6FBC" w14:textId="77777777" w:rsidR="00F26537" w:rsidRDefault="00F26537" w:rsidP="00F26537">
      <w:pPr>
        <w:pStyle w:val="ListParagraph"/>
        <w:spacing w:before="360" w:after="120"/>
        <w:rPr>
          <w:rFonts w:asciiTheme="minorHAnsi" w:hAnsiTheme="minorHAnsi" w:cstheme="minorHAnsi"/>
          <w:iCs/>
          <w:szCs w:val="24"/>
        </w:rPr>
      </w:pPr>
    </w:p>
    <w:p w14:paraId="18E74104" w14:textId="08D9B2E9" w:rsidR="00F26537" w:rsidRDefault="003F162E" w:rsidP="676CCB40">
      <w:pPr>
        <w:pStyle w:val="ListParagraph"/>
        <w:numPr>
          <w:ilvl w:val="0"/>
          <w:numId w:val="2"/>
        </w:numPr>
        <w:spacing w:before="360" w:after="120"/>
        <w:rPr>
          <w:rFonts w:asciiTheme="minorHAnsi" w:hAnsiTheme="minorHAnsi"/>
        </w:rPr>
      </w:pPr>
      <w:r w:rsidRPr="676CCB40">
        <w:rPr>
          <w:rFonts w:asciiTheme="minorHAnsi" w:hAnsiTheme="minorHAnsi"/>
        </w:rPr>
        <w:t xml:space="preserve">Section 20 of the </w:t>
      </w:r>
      <w:r w:rsidR="00726E65" w:rsidRPr="676CCB40">
        <w:rPr>
          <w:rFonts w:asciiTheme="minorHAnsi" w:hAnsiTheme="minorHAnsi"/>
        </w:rPr>
        <w:t>n</w:t>
      </w:r>
      <w:r w:rsidR="00F26537" w:rsidRPr="676CCB40">
        <w:rPr>
          <w:rFonts w:asciiTheme="minorHAnsi" w:hAnsiTheme="minorHAnsi"/>
        </w:rPr>
        <w:t xml:space="preserve">ew Part 4 prescribes </w:t>
      </w:r>
      <w:r w:rsidR="00726E65" w:rsidRPr="676CCB40">
        <w:rPr>
          <w:rFonts w:asciiTheme="minorHAnsi" w:hAnsiTheme="minorHAnsi"/>
        </w:rPr>
        <w:t xml:space="preserve">the additional </w:t>
      </w:r>
      <w:r w:rsidR="00F26537" w:rsidRPr="676CCB40">
        <w:rPr>
          <w:rFonts w:asciiTheme="minorHAnsi" w:hAnsiTheme="minorHAnsi"/>
        </w:rPr>
        <w:t>requirements</w:t>
      </w:r>
      <w:r w:rsidRPr="676CCB40">
        <w:rPr>
          <w:rFonts w:asciiTheme="minorHAnsi" w:hAnsiTheme="minorHAnsi"/>
        </w:rPr>
        <w:t xml:space="preserve"> for </w:t>
      </w:r>
      <w:r w:rsidR="6E8AF66F" w:rsidRPr="676CCB40">
        <w:rPr>
          <w:rFonts w:asciiTheme="minorHAnsi" w:hAnsiTheme="minorHAnsi"/>
        </w:rPr>
        <w:t xml:space="preserve">and organisation to be a </w:t>
      </w:r>
      <w:r w:rsidRPr="676CCB40">
        <w:rPr>
          <w:rFonts w:asciiTheme="minorHAnsi" w:hAnsiTheme="minorHAnsi"/>
        </w:rPr>
        <w:t>student led organisation</w:t>
      </w:r>
      <w:r w:rsidR="288E6824" w:rsidRPr="676CCB40">
        <w:rPr>
          <w:rFonts w:asciiTheme="minorHAnsi" w:hAnsiTheme="minorHAnsi"/>
        </w:rPr>
        <w:t xml:space="preserve"> (and hence whose receipt of SSAF revenue can be counted towards the higher education provider’s requirement to allocated at least 40 per cent of its SSAF revenue to student led organisations)</w:t>
      </w:r>
      <w:r w:rsidR="0012143E" w:rsidRPr="676CCB40">
        <w:rPr>
          <w:rFonts w:asciiTheme="minorHAnsi" w:hAnsiTheme="minorHAnsi"/>
        </w:rPr>
        <w:t>.</w:t>
      </w:r>
    </w:p>
    <w:p w14:paraId="7AB5E608" w14:textId="77777777" w:rsidR="00F26537" w:rsidRDefault="00F26537" w:rsidP="00F26537">
      <w:pPr>
        <w:pStyle w:val="ListParagraph"/>
        <w:spacing w:before="360" w:after="120"/>
        <w:rPr>
          <w:rFonts w:asciiTheme="minorHAnsi" w:hAnsiTheme="minorHAnsi" w:cstheme="minorHAnsi"/>
          <w:iCs/>
          <w:szCs w:val="24"/>
        </w:rPr>
      </w:pPr>
    </w:p>
    <w:p w14:paraId="262C3273" w14:textId="23756CA0" w:rsidR="00F26537" w:rsidRDefault="00F26537" w:rsidP="676CCB40">
      <w:pPr>
        <w:pStyle w:val="ListParagraph"/>
        <w:numPr>
          <w:ilvl w:val="0"/>
          <w:numId w:val="2"/>
        </w:numPr>
        <w:spacing w:before="360" w:after="120"/>
        <w:rPr>
          <w:rFonts w:asciiTheme="minorHAnsi" w:hAnsiTheme="minorHAnsi"/>
        </w:rPr>
      </w:pPr>
      <w:r w:rsidRPr="676CCB40">
        <w:rPr>
          <w:rFonts w:asciiTheme="minorHAnsi" w:hAnsiTheme="minorHAnsi"/>
        </w:rPr>
        <w:lastRenderedPageBreak/>
        <w:t xml:space="preserve">New </w:t>
      </w:r>
      <w:r w:rsidR="699D127D" w:rsidRPr="676CCB40">
        <w:rPr>
          <w:rFonts w:asciiTheme="minorHAnsi" w:hAnsiTheme="minorHAnsi"/>
        </w:rPr>
        <w:t xml:space="preserve">paragraph 20(a) </w:t>
      </w:r>
      <w:r w:rsidRPr="676CCB40">
        <w:rPr>
          <w:rFonts w:asciiTheme="minorHAnsi" w:hAnsiTheme="minorHAnsi"/>
        </w:rPr>
        <w:t>provides that</w:t>
      </w:r>
      <w:r w:rsidR="3D215D37" w:rsidRPr="676CCB40">
        <w:rPr>
          <w:rFonts w:asciiTheme="minorHAnsi" w:hAnsiTheme="minorHAnsi"/>
        </w:rPr>
        <w:t xml:space="preserve">, </w:t>
      </w:r>
      <w:proofErr w:type="gramStart"/>
      <w:r w:rsidR="3D215D37" w:rsidRPr="676CCB40">
        <w:rPr>
          <w:rFonts w:asciiTheme="minorHAnsi" w:hAnsiTheme="minorHAnsi"/>
        </w:rPr>
        <w:t>in order for</w:t>
      </w:r>
      <w:proofErr w:type="gramEnd"/>
      <w:r w:rsidR="3D215D37" w:rsidRPr="676CCB40">
        <w:rPr>
          <w:rFonts w:asciiTheme="minorHAnsi" w:hAnsiTheme="minorHAnsi"/>
        </w:rPr>
        <w:t xml:space="preserve"> an organisation to be a student led organisation,</w:t>
      </w:r>
      <w:r w:rsidRPr="676CCB40">
        <w:rPr>
          <w:rFonts w:asciiTheme="minorHAnsi" w:hAnsiTheme="minorHAnsi"/>
        </w:rPr>
        <w:t xml:space="preserve"> </w:t>
      </w:r>
      <w:r w:rsidR="00D446EF" w:rsidRPr="676CCB40">
        <w:rPr>
          <w:rFonts w:asciiTheme="minorHAnsi" w:hAnsiTheme="minorHAnsi"/>
        </w:rPr>
        <w:t>the</w:t>
      </w:r>
      <w:r w:rsidR="00EE0443" w:rsidRPr="676CCB40">
        <w:rPr>
          <w:rFonts w:asciiTheme="minorHAnsi" w:hAnsiTheme="minorHAnsi"/>
        </w:rPr>
        <w:t xml:space="preserve"> higher education provider</w:t>
      </w:r>
      <w:r w:rsidR="00D446EF" w:rsidRPr="676CCB40">
        <w:rPr>
          <w:rFonts w:asciiTheme="minorHAnsi" w:hAnsiTheme="minorHAnsi"/>
        </w:rPr>
        <w:t xml:space="preserve"> must be satisfied that the organisation </w:t>
      </w:r>
      <w:r w:rsidR="00703931" w:rsidRPr="676CCB40">
        <w:rPr>
          <w:rFonts w:asciiTheme="minorHAnsi" w:hAnsiTheme="minorHAnsi"/>
        </w:rPr>
        <w:t>has appropriate governance arrangements in place</w:t>
      </w:r>
      <w:r w:rsidR="003A3F40" w:rsidRPr="676CCB40">
        <w:rPr>
          <w:rFonts w:asciiTheme="minorHAnsi" w:hAnsiTheme="minorHAnsi"/>
        </w:rPr>
        <w:t>, including that:</w:t>
      </w:r>
    </w:p>
    <w:p w14:paraId="0F3EBFF5" w14:textId="2D70CCBC" w:rsidR="003A3F40" w:rsidRPr="00AC3281" w:rsidRDefault="00052919" w:rsidP="676CCB40">
      <w:pPr>
        <w:pStyle w:val="ListParagraph"/>
        <w:keepNext/>
        <w:numPr>
          <w:ilvl w:val="1"/>
          <w:numId w:val="8"/>
        </w:numPr>
        <w:spacing w:before="360" w:after="120"/>
        <w:rPr>
          <w:rFonts w:asciiTheme="minorHAnsi" w:hAnsiTheme="minorHAnsi"/>
        </w:rPr>
      </w:pPr>
      <w:r w:rsidRPr="676CCB40">
        <w:rPr>
          <w:rFonts w:asciiTheme="minorHAnsi" w:hAnsiTheme="minorHAnsi"/>
        </w:rPr>
        <w:t>the governing body of the organisation makes decisions independently from the higher education provider</w:t>
      </w:r>
      <w:r w:rsidR="05B592E8" w:rsidRPr="676CCB40">
        <w:rPr>
          <w:rFonts w:asciiTheme="minorHAnsi" w:hAnsiTheme="minorHAnsi"/>
        </w:rPr>
        <w:t>; and</w:t>
      </w:r>
    </w:p>
    <w:p w14:paraId="7558BFF6" w14:textId="7DEC742B" w:rsidR="00370795" w:rsidRPr="00AC3281" w:rsidRDefault="00370795" w:rsidP="00AC3281">
      <w:pPr>
        <w:pStyle w:val="ListParagraph"/>
        <w:keepNext/>
        <w:numPr>
          <w:ilvl w:val="1"/>
          <w:numId w:val="8"/>
        </w:numPr>
        <w:spacing w:before="360" w:after="120"/>
        <w:rPr>
          <w:rFonts w:asciiTheme="minorHAnsi" w:hAnsiTheme="minorHAnsi" w:cstheme="minorHAnsi"/>
          <w:szCs w:val="24"/>
        </w:rPr>
      </w:pPr>
      <w:r w:rsidRPr="00AC3281">
        <w:rPr>
          <w:rFonts w:asciiTheme="minorHAnsi" w:hAnsiTheme="minorHAnsi" w:cstheme="minorHAnsi"/>
          <w:szCs w:val="24"/>
        </w:rPr>
        <w:t xml:space="preserve">the organisation keeps audited accounts that record </w:t>
      </w:r>
      <w:r w:rsidR="008A09D3" w:rsidRPr="00AC3281">
        <w:rPr>
          <w:rFonts w:asciiTheme="minorHAnsi" w:hAnsiTheme="minorHAnsi" w:cstheme="minorHAnsi"/>
          <w:szCs w:val="24"/>
        </w:rPr>
        <w:t>its</w:t>
      </w:r>
      <w:r w:rsidRPr="00AC3281">
        <w:rPr>
          <w:rFonts w:asciiTheme="minorHAnsi" w:hAnsiTheme="minorHAnsi" w:cstheme="minorHAnsi"/>
          <w:szCs w:val="24"/>
        </w:rPr>
        <w:t xml:space="preserve"> income and expenditure, including in relation to transactions between the relevant higher education provider and the organisation; and</w:t>
      </w:r>
    </w:p>
    <w:p w14:paraId="68C928BD" w14:textId="01933D8C" w:rsidR="00370795" w:rsidRPr="00AC3281" w:rsidRDefault="00370795" w:rsidP="00AC3281">
      <w:pPr>
        <w:pStyle w:val="ListParagraph"/>
        <w:keepNext/>
        <w:numPr>
          <w:ilvl w:val="1"/>
          <w:numId w:val="8"/>
        </w:numPr>
        <w:spacing w:before="360" w:after="120"/>
        <w:rPr>
          <w:rFonts w:asciiTheme="minorHAnsi" w:hAnsiTheme="minorHAnsi" w:cstheme="minorHAnsi"/>
          <w:szCs w:val="24"/>
        </w:rPr>
      </w:pPr>
      <w:r w:rsidRPr="00AC3281">
        <w:rPr>
          <w:rFonts w:asciiTheme="minorHAnsi" w:hAnsiTheme="minorHAnsi" w:cstheme="minorHAnsi"/>
          <w:szCs w:val="24"/>
        </w:rPr>
        <w:t>the organisation has</w:t>
      </w:r>
      <w:r w:rsidR="008A09D3" w:rsidRPr="00AC3281">
        <w:rPr>
          <w:rFonts w:asciiTheme="minorHAnsi" w:hAnsiTheme="minorHAnsi" w:cstheme="minorHAnsi"/>
          <w:szCs w:val="24"/>
        </w:rPr>
        <w:t xml:space="preserve"> in place,</w:t>
      </w:r>
      <w:r w:rsidRPr="00AC3281">
        <w:rPr>
          <w:rFonts w:asciiTheme="minorHAnsi" w:hAnsiTheme="minorHAnsi" w:cstheme="minorHAnsi"/>
          <w:szCs w:val="24"/>
        </w:rPr>
        <w:t xml:space="preserve"> and complies with</w:t>
      </w:r>
      <w:r w:rsidR="008A09D3" w:rsidRPr="00AC3281">
        <w:rPr>
          <w:rFonts w:asciiTheme="minorHAnsi" w:hAnsiTheme="minorHAnsi" w:cstheme="minorHAnsi"/>
          <w:szCs w:val="24"/>
        </w:rPr>
        <w:t>,</w:t>
      </w:r>
      <w:r w:rsidRPr="00AC3281">
        <w:rPr>
          <w:rFonts w:asciiTheme="minorHAnsi" w:hAnsiTheme="minorHAnsi" w:cstheme="minorHAnsi"/>
          <w:szCs w:val="24"/>
        </w:rPr>
        <w:t xml:space="preserve"> policies and procedures </w:t>
      </w:r>
      <w:r w:rsidR="00C41F2D" w:rsidRPr="00AC3281">
        <w:rPr>
          <w:rFonts w:asciiTheme="minorHAnsi" w:hAnsiTheme="minorHAnsi" w:cstheme="minorHAnsi"/>
          <w:szCs w:val="24"/>
        </w:rPr>
        <w:t xml:space="preserve">relating </w:t>
      </w:r>
      <w:r w:rsidRPr="00AC3281">
        <w:rPr>
          <w:rFonts w:asciiTheme="minorHAnsi" w:hAnsiTheme="minorHAnsi" w:cstheme="minorHAnsi"/>
          <w:szCs w:val="24"/>
        </w:rPr>
        <w:t>to record keeping, risk management, fraud prevention and financial controls</w:t>
      </w:r>
      <w:r w:rsidR="000E60D6">
        <w:rPr>
          <w:rFonts w:asciiTheme="minorHAnsi" w:hAnsiTheme="minorHAnsi" w:cstheme="minorHAnsi"/>
          <w:szCs w:val="24"/>
        </w:rPr>
        <w:t>.</w:t>
      </w:r>
    </w:p>
    <w:p w14:paraId="71F5C591" w14:textId="77777777" w:rsidR="009C796F" w:rsidRDefault="009C796F" w:rsidP="009C796F">
      <w:pPr>
        <w:pStyle w:val="ListParagraph"/>
        <w:spacing w:before="360" w:after="120"/>
        <w:rPr>
          <w:rFonts w:asciiTheme="minorHAnsi" w:hAnsiTheme="minorHAnsi" w:cstheme="minorHAnsi"/>
          <w:iCs/>
          <w:szCs w:val="24"/>
        </w:rPr>
      </w:pPr>
    </w:p>
    <w:p w14:paraId="6F43DD04" w14:textId="4D8AF906" w:rsidR="009C796F" w:rsidRDefault="009C796F" w:rsidP="676CCB40">
      <w:pPr>
        <w:pStyle w:val="ListParagraph"/>
        <w:numPr>
          <w:ilvl w:val="0"/>
          <w:numId w:val="2"/>
        </w:numPr>
        <w:spacing w:before="360" w:after="120"/>
        <w:rPr>
          <w:rFonts w:asciiTheme="minorHAnsi" w:hAnsiTheme="minorHAnsi"/>
        </w:rPr>
      </w:pPr>
      <w:r w:rsidRPr="676CCB40">
        <w:rPr>
          <w:rFonts w:asciiTheme="minorHAnsi" w:hAnsiTheme="minorHAnsi"/>
        </w:rPr>
        <w:t xml:space="preserve">New </w:t>
      </w:r>
      <w:r w:rsidR="7437E36C" w:rsidRPr="676CCB40">
        <w:rPr>
          <w:rFonts w:asciiTheme="minorHAnsi" w:hAnsiTheme="minorHAnsi"/>
        </w:rPr>
        <w:t xml:space="preserve">paragraph </w:t>
      </w:r>
      <w:r w:rsidRPr="676CCB40">
        <w:rPr>
          <w:rFonts w:asciiTheme="minorHAnsi" w:hAnsiTheme="minorHAnsi"/>
        </w:rPr>
        <w:t>20</w:t>
      </w:r>
      <w:r w:rsidR="55AF0040" w:rsidRPr="676CCB40">
        <w:rPr>
          <w:rFonts w:asciiTheme="minorHAnsi" w:hAnsiTheme="minorHAnsi"/>
        </w:rPr>
        <w:t>(b)</w:t>
      </w:r>
      <w:r w:rsidRPr="676CCB40">
        <w:rPr>
          <w:rFonts w:asciiTheme="minorHAnsi" w:hAnsiTheme="minorHAnsi"/>
        </w:rPr>
        <w:t xml:space="preserve"> also provides </w:t>
      </w:r>
      <w:r w:rsidR="7B9FCB85" w:rsidRPr="676CCB40">
        <w:rPr>
          <w:rFonts w:asciiTheme="minorHAnsi" w:hAnsiTheme="minorHAnsi"/>
        </w:rPr>
        <w:t xml:space="preserve">that, </w:t>
      </w:r>
      <w:proofErr w:type="gramStart"/>
      <w:r w:rsidR="7B9FCB85" w:rsidRPr="676CCB40">
        <w:rPr>
          <w:rFonts w:asciiTheme="minorHAnsi" w:hAnsiTheme="minorHAnsi"/>
        </w:rPr>
        <w:t>in order for</w:t>
      </w:r>
      <w:proofErr w:type="gramEnd"/>
      <w:r w:rsidR="7B9FCB85" w:rsidRPr="676CCB40">
        <w:rPr>
          <w:rFonts w:asciiTheme="minorHAnsi" w:hAnsiTheme="minorHAnsi"/>
        </w:rPr>
        <w:t xml:space="preserve"> an organisation to be a student led organisation, it</w:t>
      </w:r>
      <w:r w:rsidRPr="676CCB40">
        <w:rPr>
          <w:rFonts w:asciiTheme="minorHAnsi" w:hAnsiTheme="minorHAnsi"/>
        </w:rPr>
        <w:t xml:space="preserve"> </w:t>
      </w:r>
      <w:r w:rsidR="00797D7B" w:rsidRPr="676CCB40">
        <w:rPr>
          <w:rFonts w:asciiTheme="minorHAnsi" w:hAnsiTheme="minorHAnsi"/>
        </w:rPr>
        <w:t>will provide the</w:t>
      </w:r>
      <w:r w:rsidR="00DF6391" w:rsidRPr="676CCB40">
        <w:rPr>
          <w:rFonts w:asciiTheme="minorHAnsi" w:hAnsiTheme="minorHAnsi"/>
        </w:rPr>
        <w:t xml:space="preserve"> </w:t>
      </w:r>
      <w:r w:rsidR="00797D7B" w:rsidRPr="676CCB40">
        <w:rPr>
          <w:rFonts w:asciiTheme="minorHAnsi" w:hAnsiTheme="minorHAnsi"/>
        </w:rPr>
        <w:t xml:space="preserve">student services </w:t>
      </w:r>
      <w:r w:rsidR="00994459" w:rsidRPr="676CCB40">
        <w:rPr>
          <w:rFonts w:asciiTheme="minorHAnsi" w:hAnsiTheme="minorHAnsi"/>
        </w:rPr>
        <w:t xml:space="preserve">prescribed in </w:t>
      </w:r>
      <w:r w:rsidR="5EA3FE9D" w:rsidRPr="676CCB40">
        <w:rPr>
          <w:rFonts w:asciiTheme="minorHAnsi" w:hAnsiTheme="minorHAnsi"/>
        </w:rPr>
        <w:t xml:space="preserve">subsection 19-38(4) of </w:t>
      </w:r>
      <w:r w:rsidR="00994459" w:rsidRPr="676CCB40">
        <w:rPr>
          <w:rFonts w:asciiTheme="minorHAnsi" w:hAnsiTheme="minorHAnsi"/>
        </w:rPr>
        <w:t xml:space="preserve">HESA (e.g., providing food or drink to students on a campus) </w:t>
      </w:r>
      <w:r w:rsidR="00797D7B" w:rsidRPr="676CCB40">
        <w:rPr>
          <w:rFonts w:asciiTheme="minorHAnsi" w:hAnsiTheme="minorHAnsi"/>
        </w:rPr>
        <w:t xml:space="preserve">using the SSAF revenue </w:t>
      </w:r>
      <w:r w:rsidR="00A57C54" w:rsidRPr="676CCB40">
        <w:rPr>
          <w:rFonts w:asciiTheme="minorHAnsi" w:hAnsiTheme="minorHAnsi"/>
        </w:rPr>
        <w:t>allocated in a calendar year.</w:t>
      </w:r>
    </w:p>
    <w:p w14:paraId="283FBEB2" w14:textId="77777777" w:rsidR="00D96CA5" w:rsidRDefault="00D96CA5" w:rsidP="00D96CA5">
      <w:pPr>
        <w:pStyle w:val="ListParagraph"/>
        <w:spacing w:before="360" w:after="120"/>
        <w:rPr>
          <w:rFonts w:asciiTheme="minorHAnsi" w:hAnsiTheme="minorHAnsi" w:cstheme="minorHAnsi"/>
          <w:iCs/>
          <w:szCs w:val="24"/>
        </w:rPr>
      </w:pPr>
    </w:p>
    <w:p w14:paraId="0FE07EAA" w14:textId="77777777" w:rsidR="00507DE5" w:rsidRDefault="00871FD5" w:rsidP="00B066D8">
      <w:pPr>
        <w:pStyle w:val="ListParagraph"/>
        <w:numPr>
          <w:ilvl w:val="0"/>
          <w:numId w:val="2"/>
        </w:numPr>
        <w:spacing w:before="360" w:after="120"/>
        <w:rPr>
          <w:rFonts w:asciiTheme="minorHAnsi" w:hAnsiTheme="minorHAnsi" w:cstheme="minorHAnsi"/>
          <w:iCs/>
          <w:szCs w:val="24"/>
        </w:rPr>
      </w:pPr>
      <w:r w:rsidRPr="00573D45">
        <w:rPr>
          <w:rFonts w:asciiTheme="minorHAnsi" w:hAnsiTheme="minorHAnsi" w:cstheme="minorHAnsi"/>
          <w:iCs/>
          <w:szCs w:val="24"/>
        </w:rPr>
        <w:t>As the responsible party under HESA, the provider is required to have appropriate oversight of the arrangements within student-led organisations and SSAF expenditure to ensure compliance with HESA</w:t>
      </w:r>
      <w:r w:rsidR="00961ADF">
        <w:rPr>
          <w:rFonts w:asciiTheme="minorHAnsi" w:hAnsiTheme="minorHAnsi" w:cstheme="minorHAnsi"/>
          <w:iCs/>
          <w:szCs w:val="24"/>
        </w:rPr>
        <w:t xml:space="preserve"> and the Instrument</w:t>
      </w:r>
      <w:r w:rsidRPr="00573D45">
        <w:rPr>
          <w:rFonts w:asciiTheme="minorHAnsi" w:hAnsiTheme="minorHAnsi" w:cstheme="minorHAnsi"/>
          <w:iCs/>
          <w:szCs w:val="24"/>
        </w:rPr>
        <w:t>.</w:t>
      </w:r>
    </w:p>
    <w:p w14:paraId="318A6A51" w14:textId="77777777" w:rsidR="00380460" w:rsidRDefault="00380460" w:rsidP="00380460">
      <w:pPr>
        <w:pStyle w:val="ListParagraph"/>
        <w:spacing w:before="360" w:after="120"/>
        <w:rPr>
          <w:rFonts w:asciiTheme="minorHAnsi" w:hAnsiTheme="minorHAnsi" w:cstheme="minorHAnsi"/>
          <w:iCs/>
          <w:szCs w:val="24"/>
        </w:rPr>
      </w:pPr>
    </w:p>
    <w:p w14:paraId="664F21BB" w14:textId="657AC2A7" w:rsidR="00F83BE6" w:rsidRDefault="00F83BE6" w:rsidP="00B066D8">
      <w:pPr>
        <w:pStyle w:val="ListParagraph"/>
        <w:numPr>
          <w:ilvl w:val="0"/>
          <w:numId w:val="2"/>
        </w:numPr>
        <w:spacing w:before="360" w:after="120"/>
        <w:rPr>
          <w:rFonts w:asciiTheme="minorHAnsi" w:hAnsiTheme="minorHAnsi" w:cstheme="minorHAnsi"/>
          <w:iCs/>
          <w:szCs w:val="24"/>
        </w:rPr>
      </w:pPr>
      <w:r>
        <w:rPr>
          <w:rFonts w:asciiTheme="minorHAnsi" w:hAnsiTheme="minorHAnsi" w:cstheme="minorHAnsi"/>
          <w:iCs/>
          <w:szCs w:val="24"/>
        </w:rPr>
        <w:t xml:space="preserve">This item also </w:t>
      </w:r>
      <w:r w:rsidR="000A16A9">
        <w:rPr>
          <w:rFonts w:asciiTheme="minorHAnsi" w:hAnsiTheme="minorHAnsi" w:cstheme="minorHAnsi"/>
          <w:iCs/>
          <w:szCs w:val="24"/>
        </w:rPr>
        <w:t xml:space="preserve">inserts new section 21 titled </w:t>
      </w:r>
      <w:r w:rsidR="00380460">
        <w:rPr>
          <w:rFonts w:asciiTheme="minorHAnsi" w:hAnsiTheme="minorHAnsi" w:cstheme="minorHAnsi"/>
          <w:iCs/>
          <w:szCs w:val="24"/>
        </w:rPr>
        <w:t>‘</w:t>
      </w:r>
      <w:r w:rsidR="00380460" w:rsidRPr="00380460">
        <w:rPr>
          <w:rFonts w:asciiTheme="minorHAnsi" w:hAnsiTheme="minorHAnsi" w:cstheme="minorHAnsi"/>
          <w:iCs/>
          <w:szCs w:val="24"/>
        </w:rPr>
        <w:t xml:space="preserve">Period in which the higher education provider must make application in relation to transitional arrangements for student led </w:t>
      </w:r>
      <w:proofErr w:type="gramStart"/>
      <w:r w:rsidR="00380460" w:rsidRPr="00380460">
        <w:rPr>
          <w:rFonts w:asciiTheme="minorHAnsi" w:hAnsiTheme="minorHAnsi" w:cstheme="minorHAnsi"/>
          <w:iCs/>
          <w:szCs w:val="24"/>
        </w:rPr>
        <w:t>organisations</w:t>
      </w:r>
      <w:r w:rsidR="00380460">
        <w:rPr>
          <w:rFonts w:asciiTheme="minorHAnsi" w:hAnsiTheme="minorHAnsi" w:cstheme="minorHAnsi"/>
          <w:iCs/>
          <w:szCs w:val="24"/>
        </w:rPr>
        <w:t>’</w:t>
      </w:r>
      <w:proofErr w:type="gramEnd"/>
      <w:r w:rsidR="00380460">
        <w:rPr>
          <w:rFonts w:asciiTheme="minorHAnsi" w:hAnsiTheme="minorHAnsi" w:cstheme="minorHAnsi"/>
          <w:iCs/>
          <w:szCs w:val="24"/>
        </w:rPr>
        <w:t xml:space="preserve">. </w:t>
      </w:r>
    </w:p>
    <w:p w14:paraId="3CBF8E1B" w14:textId="77777777" w:rsidR="00645A72" w:rsidRPr="00645A72" w:rsidRDefault="00645A72" w:rsidP="00645A72">
      <w:pPr>
        <w:pStyle w:val="ListParagraph"/>
        <w:spacing w:before="360" w:after="120"/>
        <w:rPr>
          <w:rFonts w:asciiTheme="minorHAnsi" w:hAnsiTheme="minorHAnsi" w:cstheme="minorHAnsi"/>
          <w:iCs/>
          <w:szCs w:val="24"/>
        </w:rPr>
      </w:pPr>
    </w:p>
    <w:p w14:paraId="31FBEB18" w14:textId="5CFA82A2" w:rsidR="00F26537" w:rsidRPr="00075F1B" w:rsidRDefault="4B808310" w:rsidP="676CCB40">
      <w:pPr>
        <w:pStyle w:val="ListParagraph"/>
        <w:numPr>
          <w:ilvl w:val="0"/>
          <w:numId w:val="2"/>
        </w:numPr>
        <w:spacing w:before="360" w:after="120"/>
        <w:rPr>
          <w:rFonts w:asciiTheme="minorHAnsi" w:hAnsiTheme="minorHAnsi"/>
        </w:rPr>
      </w:pPr>
      <w:r w:rsidRPr="676CCB40">
        <w:rPr>
          <w:rFonts w:asciiTheme="minorHAnsi" w:hAnsiTheme="minorHAnsi"/>
        </w:rPr>
        <w:t>Subsect</w:t>
      </w:r>
      <w:r w:rsidR="6DD75237" w:rsidRPr="676CCB40">
        <w:rPr>
          <w:rFonts w:asciiTheme="minorHAnsi" w:hAnsiTheme="minorHAnsi"/>
        </w:rPr>
        <w:t>i</w:t>
      </w:r>
      <w:r w:rsidRPr="676CCB40">
        <w:rPr>
          <w:rFonts w:asciiTheme="minorHAnsi" w:hAnsiTheme="minorHAnsi"/>
        </w:rPr>
        <w:t>on 19-40(3) of HESA, as inserted by t</w:t>
      </w:r>
      <w:r w:rsidR="00F26537" w:rsidRPr="676CCB40">
        <w:rPr>
          <w:rFonts w:asciiTheme="minorHAnsi" w:hAnsiTheme="minorHAnsi"/>
        </w:rPr>
        <w:t xml:space="preserve">he </w:t>
      </w:r>
      <w:r w:rsidR="00AB2F7D" w:rsidRPr="676CCB40">
        <w:rPr>
          <w:rFonts w:asciiTheme="minorHAnsi" w:hAnsiTheme="minorHAnsi"/>
        </w:rPr>
        <w:t>Amendment Act</w:t>
      </w:r>
      <w:r w:rsidR="2DEDED27" w:rsidRPr="676CCB40">
        <w:rPr>
          <w:rFonts w:asciiTheme="minorHAnsi" w:hAnsiTheme="minorHAnsi"/>
        </w:rPr>
        <w:t>,</w:t>
      </w:r>
      <w:r w:rsidR="00AB2F7D" w:rsidRPr="676CCB40">
        <w:rPr>
          <w:rFonts w:asciiTheme="minorHAnsi" w:hAnsiTheme="minorHAnsi"/>
        </w:rPr>
        <w:t xml:space="preserve"> </w:t>
      </w:r>
      <w:r w:rsidR="00F26537" w:rsidRPr="676CCB40">
        <w:rPr>
          <w:rFonts w:asciiTheme="minorHAnsi" w:hAnsiTheme="minorHAnsi"/>
        </w:rPr>
        <w:t xml:space="preserve">provides that the Secretary must not agree to </w:t>
      </w:r>
      <w:r w:rsidR="5186F918" w:rsidRPr="676CCB40">
        <w:rPr>
          <w:rFonts w:asciiTheme="minorHAnsi" w:hAnsiTheme="minorHAnsi"/>
        </w:rPr>
        <w:t xml:space="preserve">a </w:t>
      </w:r>
      <w:r w:rsidR="00F26537" w:rsidRPr="676CCB40">
        <w:rPr>
          <w:rFonts w:asciiTheme="minorHAnsi" w:hAnsiTheme="minorHAnsi"/>
        </w:rPr>
        <w:t xml:space="preserve">transitional arrangement to allow for </w:t>
      </w:r>
      <w:r w:rsidR="2C2EF2D8" w:rsidRPr="676CCB40">
        <w:rPr>
          <w:rFonts w:asciiTheme="minorHAnsi" w:hAnsiTheme="minorHAnsi"/>
        </w:rPr>
        <w:t xml:space="preserve">a </w:t>
      </w:r>
      <w:r w:rsidR="00F26537" w:rsidRPr="676CCB40">
        <w:rPr>
          <w:rFonts w:asciiTheme="minorHAnsi" w:hAnsiTheme="minorHAnsi"/>
        </w:rPr>
        <w:t>higher education provider to adjust to and implement the new requirement</w:t>
      </w:r>
      <w:r w:rsidR="2E68919D" w:rsidRPr="676CCB40">
        <w:rPr>
          <w:rFonts w:asciiTheme="minorHAnsi" w:hAnsiTheme="minorHAnsi"/>
        </w:rPr>
        <w:t xml:space="preserve"> in section 19-39</w:t>
      </w:r>
      <w:r w:rsidR="00F26537" w:rsidRPr="676CCB40">
        <w:rPr>
          <w:rFonts w:asciiTheme="minorHAnsi" w:hAnsiTheme="minorHAnsi"/>
        </w:rPr>
        <w:t xml:space="preserve">, unless the relevant provider has a </w:t>
      </w:r>
      <w:r w:rsidR="3C6F06DC" w:rsidRPr="676CCB40">
        <w:rPr>
          <w:rFonts w:asciiTheme="minorHAnsi" w:hAnsiTheme="minorHAnsi"/>
        </w:rPr>
        <w:t>t</w:t>
      </w:r>
      <w:r w:rsidR="00F26537" w:rsidRPr="676CCB40">
        <w:rPr>
          <w:rFonts w:asciiTheme="minorHAnsi" w:hAnsiTheme="minorHAnsi"/>
        </w:rPr>
        <w:t xml:space="preserve">ransition </w:t>
      </w:r>
      <w:r w:rsidR="215D7D6A" w:rsidRPr="676CCB40">
        <w:rPr>
          <w:rFonts w:asciiTheme="minorHAnsi" w:hAnsiTheme="minorHAnsi"/>
        </w:rPr>
        <w:t>p</w:t>
      </w:r>
      <w:r w:rsidR="00F26537" w:rsidRPr="676CCB40">
        <w:rPr>
          <w:rFonts w:asciiTheme="minorHAnsi" w:hAnsiTheme="minorHAnsi"/>
        </w:rPr>
        <w:t>lan</w:t>
      </w:r>
      <w:r w:rsidR="6F3D0154" w:rsidRPr="676CCB40">
        <w:rPr>
          <w:rFonts w:asciiTheme="minorHAnsi" w:hAnsiTheme="minorHAnsi"/>
        </w:rPr>
        <w:t xml:space="preserve"> that will enable </w:t>
      </w:r>
      <w:r w:rsidR="6F3486D1" w:rsidRPr="676CCB40">
        <w:rPr>
          <w:rFonts w:asciiTheme="minorHAnsi" w:hAnsiTheme="minorHAnsi"/>
        </w:rPr>
        <w:t>it to comply with section 19-39 after the end of the transitional arrangement</w:t>
      </w:r>
      <w:r w:rsidR="00F26537" w:rsidRPr="676CCB40">
        <w:rPr>
          <w:rFonts w:asciiTheme="minorHAnsi" w:hAnsiTheme="minorHAnsi"/>
        </w:rPr>
        <w:t xml:space="preserve">. Transition </w:t>
      </w:r>
      <w:r w:rsidR="4E732274" w:rsidRPr="676CCB40">
        <w:rPr>
          <w:rFonts w:asciiTheme="minorHAnsi" w:hAnsiTheme="minorHAnsi"/>
        </w:rPr>
        <w:t>p</w:t>
      </w:r>
      <w:r w:rsidR="00F26537" w:rsidRPr="676CCB40">
        <w:rPr>
          <w:rFonts w:asciiTheme="minorHAnsi" w:hAnsiTheme="minorHAnsi"/>
        </w:rPr>
        <w:t xml:space="preserve">lans for a Table A provider </w:t>
      </w:r>
      <w:r w:rsidR="6C2B71FA" w:rsidRPr="676CCB40">
        <w:rPr>
          <w:rFonts w:asciiTheme="minorHAnsi" w:hAnsiTheme="minorHAnsi"/>
        </w:rPr>
        <w:t xml:space="preserve">can </w:t>
      </w:r>
      <w:r w:rsidR="00F26537" w:rsidRPr="676CCB40">
        <w:rPr>
          <w:rFonts w:asciiTheme="minorHAnsi" w:hAnsiTheme="minorHAnsi"/>
        </w:rPr>
        <w:t xml:space="preserve">be for a period of up to three consecutive years, </w:t>
      </w:r>
      <w:r w:rsidR="79559A61" w:rsidRPr="676CCB40">
        <w:rPr>
          <w:rFonts w:asciiTheme="minorHAnsi" w:hAnsiTheme="minorHAnsi"/>
        </w:rPr>
        <w:t xml:space="preserve">while those for </w:t>
      </w:r>
      <w:r w:rsidR="00F26537" w:rsidRPr="676CCB40">
        <w:rPr>
          <w:rFonts w:asciiTheme="minorHAnsi" w:hAnsiTheme="minorHAnsi"/>
        </w:rPr>
        <w:t xml:space="preserve">other higher education providers </w:t>
      </w:r>
      <w:r w:rsidR="130859FD" w:rsidRPr="676CCB40">
        <w:rPr>
          <w:rFonts w:asciiTheme="minorHAnsi" w:hAnsiTheme="minorHAnsi"/>
        </w:rPr>
        <w:t xml:space="preserve">can be </w:t>
      </w:r>
      <w:r w:rsidR="00F26537" w:rsidRPr="676CCB40">
        <w:rPr>
          <w:rFonts w:asciiTheme="minorHAnsi" w:hAnsiTheme="minorHAnsi"/>
        </w:rPr>
        <w:t>up to five consecutive years.</w:t>
      </w:r>
    </w:p>
    <w:p w14:paraId="4BD72652" w14:textId="77777777" w:rsidR="00075F1B" w:rsidRPr="00075F1B" w:rsidRDefault="00075F1B" w:rsidP="00075F1B">
      <w:pPr>
        <w:pStyle w:val="ListParagraph"/>
        <w:rPr>
          <w:rFonts w:asciiTheme="minorHAnsi" w:hAnsiTheme="minorHAnsi" w:cstheme="minorHAnsi"/>
          <w:iCs/>
          <w:szCs w:val="24"/>
        </w:rPr>
      </w:pPr>
    </w:p>
    <w:p w14:paraId="5E8C25AC" w14:textId="2F164B5F" w:rsidR="002E7770" w:rsidRPr="008E43CD" w:rsidRDefault="00F26537" w:rsidP="676CCB40">
      <w:pPr>
        <w:pStyle w:val="ListParagraph"/>
        <w:numPr>
          <w:ilvl w:val="0"/>
          <w:numId w:val="2"/>
        </w:numPr>
        <w:spacing w:before="360" w:after="120"/>
        <w:rPr>
          <w:rFonts w:asciiTheme="minorHAnsi" w:hAnsiTheme="minorHAnsi"/>
        </w:rPr>
      </w:pPr>
      <w:r w:rsidRPr="676CCB40">
        <w:rPr>
          <w:rFonts w:asciiTheme="minorHAnsi" w:hAnsiTheme="minorHAnsi"/>
        </w:rPr>
        <w:t xml:space="preserve">New section 21 </w:t>
      </w:r>
      <w:r w:rsidR="72246AE2" w:rsidRPr="676CCB40">
        <w:rPr>
          <w:rFonts w:asciiTheme="minorHAnsi" w:hAnsiTheme="minorHAnsi"/>
        </w:rPr>
        <w:t xml:space="preserve">of the Student Services Guidelines </w:t>
      </w:r>
      <w:r w:rsidRPr="676CCB40">
        <w:rPr>
          <w:rFonts w:asciiTheme="minorHAnsi" w:hAnsiTheme="minorHAnsi"/>
        </w:rPr>
        <w:t xml:space="preserve">provides that a higher education provider must make an application in relation to transitional arrangements for student led organisations </w:t>
      </w:r>
      <w:r w:rsidR="003D1DB0" w:rsidRPr="676CCB40">
        <w:rPr>
          <w:rFonts w:asciiTheme="minorHAnsi" w:hAnsiTheme="minorHAnsi"/>
        </w:rPr>
        <w:t xml:space="preserve">for 2026 and beyond </w:t>
      </w:r>
      <w:r w:rsidR="56533F9D" w:rsidRPr="676CCB40">
        <w:rPr>
          <w:rFonts w:asciiTheme="minorHAnsi" w:hAnsiTheme="minorHAnsi"/>
        </w:rPr>
        <w:t xml:space="preserve">in the first </w:t>
      </w:r>
      <w:r w:rsidR="70CA84E5" w:rsidRPr="676CCB40">
        <w:rPr>
          <w:rFonts w:asciiTheme="minorHAnsi" w:hAnsiTheme="minorHAnsi"/>
        </w:rPr>
        <w:t>six</w:t>
      </w:r>
      <w:r w:rsidR="56533F9D" w:rsidRPr="676CCB40">
        <w:rPr>
          <w:rFonts w:asciiTheme="minorHAnsi" w:hAnsiTheme="minorHAnsi"/>
        </w:rPr>
        <w:t xml:space="preserve"> months of the calendar year that precedes the calendar year that the provider wants the transitional arrangements to start</w:t>
      </w:r>
      <w:r w:rsidRPr="676CCB40">
        <w:rPr>
          <w:rFonts w:asciiTheme="minorHAnsi" w:hAnsiTheme="minorHAnsi"/>
        </w:rPr>
        <w:t>.</w:t>
      </w:r>
    </w:p>
    <w:p w14:paraId="7217084F" w14:textId="77777777" w:rsidR="008E43CD" w:rsidRPr="008E43CD" w:rsidRDefault="008E43CD" w:rsidP="008E43CD">
      <w:pPr>
        <w:pStyle w:val="ListParagraph"/>
        <w:rPr>
          <w:rFonts w:asciiTheme="minorHAnsi" w:hAnsiTheme="minorHAnsi" w:cstheme="minorHAnsi"/>
          <w:iCs/>
          <w:szCs w:val="24"/>
        </w:rPr>
      </w:pPr>
    </w:p>
    <w:p w14:paraId="2A35EECD" w14:textId="04338FEB" w:rsidR="008E43CD" w:rsidRPr="001A2F33" w:rsidRDefault="00EF6C11" w:rsidP="001A2F33">
      <w:pPr>
        <w:pStyle w:val="ListParagraph"/>
        <w:numPr>
          <w:ilvl w:val="0"/>
          <w:numId w:val="2"/>
        </w:numPr>
        <w:spacing w:before="360" w:after="120"/>
        <w:rPr>
          <w:rFonts w:asciiTheme="minorHAnsi" w:hAnsiTheme="minorHAnsi" w:cstheme="minorHAnsi"/>
          <w:iCs/>
          <w:szCs w:val="24"/>
        </w:rPr>
      </w:pPr>
      <w:r>
        <w:rPr>
          <w:rFonts w:asciiTheme="minorHAnsi" w:hAnsiTheme="minorHAnsi" w:cstheme="minorHAnsi"/>
          <w:iCs/>
          <w:szCs w:val="24"/>
        </w:rPr>
        <w:t>The tim</w:t>
      </w:r>
      <w:r w:rsidR="00B544E6">
        <w:rPr>
          <w:rFonts w:asciiTheme="minorHAnsi" w:hAnsiTheme="minorHAnsi" w:cstheme="minorHAnsi"/>
          <w:iCs/>
          <w:szCs w:val="24"/>
        </w:rPr>
        <w:t xml:space="preserve">ing prescribed reflects the understanding </w:t>
      </w:r>
      <w:r w:rsidR="00FD7D20">
        <w:rPr>
          <w:rFonts w:asciiTheme="minorHAnsi" w:hAnsiTheme="minorHAnsi" w:cstheme="minorHAnsi"/>
          <w:iCs/>
          <w:szCs w:val="24"/>
        </w:rPr>
        <w:t>that f</w:t>
      </w:r>
      <w:r w:rsidR="00686F68" w:rsidRPr="00686F68">
        <w:rPr>
          <w:rFonts w:asciiTheme="minorHAnsi" w:hAnsiTheme="minorHAnsi" w:cstheme="minorHAnsi"/>
          <w:iCs/>
          <w:szCs w:val="24"/>
        </w:rPr>
        <w:t xml:space="preserve">orward planning and decision making </w:t>
      </w:r>
      <w:r w:rsidR="00FD7D20">
        <w:rPr>
          <w:rFonts w:asciiTheme="minorHAnsi" w:hAnsiTheme="minorHAnsi" w:cstheme="minorHAnsi"/>
          <w:iCs/>
          <w:szCs w:val="24"/>
        </w:rPr>
        <w:t xml:space="preserve">by higher education providers </w:t>
      </w:r>
      <w:r w:rsidR="00686F68" w:rsidRPr="00686F68">
        <w:rPr>
          <w:rFonts w:asciiTheme="minorHAnsi" w:hAnsiTheme="minorHAnsi" w:cstheme="minorHAnsi"/>
          <w:iCs/>
          <w:szCs w:val="24"/>
        </w:rPr>
        <w:t xml:space="preserve">for SSAF allocations occurs up to six months </w:t>
      </w:r>
      <w:r w:rsidR="00686F68" w:rsidRPr="00686F68">
        <w:rPr>
          <w:rFonts w:asciiTheme="minorHAnsi" w:hAnsiTheme="minorHAnsi" w:cstheme="minorHAnsi"/>
          <w:iCs/>
          <w:szCs w:val="24"/>
        </w:rPr>
        <w:lastRenderedPageBreak/>
        <w:t xml:space="preserve">before the calendar year in which the SSAF funding is expensed by </w:t>
      </w:r>
      <w:r w:rsidR="000F6E81" w:rsidRPr="00686F68">
        <w:rPr>
          <w:rFonts w:asciiTheme="minorHAnsi" w:hAnsiTheme="minorHAnsi" w:cstheme="minorHAnsi"/>
          <w:iCs/>
          <w:szCs w:val="24"/>
        </w:rPr>
        <w:t>organisations and</w:t>
      </w:r>
      <w:r w:rsidR="00686F68" w:rsidRPr="00686F68">
        <w:rPr>
          <w:rFonts w:asciiTheme="minorHAnsi" w:hAnsiTheme="minorHAnsi" w:cstheme="minorHAnsi"/>
          <w:iCs/>
          <w:szCs w:val="24"/>
        </w:rPr>
        <w:t xml:space="preserve"> collected by the provider.</w:t>
      </w:r>
      <w:r w:rsidR="00C64BC0">
        <w:rPr>
          <w:rFonts w:asciiTheme="minorHAnsi" w:hAnsiTheme="minorHAnsi" w:cstheme="minorHAnsi"/>
          <w:iCs/>
          <w:szCs w:val="24"/>
        </w:rPr>
        <w:t xml:space="preserve"> </w:t>
      </w:r>
    </w:p>
    <w:sectPr w:rsidR="008E43CD" w:rsidRPr="001A2F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2BDC8" w14:textId="77777777" w:rsidR="00E67150" w:rsidRDefault="00E67150" w:rsidP="00783FAB">
      <w:pPr>
        <w:spacing w:after="0" w:line="240" w:lineRule="auto"/>
      </w:pPr>
      <w:r>
        <w:separator/>
      </w:r>
    </w:p>
  </w:endnote>
  <w:endnote w:type="continuationSeparator" w:id="0">
    <w:p w14:paraId="6E0135D0" w14:textId="77777777" w:rsidR="00E67150" w:rsidRDefault="00E67150" w:rsidP="00783FAB">
      <w:pPr>
        <w:spacing w:after="0" w:line="240" w:lineRule="auto"/>
      </w:pPr>
      <w:r>
        <w:continuationSeparator/>
      </w:r>
    </w:p>
  </w:endnote>
  <w:endnote w:type="continuationNotice" w:id="1">
    <w:p w14:paraId="53139655" w14:textId="77777777" w:rsidR="00E67150" w:rsidRDefault="00E67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BFE30" w14:textId="77777777" w:rsidR="00E67150" w:rsidRDefault="00E67150" w:rsidP="00783FAB">
      <w:pPr>
        <w:spacing w:after="0" w:line="240" w:lineRule="auto"/>
      </w:pPr>
      <w:r>
        <w:separator/>
      </w:r>
    </w:p>
  </w:footnote>
  <w:footnote w:type="continuationSeparator" w:id="0">
    <w:p w14:paraId="3F5559AC" w14:textId="77777777" w:rsidR="00E67150" w:rsidRDefault="00E67150" w:rsidP="00783FAB">
      <w:pPr>
        <w:spacing w:after="0" w:line="240" w:lineRule="auto"/>
      </w:pPr>
      <w:r>
        <w:continuationSeparator/>
      </w:r>
    </w:p>
  </w:footnote>
  <w:footnote w:type="continuationNotice" w:id="1">
    <w:p w14:paraId="55CD5784" w14:textId="77777777" w:rsidR="00E67150" w:rsidRDefault="00E671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03" w14:textId="436696B6"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60E2D"/>
    <w:multiLevelType w:val="multilevel"/>
    <w:tmpl w:val="FFDC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70DC8"/>
    <w:multiLevelType w:val="hybridMultilevel"/>
    <w:tmpl w:val="52561BB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6B0FF1"/>
    <w:multiLevelType w:val="hybridMultilevel"/>
    <w:tmpl w:val="33408286"/>
    <w:lvl w:ilvl="0" w:tplc="FFFFFFFF">
      <w:start w:val="1"/>
      <w:numFmt w:val="decimal"/>
      <w:suff w:val="space"/>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142E60"/>
    <w:multiLevelType w:val="hybridMultilevel"/>
    <w:tmpl w:val="FFFFFFFF"/>
    <w:lvl w:ilvl="0" w:tplc="3034A876">
      <w:start w:val="1"/>
      <w:numFmt w:val="decimal"/>
      <w:lvlText w:val="%1."/>
      <w:lvlJc w:val="left"/>
      <w:pPr>
        <w:ind w:left="1080" w:hanging="360"/>
      </w:pPr>
    </w:lvl>
    <w:lvl w:ilvl="1" w:tplc="2A926F06">
      <w:start w:val="1"/>
      <w:numFmt w:val="lowerLetter"/>
      <w:lvlText w:val="%2."/>
      <w:lvlJc w:val="left"/>
      <w:pPr>
        <w:ind w:left="1800" w:hanging="360"/>
      </w:pPr>
    </w:lvl>
    <w:lvl w:ilvl="2" w:tplc="DA7C4EB8">
      <w:start w:val="1"/>
      <w:numFmt w:val="lowerRoman"/>
      <w:lvlText w:val="%3."/>
      <w:lvlJc w:val="right"/>
      <w:pPr>
        <w:ind w:left="2520" w:hanging="180"/>
      </w:pPr>
    </w:lvl>
    <w:lvl w:ilvl="3" w:tplc="78B64266">
      <w:start w:val="1"/>
      <w:numFmt w:val="decimal"/>
      <w:lvlText w:val="%4."/>
      <w:lvlJc w:val="left"/>
      <w:pPr>
        <w:ind w:left="3240" w:hanging="360"/>
      </w:pPr>
    </w:lvl>
    <w:lvl w:ilvl="4" w:tplc="BD422A74">
      <w:start w:val="1"/>
      <w:numFmt w:val="lowerLetter"/>
      <w:lvlText w:val="%5."/>
      <w:lvlJc w:val="left"/>
      <w:pPr>
        <w:ind w:left="3960" w:hanging="360"/>
      </w:pPr>
    </w:lvl>
    <w:lvl w:ilvl="5" w:tplc="0360E518">
      <w:start w:val="1"/>
      <w:numFmt w:val="lowerRoman"/>
      <w:lvlText w:val="%6."/>
      <w:lvlJc w:val="right"/>
      <w:pPr>
        <w:ind w:left="4680" w:hanging="180"/>
      </w:pPr>
    </w:lvl>
    <w:lvl w:ilvl="6" w:tplc="76ECBFCE">
      <w:start w:val="1"/>
      <w:numFmt w:val="decimal"/>
      <w:lvlText w:val="%7."/>
      <w:lvlJc w:val="left"/>
      <w:pPr>
        <w:ind w:left="5400" w:hanging="360"/>
      </w:pPr>
    </w:lvl>
    <w:lvl w:ilvl="7" w:tplc="E3583DFE">
      <w:start w:val="1"/>
      <w:numFmt w:val="lowerLetter"/>
      <w:lvlText w:val="%8."/>
      <w:lvlJc w:val="left"/>
      <w:pPr>
        <w:ind w:left="6120" w:hanging="360"/>
      </w:pPr>
    </w:lvl>
    <w:lvl w:ilvl="8" w:tplc="9B66284A">
      <w:start w:val="1"/>
      <w:numFmt w:val="lowerRoman"/>
      <w:lvlText w:val="%9."/>
      <w:lvlJc w:val="right"/>
      <w:pPr>
        <w:ind w:left="6840" w:hanging="180"/>
      </w:pPr>
    </w:lvl>
  </w:abstractNum>
  <w:abstractNum w:abstractNumId="5" w15:restartNumberingAfterBreak="0">
    <w:nsid w:val="39B63A19"/>
    <w:multiLevelType w:val="hybridMultilevel"/>
    <w:tmpl w:val="3CCA9F7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51E5759F"/>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C35E36"/>
    <w:multiLevelType w:val="hybridMultilevel"/>
    <w:tmpl w:val="FFFFFFFF"/>
    <w:lvl w:ilvl="0" w:tplc="B0925EE2">
      <w:start w:val="1"/>
      <w:numFmt w:val="bullet"/>
      <w:lvlText w:val=""/>
      <w:lvlJc w:val="left"/>
      <w:pPr>
        <w:ind w:left="720" w:hanging="360"/>
      </w:pPr>
      <w:rPr>
        <w:rFonts w:ascii="Symbol" w:hAnsi="Symbol" w:hint="default"/>
      </w:rPr>
    </w:lvl>
    <w:lvl w:ilvl="1" w:tplc="840AE6FC">
      <w:start w:val="1"/>
      <w:numFmt w:val="bullet"/>
      <w:lvlText w:val="o"/>
      <w:lvlJc w:val="left"/>
      <w:pPr>
        <w:ind w:left="1440" w:hanging="360"/>
      </w:pPr>
      <w:rPr>
        <w:rFonts w:ascii="Courier New" w:hAnsi="Courier New" w:hint="default"/>
      </w:rPr>
    </w:lvl>
    <w:lvl w:ilvl="2" w:tplc="D2B04940">
      <w:start w:val="1"/>
      <w:numFmt w:val="bullet"/>
      <w:lvlText w:val=""/>
      <w:lvlJc w:val="left"/>
      <w:pPr>
        <w:ind w:left="2160" w:hanging="360"/>
      </w:pPr>
      <w:rPr>
        <w:rFonts w:ascii="Wingdings" w:hAnsi="Wingdings" w:hint="default"/>
      </w:rPr>
    </w:lvl>
    <w:lvl w:ilvl="3" w:tplc="9A2874C6">
      <w:start w:val="1"/>
      <w:numFmt w:val="bullet"/>
      <w:lvlText w:val=""/>
      <w:lvlJc w:val="left"/>
      <w:pPr>
        <w:ind w:left="2880" w:hanging="360"/>
      </w:pPr>
      <w:rPr>
        <w:rFonts w:ascii="Symbol" w:hAnsi="Symbol" w:hint="default"/>
      </w:rPr>
    </w:lvl>
    <w:lvl w:ilvl="4" w:tplc="47C81E7A">
      <w:start w:val="1"/>
      <w:numFmt w:val="bullet"/>
      <w:lvlText w:val="o"/>
      <w:lvlJc w:val="left"/>
      <w:pPr>
        <w:ind w:left="3600" w:hanging="360"/>
      </w:pPr>
      <w:rPr>
        <w:rFonts w:ascii="Courier New" w:hAnsi="Courier New" w:hint="default"/>
      </w:rPr>
    </w:lvl>
    <w:lvl w:ilvl="5" w:tplc="72A21626">
      <w:start w:val="1"/>
      <w:numFmt w:val="bullet"/>
      <w:lvlText w:val=""/>
      <w:lvlJc w:val="left"/>
      <w:pPr>
        <w:ind w:left="4320" w:hanging="360"/>
      </w:pPr>
      <w:rPr>
        <w:rFonts w:ascii="Wingdings" w:hAnsi="Wingdings" w:hint="default"/>
      </w:rPr>
    </w:lvl>
    <w:lvl w:ilvl="6" w:tplc="ECDC3456">
      <w:start w:val="1"/>
      <w:numFmt w:val="bullet"/>
      <w:lvlText w:val=""/>
      <w:lvlJc w:val="left"/>
      <w:pPr>
        <w:ind w:left="5040" w:hanging="360"/>
      </w:pPr>
      <w:rPr>
        <w:rFonts w:ascii="Symbol" w:hAnsi="Symbol" w:hint="default"/>
      </w:rPr>
    </w:lvl>
    <w:lvl w:ilvl="7" w:tplc="31889FB4">
      <w:start w:val="1"/>
      <w:numFmt w:val="bullet"/>
      <w:lvlText w:val="o"/>
      <w:lvlJc w:val="left"/>
      <w:pPr>
        <w:ind w:left="5760" w:hanging="360"/>
      </w:pPr>
      <w:rPr>
        <w:rFonts w:ascii="Courier New" w:hAnsi="Courier New" w:hint="default"/>
      </w:rPr>
    </w:lvl>
    <w:lvl w:ilvl="8" w:tplc="495E179A">
      <w:start w:val="1"/>
      <w:numFmt w:val="bullet"/>
      <w:lvlText w:val=""/>
      <w:lvlJc w:val="left"/>
      <w:pPr>
        <w:ind w:left="6480" w:hanging="360"/>
      </w:pPr>
      <w:rPr>
        <w:rFonts w:ascii="Wingdings" w:hAnsi="Wingdings" w:hint="default"/>
      </w:rPr>
    </w:lvl>
  </w:abstractNum>
  <w:abstractNum w:abstractNumId="8" w15:restartNumberingAfterBreak="0">
    <w:nsid w:val="72E33692"/>
    <w:multiLevelType w:val="multilevel"/>
    <w:tmpl w:val="7992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6522605">
    <w:abstractNumId w:val="4"/>
  </w:num>
  <w:num w:numId="2" w16cid:durableId="74012128">
    <w:abstractNumId w:val="1"/>
  </w:num>
  <w:num w:numId="3" w16cid:durableId="433137951">
    <w:abstractNumId w:val="2"/>
  </w:num>
  <w:num w:numId="4" w16cid:durableId="694618370">
    <w:abstractNumId w:val="6"/>
  </w:num>
  <w:num w:numId="5" w16cid:durableId="587078134">
    <w:abstractNumId w:val="5"/>
  </w:num>
  <w:num w:numId="6" w16cid:durableId="393545578">
    <w:abstractNumId w:val="0"/>
  </w:num>
  <w:num w:numId="7" w16cid:durableId="186984675">
    <w:abstractNumId w:val="8"/>
  </w:num>
  <w:num w:numId="8" w16cid:durableId="1407529143">
    <w:abstractNumId w:val="3"/>
  </w:num>
  <w:num w:numId="9" w16cid:durableId="123254710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6DE"/>
    <w:rsid w:val="00003184"/>
    <w:rsid w:val="000036EB"/>
    <w:rsid w:val="0000395C"/>
    <w:rsid w:val="00010B6E"/>
    <w:rsid w:val="00011E4D"/>
    <w:rsid w:val="00012435"/>
    <w:rsid w:val="00012DA4"/>
    <w:rsid w:val="00013472"/>
    <w:rsid w:val="000138CF"/>
    <w:rsid w:val="00013CBE"/>
    <w:rsid w:val="000140D5"/>
    <w:rsid w:val="000146FA"/>
    <w:rsid w:val="00014F6D"/>
    <w:rsid w:val="0001554B"/>
    <w:rsid w:val="00016AFF"/>
    <w:rsid w:val="00016E5D"/>
    <w:rsid w:val="00017F54"/>
    <w:rsid w:val="00023EE0"/>
    <w:rsid w:val="000305EA"/>
    <w:rsid w:val="00031E3C"/>
    <w:rsid w:val="00032CB3"/>
    <w:rsid w:val="000346B4"/>
    <w:rsid w:val="00036FAE"/>
    <w:rsid w:val="000401B5"/>
    <w:rsid w:val="00041039"/>
    <w:rsid w:val="00041CA8"/>
    <w:rsid w:val="0004237A"/>
    <w:rsid w:val="00044508"/>
    <w:rsid w:val="00045167"/>
    <w:rsid w:val="00047668"/>
    <w:rsid w:val="00047A2A"/>
    <w:rsid w:val="0005020B"/>
    <w:rsid w:val="00051672"/>
    <w:rsid w:val="00052919"/>
    <w:rsid w:val="00053651"/>
    <w:rsid w:val="00057815"/>
    <w:rsid w:val="00057A1E"/>
    <w:rsid w:val="000614A1"/>
    <w:rsid w:val="00062794"/>
    <w:rsid w:val="00062B6B"/>
    <w:rsid w:val="0006409A"/>
    <w:rsid w:val="0006484E"/>
    <w:rsid w:val="000668B0"/>
    <w:rsid w:val="000707FB"/>
    <w:rsid w:val="00072A4A"/>
    <w:rsid w:val="00075F1B"/>
    <w:rsid w:val="00076E76"/>
    <w:rsid w:val="00083F41"/>
    <w:rsid w:val="000846B7"/>
    <w:rsid w:val="0008640B"/>
    <w:rsid w:val="00091D35"/>
    <w:rsid w:val="00093F0A"/>
    <w:rsid w:val="000A16A9"/>
    <w:rsid w:val="000A2A28"/>
    <w:rsid w:val="000A2D3A"/>
    <w:rsid w:val="000A3124"/>
    <w:rsid w:val="000A35D6"/>
    <w:rsid w:val="000A6E81"/>
    <w:rsid w:val="000A78C4"/>
    <w:rsid w:val="000B1BE1"/>
    <w:rsid w:val="000B2119"/>
    <w:rsid w:val="000B2794"/>
    <w:rsid w:val="000B3914"/>
    <w:rsid w:val="000B6430"/>
    <w:rsid w:val="000C008E"/>
    <w:rsid w:val="000C0E67"/>
    <w:rsid w:val="000C224C"/>
    <w:rsid w:val="000C310A"/>
    <w:rsid w:val="000C34FD"/>
    <w:rsid w:val="000C4D6B"/>
    <w:rsid w:val="000C5B1F"/>
    <w:rsid w:val="000D1472"/>
    <w:rsid w:val="000D5E6D"/>
    <w:rsid w:val="000D6E6F"/>
    <w:rsid w:val="000E3516"/>
    <w:rsid w:val="000E4B42"/>
    <w:rsid w:val="000E57DB"/>
    <w:rsid w:val="000E60D6"/>
    <w:rsid w:val="000E6FD6"/>
    <w:rsid w:val="000F1811"/>
    <w:rsid w:val="000F2C09"/>
    <w:rsid w:val="000F67E1"/>
    <w:rsid w:val="000F6E81"/>
    <w:rsid w:val="000F7A8C"/>
    <w:rsid w:val="000F7D0A"/>
    <w:rsid w:val="001011D2"/>
    <w:rsid w:val="00103015"/>
    <w:rsid w:val="00103253"/>
    <w:rsid w:val="001042BA"/>
    <w:rsid w:val="00106BAC"/>
    <w:rsid w:val="00117C3F"/>
    <w:rsid w:val="00117C67"/>
    <w:rsid w:val="00120A34"/>
    <w:rsid w:val="0012143E"/>
    <w:rsid w:val="00124260"/>
    <w:rsid w:val="00125A8E"/>
    <w:rsid w:val="0012637B"/>
    <w:rsid w:val="00127CD8"/>
    <w:rsid w:val="001301AD"/>
    <w:rsid w:val="00132E8E"/>
    <w:rsid w:val="001334D9"/>
    <w:rsid w:val="00134732"/>
    <w:rsid w:val="0013668F"/>
    <w:rsid w:val="001377D9"/>
    <w:rsid w:val="00137ACD"/>
    <w:rsid w:val="00140DAD"/>
    <w:rsid w:val="00140E3D"/>
    <w:rsid w:val="001421FE"/>
    <w:rsid w:val="001437EA"/>
    <w:rsid w:val="00144950"/>
    <w:rsid w:val="00145B2C"/>
    <w:rsid w:val="00145BE1"/>
    <w:rsid w:val="001460ED"/>
    <w:rsid w:val="00150B50"/>
    <w:rsid w:val="00151484"/>
    <w:rsid w:val="0015188C"/>
    <w:rsid w:val="0015211C"/>
    <w:rsid w:val="0015276C"/>
    <w:rsid w:val="00152947"/>
    <w:rsid w:val="00153D76"/>
    <w:rsid w:val="0015508C"/>
    <w:rsid w:val="001557E6"/>
    <w:rsid w:val="00160153"/>
    <w:rsid w:val="00161A1F"/>
    <w:rsid w:val="00162E92"/>
    <w:rsid w:val="0017006A"/>
    <w:rsid w:val="00171F80"/>
    <w:rsid w:val="00173A64"/>
    <w:rsid w:val="00173E0C"/>
    <w:rsid w:val="00183035"/>
    <w:rsid w:val="00185491"/>
    <w:rsid w:val="001906AF"/>
    <w:rsid w:val="00190B49"/>
    <w:rsid w:val="0019212D"/>
    <w:rsid w:val="00195030"/>
    <w:rsid w:val="00197C3F"/>
    <w:rsid w:val="001A12E8"/>
    <w:rsid w:val="001A1F02"/>
    <w:rsid w:val="001A2182"/>
    <w:rsid w:val="001A223C"/>
    <w:rsid w:val="001A2F33"/>
    <w:rsid w:val="001A2FE9"/>
    <w:rsid w:val="001A4389"/>
    <w:rsid w:val="001A53B2"/>
    <w:rsid w:val="001B2242"/>
    <w:rsid w:val="001B3C7A"/>
    <w:rsid w:val="001C10CF"/>
    <w:rsid w:val="001C2D8F"/>
    <w:rsid w:val="001C61DE"/>
    <w:rsid w:val="001D00E3"/>
    <w:rsid w:val="001D09DD"/>
    <w:rsid w:val="001D0AF3"/>
    <w:rsid w:val="001D145F"/>
    <w:rsid w:val="001D15DE"/>
    <w:rsid w:val="001D1AFE"/>
    <w:rsid w:val="001D1D8A"/>
    <w:rsid w:val="001D21E7"/>
    <w:rsid w:val="001D36EE"/>
    <w:rsid w:val="001D37A7"/>
    <w:rsid w:val="001D4944"/>
    <w:rsid w:val="001D4F21"/>
    <w:rsid w:val="001E07CE"/>
    <w:rsid w:val="001E3877"/>
    <w:rsid w:val="001E5180"/>
    <w:rsid w:val="001E51EC"/>
    <w:rsid w:val="001E52EB"/>
    <w:rsid w:val="001E5A0B"/>
    <w:rsid w:val="001E7BEE"/>
    <w:rsid w:val="001F127D"/>
    <w:rsid w:val="001F12AD"/>
    <w:rsid w:val="001F2864"/>
    <w:rsid w:val="001F3626"/>
    <w:rsid w:val="001F4614"/>
    <w:rsid w:val="001F46CB"/>
    <w:rsid w:val="001F6B2C"/>
    <w:rsid w:val="001F7336"/>
    <w:rsid w:val="001F760C"/>
    <w:rsid w:val="00200358"/>
    <w:rsid w:val="002005CD"/>
    <w:rsid w:val="00201F75"/>
    <w:rsid w:val="002027ED"/>
    <w:rsid w:val="00202C7D"/>
    <w:rsid w:val="00202EC1"/>
    <w:rsid w:val="00204145"/>
    <w:rsid w:val="00204283"/>
    <w:rsid w:val="00204EEF"/>
    <w:rsid w:val="00205DBD"/>
    <w:rsid w:val="00207297"/>
    <w:rsid w:val="002076E3"/>
    <w:rsid w:val="0021337D"/>
    <w:rsid w:val="00215CA3"/>
    <w:rsid w:val="00215E21"/>
    <w:rsid w:val="00216A1C"/>
    <w:rsid w:val="00216F43"/>
    <w:rsid w:val="002171E5"/>
    <w:rsid w:val="002227DB"/>
    <w:rsid w:val="00223F82"/>
    <w:rsid w:val="00224C52"/>
    <w:rsid w:val="002250E6"/>
    <w:rsid w:val="00226CAD"/>
    <w:rsid w:val="00232304"/>
    <w:rsid w:val="002378EE"/>
    <w:rsid w:val="00241C83"/>
    <w:rsid w:val="002423AA"/>
    <w:rsid w:val="002445E3"/>
    <w:rsid w:val="00244843"/>
    <w:rsid w:val="002467B9"/>
    <w:rsid w:val="002468FD"/>
    <w:rsid w:val="00247EBF"/>
    <w:rsid w:val="00250D42"/>
    <w:rsid w:val="002569CD"/>
    <w:rsid w:val="00257FE3"/>
    <w:rsid w:val="00261499"/>
    <w:rsid w:val="002630C0"/>
    <w:rsid w:val="002672A4"/>
    <w:rsid w:val="002701D9"/>
    <w:rsid w:val="002747E8"/>
    <w:rsid w:val="002749A1"/>
    <w:rsid w:val="00274EEA"/>
    <w:rsid w:val="002759C4"/>
    <w:rsid w:val="0027686D"/>
    <w:rsid w:val="00276FDE"/>
    <w:rsid w:val="002808A9"/>
    <w:rsid w:val="00281737"/>
    <w:rsid w:val="002819EB"/>
    <w:rsid w:val="002847C3"/>
    <w:rsid w:val="00284C9D"/>
    <w:rsid w:val="002853F2"/>
    <w:rsid w:val="00292863"/>
    <w:rsid w:val="00293FC9"/>
    <w:rsid w:val="0029404D"/>
    <w:rsid w:val="00294430"/>
    <w:rsid w:val="00296CA7"/>
    <w:rsid w:val="00296FAF"/>
    <w:rsid w:val="00297EAB"/>
    <w:rsid w:val="002A15F1"/>
    <w:rsid w:val="002A1D57"/>
    <w:rsid w:val="002A4408"/>
    <w:rsid w:val="002A4961"/>
    <w:rsid w:val="002B0B8B"/>
    <w:rsid w:val="002B1BA1"/>
    <w:rsid w:val="002B313C"/>
    <w:rsid w:val="002B5C28"/>
    <w:rsid w:val="002C1546"/>
    <w:rsid w:val="002C1F84"/>
    <w:rsid w:val="002C40FB"/>
    <w:rsid w:val="002D1504"/>
    <w:rsid w:val="002D470F"/>
    <w:rsid w:val="002D564A"/>
    <w:rsid w:val="002E0925"/>
    <w:rsid w:val="002E12E6"/>
    <w:rsid w:val="002E6B5C"/>
    <w:rsid w:val="002E7770"/>
    <w:rsid w:val="002F6429"/>
    <w:rsid w:val="002F6604"/>
    <w:rsid w:val="002F76C6"/>
    <w:rsid w:val="00304696"/>
    <w:rsid w:val="00304A88"/>
    <w:rsid w:val="00304E64"/>
    <w:rsid w:val="00307358"/>
    <w:rsid w:val="0031070C"/>
    <w:rsid w:val="003134E3"/>
    <w:rsid w:val="00313612"/>
    <w:rsid w:val="00316053"/>
    <w:rsid w:val="003170AC"/>
    <w:rsid w:val="003238E2"/>
    <w:rsid w:val="00323B13"/>
    <w:rsid w:val="00324D99"/>
    <w:rsid w:val="00326C24"/>
    <w:rsid w:val="0033070E"/>
    <w:rsid w:val="00333C45"/>
    <w:rsid w:val="00337158"/>
    <w:rsid w:val="00337C07"/>
    <w:rsid w:val="00343C9F"/>
    <w:rsid w:val="003440C7"/>
    <w:rsid w:val="00345363"/>
    <w:rsid w:val="00345D53"/>
    <w:rsid w:val="003472EA"/>
    <w:rsid w:val="0034774B"/>
    <w:rsid w:val="00347BB1"/>
    <w:rsid w:val="00350779"/>
    <w:rsid w:val="00353D81"/>
    <w:rsid w:val="00354743"/>
    <w:rsid w:val="003574CD"/>
    <w:rsid w:val="003604EB"/>
    <w:rsid w:val="00360BE5"/>
    <w:rsid w:val="00365D2C"/>
    <w:rsid w:val="00367601"/>
    <w:rsid w:val="00367C2D"/>
    <w:rsid w:val="0037028F"/>
    <w:rsid w:val="00370795"/>
    <w:rsid w:val="003719BF"/>
    <w:rsid w:val="00375010"/>
    <w:rsid w:val="0037728A"/>
    <w:rsid w:val="00377427"/>
    <w:rsid w:val="003776F9"/>
    <w:rsid w:val="003803CD"/>
    <w:rsid w:val="00380460"/>
    <w:rsid w:val="0038206C"/>
    <w:rsid w:val="003829A9"/>
    <w:rsid w:val="00382B7B"/>
    <w:rsid w:val="003865D3"/>
    <w:rsid w:val="00386B68"/>
    <w:rsid w:val="00386E17"/>
    <w:rsid w:val="0038758C"/>
    <w:rsid w:val="003913F1"/>
    <w:rsid w:val="00393A61"/>
    <w:rsid w:val="00393F61"/>
    <w:rsid w:val="00394454"/>
    <w:rsid w:val="00395655"/>
    <w:rsid w:val="003978E2"/>
    <w:rsid w:val="003A0965"/>
    <w:rsid w:val="003A30EC"/>
    <w:rsid w:val="003A373E"/>
    <w:rsid w:val="003A3D0E"/>
    <w:rsid w:val="003A3F40"/>
    <w:rsid w:val="003A4424"/>
    <w:rsid w:val="003A530C"/>
    <w:rsid w:val="003A5841"/>
    <w:rsid w:val="003A66AB"/>
    <w:rsid w:val="003A7B17"/>
    <w:rsid w:val="003B29B0"/>
    <w:rsid w:val="003B2DA8"/>
    <w:rsid w:val="003B3044"/>
    <w:rsid w:val="003B6C2D"/>
    <w:rsid w:val="003C0D20"/>
    <w:rsid w:val="003C16A9"/>
    <w:rsid w:val="003C202D"/>
    <w:rsid w:val="003C276D"/>
    <w:rsid w:val="003C5E19"/>
    <w:rsid w:val="003D1DB0"/>
    <w:rsid w:val="003D47C4"/>
    <w:rsid w:val="003D6CCC"/>
    <w:rsid w:val="003D6E08"/>
    <w:rsid w:val="003D7CE2"/>
    <w:rsid w:val="003E4413"/>
    <w:rsid w:val="003E5B26"/>
    <w:rsid w:val="003F09F7"/>
    <w:rsid w:val="003F0E47"/>
    <w:rsid w:val="003F162E"/>
    <w:rsid w:val="003F1AA1"/>
    <w:rsid w:val="003F24BC"/>
    <w:rsid w:val="003F64EB"/>
    <w:rsid w:val="00402CC7"/>
    <w:rsid w:val="00402D70"/>
    <w:rsid w:val="00403CE4"/>
    <w:rsid w:val="004075A3"/>
    <w:rsid w:val="00410A3F"/>
    <w:rsid w:val="0041144F"/>
    <w:rsid w:val="004143B1"/>
    <w:rsid w:val="00415A55"/>
    <w:rsid w:val="004212EF"/>
    <w:rsid w:val="004228EE"/>
    <w:rsid w:val="00422D4A"/>
    <w:rsid w:val="00425A1E"/>
    <w:rsid w:val="00425FCB"/>
    <w:rsid w:val="0042668A"/>
    <w:rsid w:val="00430F1B"/>
    <w:rsid w:val="004327E1"/>
    <w:rsid w:val="00434240"/>
    <w:rsid w:val="004342A5"/>
    <w:rsid w:val="00434641"/>
    <w:rsid w:val="00434CDD"/>
    <w:rsid w:val="004355D0"/>
    <w:rsid w:val="004355E8"/>
    <w:rsid w:val="00436207"/>
    <w:rsid w:val="00436435"/>
    <w:rsid w:val="00445460"/>
    <w:rsid w:val="00445C86"/>
    <w:rsid w:val="00446B03"/>
    <w:rsid w:val="0044797F"/>
    <w:rsid w:val="0045280C"/>
    <w:rsid w:val="00453389"/>
    <w:rsid w:val="00455C2A"/>
    <w:rsid w:val="00464120"/>
    <w:rsid w:val="004643D9"/>
    <w:rsid w:val="004673C9"/>
    <w:rsid w:val="004678F5"/>
    <w:rsid w:val="00472F61"/>
    <w:rsid w:val="00481DE1"/>
    <w:rsid w:val="00484DBC"/>
    <w:rsid w:val="0049051A"/>
    <w:rsid w:val="00490BA0"/>
    <w:rsid w:val="00494834"/>
    <w:rsid w:val="0049486C"/>
    <w:rsid w:val="00494B2A"/>
    <w:rsid w:val="00497547"/>
    <w:rsid w:val="004A2F70"/>
    <w:rsid w:val="004A330D"/>
    <w:rsid w:val="004A3F38"/>
    <w:rsid w:val="004A409F"/>
    <w:rsid w:val="004A48D9"/>
    <w:rsid w:val="004A6B2D"/>
    <w:rsid w:val="004B2BB2"/>
    <w:rsid w:val="004B2C3F"/>
    <w:rsid w:val="004B3D95"/>
    <w:rsid w:val="004B6E91"/>
    <w:rsid w:val="004D28A5"/>
    <w:rsid w:val="004D5695"/>
    <w:rsid w:val="004D665B"/>
    <w:rsid w:val="004D7B86"/>
    <w:rsid w:val="004E1574"/>
    <w:rsid w:val="004E5A68"/>
    <w:rsid w:val="004F1F8C"/>
    <w:rsid w:val="004F53E6"/>
    <w:rsid w:val="004F54FF"/>
    <w:rsid w:val="00500C05"/>
    <w:rsid w:val="00503218"/>
    <w:rsid w:val="00504D69"/>
    <w:rsid w:val="00505873"/>
    <w:rsid w:val="005061F9"/>
    <w:rsid w:val="00506241"/>
    <w:rsid w:val="00506F28"/>
    <w:rsid w:val="00507DE5"/>
    <w:rsid w:val="00510734"/>
    <w:rsid w:val="005142B8"/>
    <w:rsid w:val="005146EC"/>
    <w:rsid w:val="00515BBE"/>
    <w:rsid w:val="005169CB"/>
    <w:rsid w:val="00517337"/>
    <w:rsid w:val="005173FC"/>
    <w:rsid w:val="005178F3"/>
    <w:rsid w:val="005202F7"/>
    <w:rsid w:val="00520841"/>
    <w:rsid w:val="00524226"/>
    <w:rsid w:val="00526057"/>
    <w:rsid w:val="00527330"/>
    <w:rsid w:val="00533CFA"/>
    <w:rsid w:val="0053439A"/>
    <w:rsid w:val="00535385"/>
    <w:rsid w:val="00536596"/>
    <w:rsid w:val="005366FF"/>
    <w:rsid w:val="00537A32"/>
    <w:rsid w:val="0054602B"/>
    <w:rsid w:val="00546375"/>
    <w:rsid w:val="005473DC"/>
    <w:rsid w:val="005536DA"/>
    <w:rsid w:val="00553982"/>
    <w:rsid w:val="00554881"/>
    <w:rsid w:val="005620CA"/>
    <w:rsid w:val="0056450D"/>
    <w:rsid w:val="005713BC"/>
    <w:rsid w:val="00571CE3"/>
    <w:rsid w:val="00572401"/>
    <w:rsid w:val="005732E6"/>
    <w:rsid w:val="005736D2"/>
    <w:rsid w:val="00573D45"/>
    <w:rsid w:val="0057421E"/>
    <w:rsid w:val="00577C30"/>
    <w:rsid w:val="005812FF"/>
    <w:rsid w:val="005819C8"/>
    <w:rsid w:val="0058422E"/>
    <w:rsid w:val="00584B84"/>
    <w:rsid w:val="00587A58"/>
    <w:rsid w:val="005905A0"/>
    <w:rsid w:val="005910E6"/>
    <w:rsid w:val="00591EC0"/>
    <w:rsid w:val="00597535"/>
    <w:rsid w:val="005A27F5"/>
    <w:rsid w:val="005A331D"/>
    <w:rsid w:val="005A54B4"/>
    <w:rsid w:val="005A7050"/>
    <w:rsid w:val="005B3CBC"/>
    <w:rsid w:val="005B510A"/>
    <w:rsid w:val="005C0740"/>
    <w:rsid w:val="005C1077"/>
    <w:rsid w:val="005C18D0"/>
    <w:rsid w:val="005C2FDE"/>
    <w:rsid w:val="005C5262"/>
    <w:rsid w:val="005C5CDC"/>
    <w:rsid w:val="005D1C66"/>
    <w:rsid w:val="005D5DCC"/>
    <w:rsid w:val="005D633B"/>
    <w:rsid w:val="005E0BF5"/>
    <w:rsid w:val="005E2026"/>
    <w:rsid w:val="005E28A6"/>
    <w:rsid w:val="005E692F"/>
    <w:rsid w:val="005F208F"/>
    <w:rsid w:val="005F2909"/>
    <w:rsid w:val="005F4914"/>
    <w:rsid w:val="005F4C5D"/>
    <w:rsid w:val="005F5DF6"/>
    <w:rsid w:val="005F5FA1"/>
    <w:rsid w:val="005F7D42"/>
    <w:rsid w:val="0060088C"/>
    <w:rsid w:val="00602EF4"/>
    <w:rsid w:val="00604F05"/>
    <w:rsid w:val="00611D31"/>
    <w:rsid w:val="00614905"/>
    <w:rsid w:val="006202A1"/>
    <w:rsid w:val="0062319E"/>
    <w:rsid w:val="006239E8"/>
    <w:rsid w:val="00624908"/>
    <w:rsid w:val="00625432"/>
    <w:rsid w:val="00626E42"/>
    <w:rsid w:val="00627EDA"/>
    <w:rsid w:val="00630FAE"/>
    <w:rsid w:val="00636200"/>
    <w:rsid w:val="006412A7"/>
    <w:rsid w:val="006416F3"/>
    <w:rsid w:val="006454C2"/>
    <w:rsid w:val="00645A72"/>
    <w:rsid w:val="00645DC7"/>
    <w:rsid w:val="0064724F"/>
    <w:rsid w:val="0065046B"/>
    <w:rsid w:val="006507CB"/>
    <w:rsid w:val="00650B9C"/>
    <w:rsid w:val="00651D68"/>
    <w:rsid w:val="00652D30"/>
    <w:rsid w:val="00655BC5"/>
    <w:rsid w:val="00656314"/>
    <w:rsid w:val="0066044E"/>
    <w:rsid w:val="00661BE8"/>
    <w:rsid w:val="00664E88"/>
    <w:rsid w:val="00667B6F"/>
    <w:rsid w:val="00667F82"/>
    <w:rsid w:val="006700AA"/>
    <w:rsid w:val="00672077"/>
    <w:rsid w:val="0067660C"/>
    <w:rsid w:val="00676DA3"/>
    <w:rsid w:val="00677A0D"/>
    <w:rsid w:val="00681166"/>
    <w:rsid w:val="00683087"/>
    <w:rsid w:val="00684390"/>
    <w:rsid w:val="00685653"/>
    <w:rsid w:val="00686F68"/>
    <w:rsid w:val="006915B9"/>
    <w:rsid w:val="00691FF4"/>
    <w:rsid w:val="006930D1"/>
    <w:rsid w:val="006931AD"/>
    <w:rsid w:val="006940BB"/>
    <w:rsid w:val="0069582F"/>
    <w:rsid w:val="00696CF0"/>
    <w:rsid w:val="00697001"/>
    <w:rsid w:val="00697080"/>
    <w:rsid w:val="006A01A6"/>
    <w:rsid w:val="006A1788"/>
    <w:rsid w:val="006A4B64"/>
    <w:rsid w:val="006A4D25"/>
    <w:rsid w:val="006A666D"/>
    <w:rsid w:val="006B0619"/>
    <w:rsid w:val="006B2D99"/>
    <w:rsid w:val="006B6E38"/>
    <w:rsid w:val="006B712A"/>
    <w:rsid w:val="006B7964"/>
    <w:rsid w:val="006D3958"/>
    <w:rsid w:val="006D5667"/>
    <w:rsid w:val="006D58E2"/>
    <w:rsid w:val="006D7B6B"/>
    <w:rsid w:val="006E08F2"/>
    <w:rsid w:val="006E0F0C"/>
    <w:rsid w:val="006E3838"/>
    <w:rsid w:val="006E3C40"/>
    <w:rsid w:val="006E45F5"/>
    <w:rsid w:val="006E7699"/>
    <w:rsid w:val="006E776F"/>
    <w:rsid w:val="006F27AC"/>
    <w:rsid w:val="006F2DE0"/>
    <w:rsid w:val="006F3E5C"/>
    <w:rsid w:val="006F627D"/>
    <w:rsid w:val="006F7BAE"/>
    <w:rsid w:val="00701C84"/>
    <w:rsid w:val="00701CB8"/>
    <w:rsid w:val="00701E47"/>
    <w:rsid w:val="00703931"/>
    <w:rsid w:val="00707E57"/>
    <w:rsid w:val="00707F49"/>
    <w:rsid w:val="0071017B"/>
    <w:rsid w:val="007103B5"/>
    <w:rsid w:val="0071064A"/>
    <w:rsid w:val="007108E2"/>
    <w:rsid w:val="00711D8B"/>
    <w:rsid w:val="00712B9B"/>
    <w:rsid w:val="007213BB"/>
    <w:rsid w:val="00722964"/>
    <w:rsid w:val="00723E86"/>
    <w:rsid w:val="007244BC"/>
    <w:rsid w:val="007257FD"/>
    <w:rsid w:val="00725C1A"/>
    <w:rsid w:val="007263B0"/>
    <w:rsid w:val="00726E65"/>
    <w:rsid w:val="0072758F"/>
    <w:rsid w:val="0073058A"/>
    <w:rsid w:val="00730BAC"/>
    <w:rsid w:val="007314EF"/>
    <w:rsid w:val="0073763E"/>
    <w:rsid w:val="00740450"/>
    <w:rsid w:val="007429C7"/>
    <w:rsid w:val="00744E2D"/>
    <w:rsid w:val="007452A0"/>
    <w:rsid w:val="00745FCA"/>
    <w:rsid w:val="00747943"/>
    <w:rsid w:val="00751996"/>
    <w:rsid w:val="00752BD5"/>
    <w:rsid w:val="00753090"/>
    <w:rsid w:val="007538F3"/>
    <w:rsid w:val="00755715"/>
    <w:rsid w:val="0075573F"/>
    <w:rsid w:val="00756861"/>
    <w:rsid w:val="00756D99"/>
    <w:rsid w:val="00756F20"/>
    <w:rsid w:val="00760772"/>
    <w:rsid w:val="00760DDE"/>
    <w:rsid w:val="0076132B"/>
    <w:rsid w:val="007620AE"/>
    <w:rsid w:val="00772715"/>
    <w:rsid w:val="007733B9"/>
    <w:rsid w:val="00774144"/>
    <w:rsid w:val="0077536C"/>
    <w:rsid w:val="00782538"/>
    <w:rsid w:val="007828DD"/>
    <w:rsid w:val="00783709"/>
    <w:rsid w:val="00783FAB"/>
    <w:rsid w:val="007844D5"/>
    <w:rsid w:val="0078514A"/>
    <w:rsid w:val="00785B13"/>
    <w:rsid w:val="00791AAC"/>
    <w:rsid w:val="00792B5A"/>
    <w:rsid w:val="0079332E"/>
    <w:rsid w:val="00793D8D"/>
    <w:rsid w:val="0079414A"/>
    <w:rsid w:val="00794539"/>
    <w:rsid w:val="00795969"/>
    <w:rsid w:val="00797371"/>
    <w:rsid w:val="00797D7B"/>
    <w:rsid w:val="007A0012"/>
    <w:rsid w:val="007A14BF"/>
    <w:rsid w:val="007A4ECF"/>
    <w:rsid w:val="007A57E0"/>
    <w:rsid w:val="007A6AF0"/>
    <w:rsid w:val="007B1D74"/>
    <w:rsid w:val="007B44CD"/>
    <w:rsid w:val="007B4836"/>
    <w:rsid w:val="007C093E"/>
    <w:rsid w:val="007C5020"/>
    <w:rsid w:val="007D12B2"/>
    <w:rsid w:val="007D1F16"/>
    <w:rsid w:val="007D2041"/>
    <w:rsid w:val="007D36E0"/>
    <w:rsid w:val="007D4320"/>
    <w:rsid w:val="007D4E08"/>
    <w:rsid w:val="007E00A8"/>
    <w:rsid w:val="007E16D6"/>
    <w:rsid w:val="007E1891"/>
    <w:rsid w:val="007E2197"/>
    <w:rsid w:val="007E3446"/>
    <w:rsid w:val="007E3447"/>
    <w:rsid w:val="007E36E5"/>
    <w:rsid w:val="007E4B61"/>
    <w:rsid w:val="007E6EC6"/>
    <w:rsid w:val="007F0630"/>
    <w:rsid w:val="007F06BB"/>
    <w:rsid w:val="007F2FDC"/>
    <w:rsid w:val="007F563E"/>
    <w:rsid w:val="00800FF2"/>
    <w:rsid w:val="00801AF3"/>
    <w:rsid w:val="00803447"/>
    <w:rsid w:val="008035CF"/>
    <w:rsid w:val="0080510C"/>
    <w:rsid w:val="0080584E"/>
    <w:rsid w:val="00805FEB"/>
    <w:rsid w:val="0080625F"/>
    <w:rsid w:val="008063AD"/>
    <w:rsid w:val="00807CC0"/>
    <w:rsid w:val="00811E34"/>
    <w:rsid w:val="00812C37"/>
    <w:rsid w:val="008134D5"/>
    <w:rsid w:val="00813A38"/>
    <w:rsid w:val="00814FD1"/>
    <w:rsid w:val="00820BAB"/>
    <w:rsid w:val="008232FF"/>
    <w:rsid w:val="00823B66"/>
    <w:rsid w:val="00824A98"/>
    <w:rsid w:val="008310AA"/>
    <w:rsid w:val="0083410B"/>
    <w:rsid w:val="00834114"/>
    <w:rsid w:val="008344AD"/>
    <w:rsid w:val="00835C3F"/>
    <w:rsid w:val="00842284"/>
    <w:rsid w:val="00844D23"/>
    <w:rsid w:val="00850C33"/>
    <w:rsid w:val="00850D26"/>
    <w:rsid w:val="008517D8"/>
    <w:rsid w:val="008520D0"/>
    <w:rsid w:val="00853316"/>
    <w:rsid w:val="00855086"/>
    <w:rsid w:val="00855239"/>
    <w:rsid w:val="00856897"/>
    <w:rsid w:val="00856BC4"/>
    <w:rsid w:val="0086262A"/>
    <w:rsid w:val="00863FFB"/>
    <w:rsid w:val="00867101"/>
    <w:rsid w:val="00871FD5"/>
    <w:rsid w:val="00872756"/>
    <w:rsid w:val="00875575"/>
    <w:rsid w:val="008755D8"/>
    <w:rsid w:val="0087674F"/>
    <w:rsid w:val="008821FB"/>
    <w:rsid w:val="00882A9B"/>
    <w:rsid w:val="00883819"/>
    <w:rsid w:val="00883A87"/>
    <w:rsid w:val="0088497A"/>
    <w:rsid w:val="00884A64"/>
    <w:rsid w:val="00890705"/>
    <w:rsid w:val="00890C3C"/>
    <w:rsid w:val="008958A5"/>
    <w:rsid w:val="008964EA"/>
    <w:rsid w:val="00896732"/>
    <w:rsid w:val="008967E4"/>
    <w:rsid w:val="008A09D3"/>
    <w:rsid w:val="008A1BAA"/>
    <w:rsid w:val="008A1F97"/>
    <w:rsid w:val="008A6224"/>
    <w:rsid w:val="008B442F"/>
    <w:rsid w:val="008B478B"/>
    <w:rsid w:val="008B5BA2"/>
    <w:rsid w:val="008B61B7"/>
    <w:rsid w:val="008B72AB"/>
    <w:rsid w:val="008C14A7"/>
    <w:rsid w:val="008C3A82"/>
    <w:rsid w:val="008C48EF"/>
    <w:rsid w:val="008C497B"/>
    <w:rsid w:val="008C4B13"/>
    <w:rsid w:val="008C4F0B"/>
    <w:rsid w:val="008C5CE9"/>
    <w:rsid w:val="008C76FD"/>
    <w:rsid w:val="008D1EEE"/>
    <w:rsid w:val="008D4757"/>
    <w:rsid w:val="008D5C51"/>
    <w:rsid w:val="008D72EA"/>
    <w:rsid w:val="008D7451"/>
    <w:rsid w:val="008D7625"/>
    <w:rsid w:val="008E2911"/>
    <w:rsid w:val="008E30D6"/>
    <w:rsid w:val="008E30D9"/>
    <w:rsid w:val="008E43CD"/>
    <w:rsid w:val="008E68D3"/>
    <w:rsid w:val="008E75BC"/>
    <w:rsid w:val="008E79DF"/>
    <w:rsid w:val="008F002D"/>
    <w:rsid w:val="008F39F6"/>
    <w:rsid w:val="008F43E8"/>
    <w:rsid w:val="008F50D1"/>
    <w:rsid w:val="008F7C20"/>
    <w:rsid w:val="00902A26"/>
    <w:rsid w:val="00903257"/>
    <w:rsid w:val="009048A2"/>
    <w:rsid w:val="00905C61"/>
    <w:rsid w:val="00907B01"/>
    <w:rsid w:val="00907D61"/>
    <w:rsid w:val="00910064"/>
    <w:rsid w:val="009114DC"/>
    <w:rsid w:val="00911D92"/>
    <w:rsid w:val="009121D3"/>
    <w:rsid w:val="009157D0"/>
    <w:rsid w:val="00916756"/>
    <w:rsid w:val="009176F5"/>
    <w:rsid w:val="00921A76"/>
    <w:rsid w:val="009249E5"/>
    <w:rsid w:val="00925230"/>
    <w:rsid w:val="0092633E"/>
    <w:rsid w:val="00930665"/>
    <w:rsid w:val="0093107C"/>
    <w:rsid w:val="009310E5"/>
    <w:rsid w:val="00933AD6"/>
    <w:rsid w:val="009373FB"/>
    <w:rsid w:val="00937815"/>
    <w:rsid w:val="00937F0F"/>
    <w:rsid w:val="009405FF"/>
    <w:rsid w:val="00941A14"/>
    <w:rsid w:val="009421AA"/>
    <w:rsid w:val="0094476A"/>
    <w:rsid w:val="00946466"/>
    <w:rsid w:val="00946888"/>
    <w:rsid w:val="0094774B"/>
    <w:rsid w:val="009478E4"/>
    <w:rsid w:val="00961ADF"/>
    <w:rsid w:val="009629D1"/>
    <w:rsid w:val="00962EAD"/>
    <w:rsid w:val="009646A3"/>
    <w:rsid w:val="00965131"/>
    <w:rsid w:val="00966A84"/>
    <w:rsid w:val="00967160"/>
    <w:rsid w:val="00970AAB"/>
    <w:rsid w:val="00973B75"/>
    <w:rsid w:val="00974504"/>
    <w:rsid w:val="00975A4A"/>
    <w:rsid w:val="00976057"/>
    <w:rsid w:val="00976358"/>
    <w:rsid w:val="00976413"/>
    <w:rsid w:val="009767B4"/>
    <w:rsid w:val="00977D37"/>
    <w:rsid w:val="009807AE"/>
    <w:rsid w:val="00985ACB"/>
    <w:rsid w:val="00990334"/>
    <w:rsid w:val="00991158"/>
    <w:rsid w:val="0099199E"/>
    <w:rsid w:val="00994459"/>
    <w:rsid w:val="009951B7"/>
    <w:rsid w:val="00995C44"/>
    <w:rsid w:val="009A04A5"/>
    <w:rsid w:val="009A167B"/>
    <w:rsid w:val="009A30ED"/>
    <w:rsid w:val="009A35A0"/>
    <w:rsid w:val="009A68F0"/>
    <w:rsid w:val="009A7CFA"/>
    <w:rsid w:val="009B05CB"/>
    <w:rsid w:val="009B0C51"/>
    <w:rsid w:val="009B2183"/>
    <w:rsid w:val="009B29AC"/>
    <w:rsid w:val="009B372F"/>
    <w:rsid w:val="009B397D"/>
    <w:rsid w:val="009B4B7F"/>
    <w:rsid w:val="009B7728"/>
    <w:rsid w:val="009B7CC2"/>
    <w:rsid w:val="009C0F35"/>
    <w:rsid w:val="009C10C1"/>
    <w:rsid w:val="009C2022"/>
    <w:rsid w:val="009C23FD"/>
    <w:rsid w:val="009C4F55"/>
    <w:rsid w:val="009C514C"/>
    <w:rsid w:val="009C5E5D"/>
    <w:rsid w:val="009C796F"/>
    <w:rsid w:val="009D0999"/>
    <w:rsid w:val="009D23FB"/>
    <w:rsid w:val="009D4034"/>
    <w:rsid w:val="009D5CCD"/>
    <w:rsid w:val="009D5FB9"/>
    <w:rsid w:val="009D68E8"/>
    <w:rsid w:val="009D7562"/>
    <w:rsid w:val="009E0803"/>
    <w:rsid w:val="009E4FC5"/>
    <w:rsid w:val="009E7BA0"/>
    <w:rsid w:val="009E7C1C"/>
    <w:rsid w:val="009F116B"/>
    <w:rsid w:val="009F13BF"/>
    <w:rsid w:val="009F1D34"/>
    <w:rsid w:val="009F4A94"/>
    <w:rsid w:val="009F4C47"/>
    <w:rsid w:val="009F528F"/>
    <w:rsid w:val="009F6AC9"/>
    <w:rsid w:val="00A01D9E"/>
    <w:rsid w:val="00A079E5"/>
    <w:rsid w:val="00A105DA"/>
    <w:rsid w:val="00A15029"/>
    <w:rsid w:val="00A166B4"/>
    <w:rsid w:val="00A20031"/>
    <w:rsid w:val="00A202D5"/>
    <w:rsid w:val="00A21F4A"/>
    <w:rsid w:val="00A2353B"/>
    <w:rsid w:val="00A23CDC"/>
    <w:rsid w:val="00A2430C"/>
    <w:rsid w:val="00A24596"/>
    <w:rsid w:val="00A248A8"/>
    <w:rsid w:val="00A24B24"/>
    <w:rsid w:val="00A25E6C"/>
    <w:rsid w:val="00A27A52"/>
    <w:rsid w:val="00A405B0"/>
    <w:rsid w:val="00A40E3D"/>
    <w:rsid w:val="00A40EA6"/>
    <w:rsid w:val="00A4204D"/>
    <w:rsid w:val="00A46B61"/>
    <w:rsid w:val="00A47C4E"/>
    <w:rsid w:val="00A5153E"/>
    <w:rsid w:val="00A52753"/>
    <w:rsid w:val="00A531B7"/>
    <w:rsid w:val="00A5458B"/>
    <w:rsid w:val="00A550E8"/>
    <w:rsid w:val="00A556D1"/>
    <w:rsid w:val="00A561F2"/>
    <w:rsid w:val="00A56E8B"/>
    <w:rsid w:val="00A576CF"/>
    <w:rsid w:val="00A57C54"/>
    <w:rsid w:val="00A62B4C"/>
    <w:rsid w:val="00A66FE5"/>
    <w:rsid w:val="00A71133"/>
    <w:rsid w:val="00A7209C"/>
    <w:rsid w:val="00A74C5A"/>
    <w:rsid w:val="00A761C7"/>
    <w:rsid w:val="00A77D42"/>
    <w:rsid w:val="00A82DB2"/>
    <w:rsid w:val="00A82E17"/>
    <w:rsid w:val="00A834BD"/>
    <w:rsid w:val="00A83A08"/>
    <w:rsid w:val="00A85024"/>
    <w:rsid w:val="00A85075"/>
    <w:rsid w:val="00A8651B"/>
    <w:rsid w:val="00A871B2"/>
    <w:rsid w:val="00A90245"/>
    <w:rsid w:val="00A92BAD"/>
    <w:rsid w:val="00A93F1F"/>
    <w:rsid w:val="00AA12F7"/>
    <w:rsid w:val="00AA17A7"/>
    <w:rsid w:val="00AA17BC"/>
    <w:rsid w:val="00AA3173"/>
    <w:rsid w:val="00AA3A3E"/>
    <w:rsid w:val="00AB0861"/>
    <w:rsid w:val="00AB19B6"/>
    <w:rsid w:val="00AB1A4B"/>
    <w:rsid w:val="00AB2F7D"/>
    <w:rsid w:val="00AB5CD1"/>
    <w:rsid w:val="00AC3281"/>
    <w:rsid w:val="00AC6ABA"/>
    <w:rsid w:val="00AD1C80"/>
    <w:rsid w:val="00AD2E24"/>
    <w:rsid w:val="00AD5627"/>
    <w:rsid w:val="00AD65C9"/>
    <w:rsid w:val="00AD6639"/>
    <w:rsid w:val="00AE2026"/>
    <w:rsid w:val="00AE2254"/>
    <w:rsid w:val="00AE36E4"/>
    <w:rsid w:val="00AE4A25"/>
    <w:rsid w:val="00AE5CCB"/>
    <w:rsid w:val="00AE668C"/>
    <w:rsid w:val="00AE7179"/>
    <w:rsid w:val="00AF1E52"/>
    <w:rsid w:val="00AF3875"/>
    <w:rsid w:val="00AF4438"/>
    <w:rsid w:val="00AF58D0"/>
    <w:rsid w:val="00AF5A67"/>
    <w:rsid w:val="00AF5EED"/>
    <w:rsid w:val="00AF6215"/>
    <w:rsid w:val="00AF6F6E"/>
    <w:rsid w:val="00B0035A"/>
    <w:rsid w:val="00B00A18"/>
    <w:rsid w:val="00B0206C"/>
    <w:rsid w:val="00B04818"/>
    <w:rsid w:val="00B066D8"/>
    <w:rsid w:val="00B10242"/>
    <w:rsid w:val="00B11323"/>
    <w:rsid w:val="00B13A2F"/>
    <w:rsid w:val="00B145D2"/>
    <w:rsid w:val="00B178D3"/>
    <w:rsid w:val="00B17DC2"/>
    <w:rsid w:val="00B22F73"/>
    <w:rsid w:val="00B253C9"/>
    <w:rsid w:val="00B27AF6"/>
    <w:rsid w:val="00B339F8"/>
    <w:rsid w:val="00B35D33"/>
    <w:rsid w:val="00B4065C"/>
    <w:rsid w:val="00B40CB3"/>
    <w:rsid w:val="00B41AF5"/>
    <w:rsid w:val="00B43512"/>
    <w:rsid w:val="00B52CD8"/>
    <w:rsid w:val="00B544E6"/>
    <w:rsid w:val="00B556B6"/>
    <w:rsid w:val="00B604EB"/>
    <w:rsid w:val="00B60EBD"/>
    <w:rsid w:val="00B6108C"/>
    <w:rsid w:val="00B67F7B"/>
    <w:rsid w:val="00B739E2"/>
    <w:rsid w:val="00B74272"/>
    <w:rsid w:val="00B7444F"/>
    <w:rsid w:val="00B7542C"/>
    <w:rsid w:val="00B8151D"/>
    <w:rsid w:val="00B816F4"/>
    <w:rsid w:val="00B819AA"/>
    <w:rsid w:val="00B824F7"/>
    <w:rsid w:val="00B833F2"/>
    <w:rsid w:val="00B854FB"/>
    <w:rsid w:val="00B8572C"/>
    <w:rsid w:val="00B85FFB"/>
    <w:rsid w:val="00B96468"/>
    <w:rsid w:val="00B96910"/>
    <w:rsid w:val="00BA21A1"/>
    <w:rsid w:val="00BA363B"/>
    <w:rsid w:val="00BA54AA"/>
    <w:rsid w:val="00BA7A46"/>
    <w:rsid w:val="00BB2109"/>
    <w:rsid w:val="00BB2C6B"/>
    <w:rsid w:val="00BB38D4"/>
    <w:rsid w:val="00BB3B3E"/>
    <w:rsid w:val="00BB4D85"/>
    <w:rsid w:val="00BB5F6B"/>
    <w:rsid w:val="00BB61E4"/>
    <w:rsid w:val="00BB631E"/>
    <w:rsid w:val="00BB71A8"/>
    <w:rsid w:val="00BC36DF"/>
    <w:rsid w:val="00BC4091"/>
    <w:rsid w:val="00BC4BD5"/>
    <w:rsid w:val="00BC50A3"/>
    <w:rsid w:val="00BD41D4"/>
    <w:rsid w:val="00BD465A"/>
    <w:rsid w:val="00BD47A9"/>
    <w:rsid w:val="00BD5208"/>
    <w:rsid w:val="00BD5316"/>
    <w:rsid w:val="00BD5A86"/>
    <w:rsid w:val="00BD6AC2"/>
    <w:rsid w:val="00BD72D2"/>
    <w:rsid w:val="00BD7CC9"/>
    <w:rsid w:val="00BE214C"/>
    <w:rsid w:val="00BE68F9"/>
    <w:rsid w:val="00BF2A9B"/>
    <w:rsid w:val="00BF3DAE"/>
    <w:rsid w:val="00BF6A1C"/>
    <w:rsid w:val="00BF7283"/>
    <w:rsid w:val="00BF7FB4"/>
    <w:rsid w:val="00C02595"/>
    <w:rsid w:val="00C11B48"/>
    <w:rsid w:val="00C12197"/>
    <w:rsid w:val="00C1330A"/>
    <w:rsid w:val="00C143B6"/>
    <w:rsid w:val="00C145EB"/>
    <w:rsid w:val="00C2416A"/>
    <w:rsid w:val="00C25C71"/>
    <w:rsid w:val="00C30E45"/>
    <w:rsid w:val="00C325A5"/>
    <w:rsid w:val="00C340F9"/>
    <w:rsid w:val="00C35A9C"/>
    <w:rsid w:val="00C36A15"/>
    <w:rsid w:val="00C3701B"/>
    <w:rsid w:val="00C37043"/>
    <w:rsid w:val="00C41F2D"/>
    <w:rsid w:val="00C4300F"/>
    <w:rsid w:val="00C4397C"/>
    <w:rsid w:val="00C45661"/>
    <w:rsid w:val="00C4581C"/>
    <w:rsid w:val="00C5010C"/>
    <w:rsid w:val="00C62BC1"/>
    <w:rsid w:val="00C637A0"/>
    <w:rsid w:val="00C64879"/>
    <w:rsid w:val="00C64BC0"/>
    <w:rsid w:val="00C66953"/>
    <w:rsid w:val="00C67EF5"/>
    <w:rsid w:val="00C7147D"/>
    <w:rsid w:val="00C73133"/>
    <w:rsid w:val="00C731FA"/>
    <w:rsid w:val="00C7617C"/>
    <w:rsid w:val="00C7793C"/>
    <w:rsid w:val="00C80284"/>
    <w:rsid w:val="00C82083"/>
    <w:rsid w:val="00C82C91"/>
    <w:rsid w:val="00C8342B"/>
    <w:rsid w:val="00C83C6F"/>
    <w:rsid w:val="00C846A2"/>
    <w:rsid w:val="00C90E38"/>
    <w:rsid w:val="00C90EFC"/>
    <w:rsid w:val="00C90FC4"/>
    <w:rsid w:val="00C954B7"/>
    <w:rsid w:val="00C9591A"/>
    <w:rsid w:val="00C95F6C"/>
    <w:rsid w:val="00C96778"/>
    <w:rsid w:val="00C96B58"/>
    <w:rsid w:val="00C9727F"/>
    <w:rsid w:val="00CA46AC"/>
    <w:rsid w:val="00CA4F71"/>
    <w:rsid w:val="00CA5B72"/>
    <w:rsid w:val="00CA7CF5"/>
    <w:rsid w:val="00CB337B"/>
    <w:rsid w:val="00CB393E"/>
    <w:rsid w:val="00CB45D5"/>
    <w:rsid w:val="00CB7A83"/>
    <w:rsid w:val="00CC1B50"/>
    <w:rsid w:val="00CC3AE0"/>
    <w:rsid w:val="00CC3C0B"/>
    <w:rsid w:val="00CC3CD3"/>
    <w:rsid w:val="00CC4C6D"/>
    <w:rsid w:val="00CC62AC"/>
    <w:rsid w:val="00CD1364"/>
    <w:rsid w:val="00CD1B8C"/>
    <w:rsid w:val="00CD1CFA"/>
    <w:rsid w:val="00CD20F8"/>
    <w:rsid w:val="00CD3705"/>
    <w:rsid w:val="00CD6E72"/>
    <w:rsid w:val="00CE23A8"/>
    <w:rsid w:val="00CE2B35"/>
    <w:rsid w:val="00CE3EA5"/>
    <w:rsid w:val="00CF1C96"/>
    <w:rsid w:val="00CF5A8C"/>
    <w:rsid w:val="00D010D3"/>
    <w:rsid w:val="00D02415"/>
    <w:rsid w:val="00D05A8C"/>
    <w:rsid w:val="00D0747E"/>
    <w:rsid w:val="00D119DD"/>
    <w:rsid w:val="00D14A9D"/>
    <w:rsid w:val="00D14D7B"/>
    <w:rsid w:val="00D16B1A"/>
    <w:rsid w:val="00D17A67"/>
    <w:rsid w:val="00D17FC6"/>
    <w:rsid w:val="00D2115A"/>
    <w:rsid w:val="00D217D1"/>
    <w:rsid w:val="00D2517F"/>
    <w:rsid w:val="00D3758C"/>
    <w:rsid w:val="00D37A25"/>
    <w:rsid w:val="00D446EF"/>
    <w:rsid w:val="00D45ABC"/>
    <w:rsid w:val="00D46134"/>
    <w:rsid w:val="00D468A9"/>
    <w:rsid w:val="00D46917"/>
    <w:rsid w:val="00D46CA0"/>
    <w:rsid w:val="00D470FE"/>
    <w:rsid w:val="00D4748A"/>
    <w:rsid w:val="00D50946"/>
    <w:rsid w:val="00D5387E"/>
    <w:rsid w:val="00D5443E"/>
    <w:rsid w:val="00D560F7"/>
    <w:rsid w:val="00D56A3B"/>
    <w:rsid w:val="00D60075"/>
    <w:rsid w:val="00D60F66"/>
    <w:rsid w:val="00D61A73"/>
    <w:rsid w:val="00D63270"/>
    <w:rsid w:val="00D63CDD"/>
    <w:rsid w:val="00D6472B"/>
    <w:rsid w:val="00D64D9B"/>
    <w:rsid w:val="00D65CC4"/>
    <w:rsid w:val="00D663FE"/>
    <w:rsid w:val="00D66B65"/>
    <w:rsid w:val="00D679B5"/>
    <w:rsid w:val="00D70EAE"/>
    <w:rsid w:val="00D70F64"/>
    <w:rsid w:val="00D73415"/>
    <w:rsid w:val="00D74B9B"/>
    <w:rsid w:val="00D7604E"/>
    <w:rsid w:val="00D76A47"/>
    <w:rsid w:val="00D773CB"/>
    <w:rsid w:val="00D8103E"/>
    <w:rsid w:val="00D818BA"/>
    <w:rsid w:val="00D842A2"/>
    <w:rsid w:val="00D84946"/>
    <w:rsid w:val="00D851DD"/>
    <w:rsid w:val="00D93741"/>
    <w:rsid w:val="00D96CA5"/>
    <w:rsid w:val="00DA294D"/>
    <w:rsid w:val="00DA552F"/>
    <w:rsid w:val="00DB12A2"/>
    <w:rsid w:val="00DB1A82"/>
    <w:rsid w:val="00DB1C9E"/>
    <w:rsid w:val="00DB2434"/>
    <w:rsid w:val="00DB461B"/>
    <w:rsid w:val="00DB4D35"/>
    <w:rsid w:val="00DB60F4"/>
    <w:rsid w:val="00DB6247"/>
    <w:rsid w:val="00DB7CA2"/>
    <w:rsid w:val="00DC01FE"/>
    <w:rsid w:val="00DC07C9"/>
    <w:rsid w:val="00DC228C"/>
    <w:rsid w:val="00DC3E8C"/>
    <w:rsid w:val="00DC41B9"/>
    <w:rsid w:val="00DC4B5E"/>
    <w:rsid w:val="00DC51A6"/>
    <w:rsid w:val="00DC7B09"/>
    <w:rsid w:val="00DD0800"/>
    <w:rsid w:val="00DD1234"/>
    <w:rsid w:val="00DD408F"/>
    <w:rsid w:val="00DD5F43"/>
    <w:rsid w:val="00DD651A"/>
    <w:rsid w:val="00DD6CCA"/>
    <w:rsid w:val="00DD7496"/>
    <w:rsid w:val="00DD7B03"/>
    <w:rsid w:val="00DE02BB"/>
    <w:rsid w:val="00DE1334"/>
    <w:rsid w:val="00DE326A"/>
    <w:rsid w:val="00DE5F92"/>
    <w:rsid w:val="00DE715E"/>
    <w:rsid w:val="00DE7C37"/>
    <w:rsid w:val="00DF13F3"/>
    <w:rsid w:val="00DF3683"/>
    <w:rsid w:val="00DF46B2"/>
    <w:rsid w:val="00DF61B7"/>
    <w:rsid w:val="00DF6391"/>
    <w:rsid w:val="00DF6E19"/>
    <w:rsid w:val="00E01C27"/>
    <w:rsid w:val="00E01C32"/>
    <w:rsid w:val="00E01F85"/>
    <w:rsid w:val="00E0354E"/>
    <w:rsid w:val="00E039D2"/>
    <w:rsid w:val="00E056A2"/>
    <w:rsid w:val="00E1257E"/>
    <w:rsid w:val="00E14278"/>
    <w:rsid w:val="00E14C86"/>
    <w:rsid w:val="00E21595"/>
    <w:rsid w:val="00E24E50"/>
    <w:rsid w:val="00E24F4D"/>
    <w:rsid w:val="00E251EE"/>
    <w:rsid w:val="00E25C50"/>
    <w:rsid w:val="00E302D5"/>
    <w:rsid w:val="00E30CE0"/>
    <w:rsid w:val="00E33927"/>
    <w:rsid w:val="00E33FED"/>
    <w:rsid w:val="00E34AC6"/>
    <w:rsid w:val="00E369C6"/>
    <w:rsid w:val="00E43542"/>
    <w:rsid w:val="00E447BE"/>
    <w:rsid w:val="00E46F2B"/>
    <w:rsid w:val="00E5541C"/>
    <w:rsid w:val="00E55D04"/>
    <w:rsid w:val="00E57075"/>
    <w:rsid w:val="00E60A2A"/>
    <w:rsid w:val="00E62C51"/>
    <w:rsid w:val="00E631F9"/>
    <w:rsid w:val="00E6412A"/>
    <w:rsid w:val="00E662FD"/>
    <w:rsid w:val="00E670F0"/>
    <w:rsid w:val="00E67150"/>
    <w:rsid w:val="00E702BD"/>
    <w:rsid w:val="00E70852"/>
    <w:rsid w:val="00E716E9"/>
    <w:rsid w:val="00E72FD0"/>
    <w:rsid w:val="00E746A4"/>
    <w:rsid w:val="00E757D0"/>
    <w:rsid w:val="00E767BE"/>
    <w:rsid w:val="00E768B8"/>
    <w:rsid w:val="00E8671C"/>
    <w:rsid w:val="00E90298"/>
    <w:rsid w:val="00E916A2"/>
    <w:rsid w:val="00E91930"/>
    <w:rsid w:val="00E955D3"/>
    <w:rsid w:val="00EA05CB"/>
    <w:rsid w:val="00EA0D47"/>
    <w:rsid w:val="00EA6D4F"/>
    <w:rsid w:val="00EA716A"/>
    <w:rsid w:val="00EA7EA8"/>
    <w:rsid w:val="00EB4DDF"/>
    <w:rsid w:val="00EB6E42"/>
    <w:rsid w:val="00EC0A15"/>
    <w:rsid w:val="00EC5014"/>
    <w:rsid w:val="00ED606E"/>
    <w:rsid w:val="00EE0443"/>
    <w:rsid w:val="00EE0497"/>
    <w:rsid w:val="00EE1B8B"/>
    <w:rsid w:val="00EE3718"/>
    <w:rsid w:val="00EE412B"/>
    <w:rsid w:val="00EE5492"/>
    <w:rsid w:val="00EF0054"/>
    <w:rsid w:val="00EF035B"/>
    <w:rsid w:val="00EF03DB"/>
    <w:rsid w:val="00EF3A7B"/>
    <w:rsid w:val="00EF4ACB"/>
    <w:rsid w:val="00EF6C11"/>
    <w:rsid w:val="00F00674"/>
    <w:rsid w:val="00F03635"/>
    <w:rsid w:val="00F0455E"/>
    <w:rsid w:val="00F0609A"/>
    <w:rsid w:val="00F1230D"/>
    <w:rsid w:val="00F14BCE"/>
    <w:rsid w:val="00F20F48"/>
    <w:rsid w:val="00F21042"/>
    <w:rsid w:val="00F21FAC"/>
    <w:rsid w:val="00F26060"/>
    <w:rsid w:val="00F26537"/>
    <w:rsid w:val="00F26940"/>
    <w:rsid w:val="00F3264E"/>
    <w:rsid w:val="00F36014"/>
    <w:rsid w:val="00F3603D"/>
    <w:rsid w:val="00F36E18"/>
    <w:rsid w:val="00F37BC2"/>
    <w:rsid w:val="00F43DAD"/>
    <w:rsid w:val="00F44332"/>
    <w:rsid w:val="00F45857"/>
    <w:rsid w:val="00F513EB"/>
    <w:rsid w:val="00F5236B"/>
    <w:rsid w:val="00F5252A"/>
    <w:rsid w:val="00F54266"/>
    <w:rsid w:val="00F552D2"/>
    <w:rsid w:val="00F55D82"/>
    <w:rsid w:val="00F5679F"/>
    <w:rsid w:val="00F60D6A"/>
    <w:rsid w:val="00F60F15"/>
    <w:rsid w:val="00F62708"/>
    <w:rsid w:val="00F63B17"/>
    <w:rsid w:val="00F6460E"/>
    <w:rsid w:val="00F64736"/>
    <w:rsid w:val="00F64CB4"/>
    <w:rsid w:val="00F65889"/>
    <w:rsid w:val="00F70D68"/>
    <w:rsid w:val="00F72398"/>
    <w:rsid w:val="00F723F3"/>
    <w:rsid w:val="00F74CC9"/>
    <w:rsid w:val="00F77106"/>
    <w:rsid w:val="00F80CCA"/>
    <w:rsid w:val="00F816A2"/>
    <w:rsid w:val="00F81A14"/>
    <w:rsid w:val="00F83BE6"/>
    <w:rsid w:val="00F85B48"/>
    <w:rsid w:val="00F861AE"/>
    <w:rsid w:val="00F86E01"/>
    <w:rsid w:val="00F871D7"/>
    <w:rsid w:val="00F87FB6"/>
    <w:rsid w:val="00F90098"/>
    <w:rsid w:val="00F9205E"/>
    <w:rsid w:val="00F92FA5"/>
    <w:rsid w:val="00F935BD"/>
    <w:rsid w:val="00F96889"/>
    <w:rsid w:val="00FA0900"/>
    <w:rsid w:val="00FA6309"/>
    <w:rsid w:val="00FA6319"/>
    <w:rsid w:val="00FB0DA7"/>
    <w:rsid w:val="00FB14CA"/>
    <w:rsid w:val="00FB46DD"/>
    <w:rsid w:val="00FB656A"/>
    <w:rsid w:val="00FB7019"/>
    <w:rsid w:val="00FB77AA"/>
    <w:rsid w:val="00FC522B"/>
    <w:rsid w:val="00FC63C7"/>
    <w:rsid w:val="00FD0A30"/>
    <w:rsid w:val="00FD1A80"/>
    <w:rsid w:val="00FD7D20"/>
    <w:rsid w:val="00FE2F0A"/>
    <w:rsid w:val="00FE3F45"/>
    <w:rsid w:val="00FE578C"/>
    <w:rsid w:val="00FF21BC"/>
    <w:rsid w:val="00FF2A10"/>
    <w:rsid w:val="00FF37E6"/>
    <w:rsid w:val="00FF557B"/>
    <w:rsid w:val="00FF57B7"/>
    <w:rsid w:val="00FF6E25"/>
    <w:rsid w:val="00FF7CD7"/>
    <w:rsid w:val="016CD207"/>
    <w:rsid w:val="0329B037"/>
    <w:rsid w:val="0337F82D"/>
    <w:rsid w:val="03FE8018"/>
    <w:rsid w:val="04E6DE13"/>
    <w:rsid w:val="05514CA7"/>
    <w:rsid w:val="05B592E8"/>
    <w:rsid w:val="05DB5EED"/>
    <w:rsid w:val="07F805CD"/>
    <w:rsid w:val="07FCF4BD"/>
    <w:rsid w:val="088F2579"/>
    <w:rsid w:val="0992A521"/>
    <w:rsid w:val="09E0A704"/>
    <w:rsid w:val="0A723E8C"/>
    <w:rsid w:val="0E01C34B"/>
    <w:rsid w:val="0E1DD5D9"/>
    <w:rsid w:val="0FB3178F"/>
    <w:rsid w:val="11BCBCB0"/>
    <w:rsid w:val="130859FD"/>
    <w:rsid w:val="1479A21B"/>
    <w:rsid w:val="1480E392"/>
    <w:rsid w:val="1875A683"/>
    <w:rsid w:val="19AF545B"/>
    <w:rsid w:val="1AE71EB5"/>
    <w:rsid w:val="1BC5C6AD"/>
    <w:rsid w:val="1D578161"/>
    <w:rsid w:val="1E4554F3"/>
    <w:rsid w:val="20F78002"/>
    <w:rsid w:val="21142258"/>
    <w:rsid w:val="215D7D6A"/>
    <w:rsid w:val="288E6824"/>
    <w:rsid w:val="2B498870"/>
    <w:rsid w:val="2C2EF2D8"/>
    <w:rsid w:val="2DC70612"/>
    <w:rsid w:val="2DEDED27"/>
    <w:rsid w:val="2E35E5F0"/>
    <w:rsid w:val="2E68919D"/>
    <w:rsid w:val="30541FDE"/>
    <w:rsid w:val="3217DCCE"/>
    <w:rsid w:val="32655461"/>
    <w:rsid w:val="3303B5B7"/>
    <w:rsid w:val="3744A316"/>
    <w:rsid w:val="37AE4F41"/>
    <w:rsid w:val="3B4A2015"/>
    <w:rsid w:val="3C6F06DC"/>
    <w:rsid w:val="3D215D37"/>
    <w:rsid w:val="438591CD"/>
    <w:rsid w:val="43B92520"/>
    <w:rsid w:val="440A9031"/>
    <w:rsid w:val="4553A204"/>
    <w:rsid w:val="4B808310"/>
    <w:rsid w:val="4C0F95DD"/>
    <w:rsid w:val="4DE4E9D7"/>
    <w:rsid w:val="4E6281E5"/>
    <w:rsid w:val="4E732274"/>
    <w:rsid w:val="4E78634E"/>
    <w:rsid w:val="4EE373B4"/>
    <w:rsid w:val="4F0EF0D7"/>
    <w:rsid w:val="5186F918"/>
    <w:rsid w:val="519296EC"/>
    <w:rsid w:val="52A895FC"/>
    <w:rsid w:val="5340E75C"/>
    <w:rsid w:val="5377E99B"/>
    <w:rsid w:val="537E4C87"/>
    <w:rsid w:val="546FE2A9"/>
    <w:rsid w:val="55AF0040"/>
    <w:rsid w:val="56533F9D"/>
    <w:rsid w:val="56A9491D"/>
    <w:rsid w:val="58C95311"/>
    <w:rsid w:val="5A12BC25"/>
    <w:rsid w:val="5E07D00E"/>
    <w:rsid w:val="5EA3FE9D"/>
    <w:rsid w:val="5F8230F2"/>
    <w:rsid w:val="6072AFF1"/>
    <w:rsid w:val="608CD88E"/>
    <w:rsid w:val="64B6BC74"/>
    <w:rsid w:val="65ED38FB"/>
    <w:rsid w:val="662CB3BA"/>
    <w:rsid w:val="676CCB40"/>
    <w:rsid w:val="67A3B905"/>
    <w:rsid w:val="67CC3F75"/>
    <w:rsid w:val="6819BF3E"/>
    <w:rsid w:val="68BB8355"/>
    <w:rsid w:val="68DA9CA2"/>
    <w:rsid w:val="694F8F84"/>
    <w:rsid w:val="69500CA9"/>
    <w:rsid w:val="699D127D"/>
    <w:rsid w:val="69ACD826"/>
    <w:rsid w:val="6C25ADF6"/>
    <w:rsid w:val="6C2B71FA"/>
    <w:rsid w:val="6DD75237"/>
    <w:rsid w:val="6E8AF66F"/>
    <w:rsid w:val="6E9EE912"/>
    <w:rsid w:val="6EE0610B"/>
    <w:rsid w:val="6F3486D1"/>
    <w:rsid w:val="6F3D0154"/>
    <w:rsid w:val="70CA84E5"/>
    <w:rsid w:val="72246AE2"/>
    <w:rsid w:val="73778196"/>
    <w:rsid w:val="7437E36C"/>
    <w:rsid w:val="75348569"/>
    <w:rsid w:val="7621CE2E"/>
    <w:rsid w:val="76A06FB9"/>
    <w:rsid w:val="77413EFC"/>
    <w:rsid w:val="79559A61"/>
    <w:rsid w:val="79A22E49"/>
    <w:rsid w:val="7A118B92"/>
    <w:rsid w:val="7A9BEB49"/>
    <w:rsid w:val="7B9FCB85"/>
    <w:rsid w:val="7C1AA4B4"/>
    <w:rsid w:val="7D6F21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D4E3AEC1-9ACB-4F21-BBE6-A8606E2F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8989">
      <w:bodyDiv w:val="1"/>
      <w:marLeft w:val="0"/>
      <w:marRight w:val="0"/>
      <w:marTop w:val="0"/>
      <w:marBottom w:val="0"/>
      <w:divBdr>
        <w:top w:val="none" w:sz="0" w:space="0" w:color="auto"/>
        <w:left w:val="none" w:sz="0" w:space="0" w:color="auto"/>
        <w:bottom w:val="none" w:sz="0" w:space="0" w:color="auto"/>
        <w:right w:val="none" w:sz="0" w:space="0" w:color="auto"/>
      </w:divBdr>
      <w:divsChild>
        <w:div w:id="1456018714">
          <w:marLeft w:val="0"/>
          <w:marRight w:val="0"/>
          <w:marTop w:val="0"/>
          <w:marBottom w:val="0"/>
          <w:divBdr>
            <w:top w:val="none" w:sz="0" w:space="0" w:color="auto"/>
            <w:left w:val="none" w:sz="0" w:space="0" w:color="auto"/>
            <w:bottom w:val="none" w:sz="0" w:space="0" w:color="auto"/>
            <w:right w:val="none" w:sz="0" w:space="0" w:color="auto"/>
          </w:divBdr>
        </w:div>
        <w:div w:id="1879050530">
          <w:marLeft w:val="0"/>
          <w:marRight w:val="0"/>
          <w:marTop w:val="0"/>
          <w:marBottom w:val="0"/>
          <w:divBdr>
            <w:top w:val="none" w:sz="0" w:space="0" w:color="auto"/>
            <w:left w:val="none" w:sz="0" w:space="0" w:color="auto"/>
            <w:bottom w:val="none" w:sz="0" w:space="0" w:color="auto"/>
            <w:right w:val="none" w:sz="0" w:space="0" w:color="auto"/>
          </w:divBdr>
        </w:div>
      </w:divsChild>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120954290">
      <w:bodyDiv w:val="1"/>
      <w:marLeft w:val="0"/>
      <w:marRight w:val="0"/>
      <w:marTop w:val="0"/>
      <w:marBottom w:val="0"/>
      <w:divBdr>
        <w:top w:val="none" w:sz="0" w:space="0" w:color="auto"/>
        <w:left w:val="none" w:sz="0" w:space="0" w:color="auto"/>
        <w:bottom w:val="none" w:sz="0" w:space="0" w:color="auto"/>
        <w:right w:val="none" w:sz="0" w:space="0" w:color="auto"/>
      </w:divBdr>
      <w:divsChild>
        <w:div w:id="393236602">
          <w:marLeft w:val="0"/>
          <w:marRight w:val="0"/>
          <w:marTop w:val="0"/>
          <w:marBottom w:val="0"/>
          <w:divBdr>
            <w:top w:val="none" w:sz="0" w:space="0" w:color="auto"/>
            <w:left w:val="none" w:sz="0" w:space="0" w:color="auto"/>
            <w:bottom w:val="none" w:sz="0" w:space="0" w:color="auto"/>
            <w:right w:val="none" w:sz="0" w:space="0" w:color="auto"/>
          </w:divBdr>
        </w:div>
        <w:div w:id="155461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0FBA7961F9BD41AD810912DF2169D6" ma:contentTypeVersion="" ma:contentTypeDescription="PDMS Document Site Content Type" ma:contentTypeScope="" ma:versionID="2758e6730585fcd4b2534ac21ca0dc5e">
  <xsd:schema xmlns:xsd="http://www.w3.org/2001/XMLSchema" xmlns:xs="http://www.w3.org/2001/XMLSchema" xmlns:p="http://schemas.microsoft.com/office/2006/metadata/properties" xmlns:ns2="FED5D976-3ABA-4446-8293-AA831025BA3A" targetNamespace="http://schemas.microsoft.com/office/2006/metadata/properties" ma:root="true" ma:fieldsID="700bc6c4674b025be623b6aaee46edb5" ns2:_="">
    <xsd:import namespace="FED5D976-3ABA-4446-8293-AA831025B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5D976-3ABA-4446-8293-AA831025B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ED5D976-3ABA-4446-8293-AA831025BA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D298-A8F7-4109-95CD-A26715C8C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5D976-3ABA-4446-8293-AA831025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schemas.microsoft.com/office/2006/documentManagement/types"/>
    <ds:schemaRef ds:uri="FED5D976-3ABA-4446-8293-AA831025BA3A"/>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2191</Words>
  <Characters>12489</Characters>
  <Application>Microsoft Office Word</Application>
  <DocSecurity>0</DocSecurity>
  <Lines>104</Lines>
  <Paragraphs>29</Paragraphs>
  <ScaleCrop>false</ScaleCrop>
  <Company>Department of Industry, Innovation and Science</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Deb Pono</cp:lastModifiedBy>
  <cp:revision>3</cp:revision>
  <cp:lastPrinted>2019-11-18T18:12:00Z</cp:lastPrinted>
  <dcterms:created xsi:type="dcterms:W3CDTF">2024-11-26T04:52:00Z</dcterms:created>
  <dcterms:modified xsi:type="dcterms:W3CDTF">2024-11-26T04:52:00Z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0x010100266966F133664895A6EE3632470D45F5005B0FBA7961F9BD41AD810912DF2169D6</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