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7D6379" w14:textId="77777777" w:rsidR="00280050" w:rsidRPr="005C4761" w:rsidRDefault="00E40F4A" w:rsidP="002C7372">
      <w:pPr>
        <w:jc w:val="center"/>
        <w:rPr>
          <w:b/>
        </w:rPr>
      </w:pPr>
      <w:r w:rsidRPr="005C4761">
        <w:rPr>
          <w:b/>
        </w:rPr>
        <w:t>EXPLANATORY STATEMENT</w:t>
      </w:r>
    </w:p>
    <w:p w14:paraId="395E1650" w14:textId="77777777" w:rsidR="00E40F4A" w:rsidRPr="005C4761" w:rsidRDefault="00E40F4A" w:rsidP="002C7372">
      <w:pPr>
        <w:jc w:val="center"/>
        <w:rPr>
          <w:i/>
        </w:rPr>
      </w:pPr>
      <w:r w:rsidRPr="005C4761">
        <w:rPr>
          <w:i/>
        </w:rPr>
        <w:t>National Health Act 1953</w:t>
      </w:r>
    </w:p>
    <w:p w14:paraId="4A412065" w14:textId="0428747A" w:rsidR="00564885" w:rsidRPr="00853CEF" w:rsidRDefault="00564885" w:rsidP="00564885">
      <w:pPr>
        <w:jc w:val="center"/>
        <w:rPr>
          <w:b/>
          <w:i/>
          <w:highlight w:val="yellow"/>
        </w:rPr>
      </w:pPr>
      <w:r w:rsidRPr="005C4761">
        <w:rPr>
          <w:b/>
          <w:i/>
        </w:rPr>
        <w:t>National Health</w:t>
      </w:r>
      <w:bookmarkStart w:id="0" w:name="BK_S1P1L3C16"/>
      <w:bookmarkEnd w:id="0"/>
      <w:r w:rsidRPr="005C4761">
        <w:rPr>
          <w:b/>
          <w:i/>
        </w:rPr>
        <w:t xml:space="preserve"> (</w:t>
      </w:r>
      <w:r w:rsidRPr="00853CEF">
        <w:rPr>
          <w:b/>
          <w:i/>
        </w:rPr>
        <w:t>Pharmaceutical Benefits) (Pharmacist Substitution of Medicines without Prescription during Shortages) Amendment (</w:t>
      </w:r>
      <w:r w:rsidR="00E04D8F">
        <w:rPr>
          <w:b/>
          <w:i/>
        </w:rPr>
        <w:t>No. 5</w:t>
      </w:r>
      <w:r w:rsidRPr="00853CEF">
        <w:rPr>
          <w:b/>
          <w:i/>
        </w:rPr>
        <w:t xml:space="preserve">) Determination </w:t>
      </w:r>
      <w:r w:rsidR="0033283A" w:rsidRPr="00853CEF">
        <w:rPr>
          <w:b/>
          <w:i/>
        </w:rPr>
        <w:t>202</w:t>
      </w:r>
      <w:r w:rsidR="00853CEF" w:rsidRPr="00853CEF">
        <w:rPr>
          <w:b/>
          <w:i/>
        </w:rPr>
        <w:t>4</w:t>
      </w:r>
    </w:p>
    <w:p w14:paraId="5D6A5F98" w14:textId="61B47290" w:rsidR="00564885" w:rsidRPr="00D81C40" w:rsidRDefault="00E04D8F" w:rsidP="00564885">
      <w:pPr>
        <w:spacing w:before="120" w:after="0"/>
        <w:jc w:val="center"/>
        <w:rPr>
          <w:b/>
        </w:rPr>
      </w:pPr>
      <w:r>
        <w:rPr>
          <w:b/>
        </w:rPr>
        <w:t xml:space="preserve">PB 137 </w:t>
      </w:r>
      <w:r w:rsidR="007119BC">
        <w:rPr>
          <w:b/>
        </w:rPr>
        <w:t xml:space="preserve">of 2024 </w:t>
      </w:r>
    </w:p>
    <w:p w14:paraId="51AEBA88" w14:textId="77777777" w:rsidR="00543A0F" w:rsidRPr="00F82364" w:rsidRDefault="00543A0F" w:rsidP="00543A0F">
      <w:pPr>
        <w:rPr>
          <w:b/>
        </w:rPr>
      </w:pPr>
      <w:r w:rsidRPr="00F82364">
        <w:rPr>
          <w:b/>
        </w:rPr>
        <w:t>Authority</w:t>
      </w:r>
    </w:p>
    <w:p w14:paraId="3736E5BF" w14:textId="77777777" w:rsidR="00543A0F" w:rsidRPr="00F82364" w:rsidRDefault="00543A0F" w:rsidP="00543A0F">
      <w:pPr>
        <w:pStyle w:val="subsection"/>
        <w:shd w:val="clear" w:color="auto" w:fill="FFFFFF"/>
        <w:spacing w:before="0" w:beforeAutospacing="0" w:after="160" w:afterAutospacing="0"/>
        <w:jc w:val="both"/>
        <w:rPr>
          <w:color w:val="000000"/>
        </w:rPr>
      </w:pPr>
      <w:r w:rsidRPr="00F82364">
        <w:t>Subsection 89</w:t>
      </w:r>
      <w:proofErr w:type="gramStart"/>
      <w:r w:rsidRPr="00F82364">
        <w:t>A(</w:t>
      </w:r>
      <w:proofErr w:type="gramEnd"/>
      <w:r w:rsidRPr="00F82364">
        <w:t xml:space="preserve">3) of the </w:t>
      </w:r>
      <w:r w:rsidRPr="00F82364">
        <w:rPr>
          <w:i/>
        </w:rPr>
        <w:t>National Health Act 1953</w:t>
      </w:r>
      <w:r w:rsidRPr="00F82364">
        <w:t xml:space="preserve"> (the Act) provides that </w:t>
      </w:r>
      <w:r w:rsidRPr="00F82364">
        <w:rPr>
          <w:color w:val="000000"/>
        </w:rPr>
        <w:t xml:space="preserve">the Minister may, by legislative instrument, determine the pharmaceutical benefits that may be supplied by an approved pharmacist without a prescription, and the conditions that must be satisfied when making a supply of those pharmaceutical benefits. </w:t>
      </w:r>
    </w:p>
    <w:p w14:paraId="28FF1153" w14:textId="77777777" w:rsidR="00E40F4A" w:rsidRPr="00F82364" w:rsidRDefault="00E40F4A">
      <w:pPr>
        <w:rPr>
          <w:b/>
        </w:rPr>
      </w:pPr>
      <w:r w:rsidRPr="00F82364">
        <w:rPr>
          <w:b/>
        </w:rPr>
        <w:t>Purpose</w:t>
      </w:r>
    </w:p>
    <w:p w14:paraId="3264E849" w14:textId="3BDC295E" w:rsidR="00E57338" w:rsidRPr="00F82364" w:rsidRDefault="009361E9" w:rsidP="002643E5">
      <w:pPr>
        <w:jc w:val="both"/>
      </w:pPr>
      <w:r w:rsidRPr="00F82364">
        <w:t xml:space="preserve">The purpose of the </w:t>
      </w:r>
      <w:r w:rsidRPr="00F82364">
        <w:rPr>
          <w:i/>
        </w:rPr>
        <w:t xml:space="preserve">National Health (Pharmaceutical Benefits) (Pharmacist Substitution of Medicines without Prescription during Shortages) </w:t>
      </w:r>
      <w:r w:rsidR="00E57338" w:rsidRPr="00F82364">
        <w:rPr>
          <w:i/>
        </w:rPr>
        <w:t>Amendment (</w:t>
      </w:r>
      <w:r w:rsidR="00E04D8F" w:rsidRPr="00F82364">
        <w:rPr>
          <w:i/>
        </w:rPr>
        <w:t>No. 5</w:t>
      </w:r>
      <w:r w:rsidR="00E57338" w:rsidRPr="00F82364">
        <w:rPr>
          <w:i/>
        </w:rPr>
        <w:t xml:space="preserve">) </w:t>
      </w:r>
      <w:r w:rsidRPr="00F82364">
        <w:rPr>
          <w:i/>
        </w:rPr>
        <w:t xml:space="preserve">Determination </w:t>
      </w:r>
      <w:r w:rsidR="007515BE" w:rsidRPr="00F82364">
        <w:rPr>
          <w:i/>
        </w:rPr>
        <w:t>202</w:t>
      </w:r>
      <w:r w:rsidR="00853CEF" w:rsidRPr="00F82364">
        <w:rPr>
          <w:i/>
        </w:rPr>
        <w:t>4</w:t>
      </w:r>
      <w:r w:rsidRPr="00F82364">
        <w:rPr>
          <w:i/>
        </w:rPr>
        <w:t xml:space="preserve"> </w:t>
      </w:r>
      <w:r w:rsidR="00EE2197" w:rsidRPr="00F82364">
        <w:t>(</w:t>
      </w:r>
      <w:r w:rsidR="00E57338" w:rsidRPr="00F82364">
        <w:t>Amendment</w:t>
      </w:r>
      <w:r w:rsidR="00EE2197" w:rsidRPr="00F82364">
        <w:t xml:space="preserve"> Determination) </w:t>
      </w:r>
      <w:r w:rsidRPr="00F82364">
        <w:t>is</w:t>
      </w:r>
      <w:r w:rsidR="00EE2197" w:rsidRPr="00F82364">
        <w:t> </w:t>
      </w:r>
      <w:r w:rsidRPr="00F82364">
        <w:t>to</w:t>
      </w:r>
      <w:r w:rsidR="00E57338" w:rsidRPr="00F82364">
        <w:rPr>
          <w:iCs/>
        </w:rPr>
        <w:t xml:space="preserve"> amend the</w:t>
      </w:r>
      <w:r w:rsidR="00E57338" w:rsidRPr="00F82364">
        <w:rPr>
          <w:i/>
        </w:rPr>
        <w:t xml:space="preserve"> National Health (Pharmaceutical Benefits) (Pharmacist Substitution of Medicines without Prescription during Shortages) Determination </w:t>
      </w:r>
      <w:r w:rsidR="007515BE" w:rsidRPr="00F82364">
        <w:rPr>
          <w:i/>
        </w:rPr>
        <w:t>202</w:t>
      </w:r>
      <w:r w:rsidR="0033283A" w:rsidRPr="00F82364">
        <w:rPr>
          <w:i/>
        </w:rPr>
        <w:t>1</w:t>
      </w:r>
      <w:r w:rsidR="00E57338" w:rsidRPr="00F82364">
        <w:rPr>
          <w:i/>
        </w:rPr>
        <w:t xml:space="preserve"> </w:t>
      </w:r>
      <w:r w:rsidR="00E57338" w:rsidRPr="00F82364">
        <w:t>(</w:t>
      </w:r>
      <w:r w:rsidR="00F66BB9" w:rsidRPr="00F82364">
        <w:t xml:space="preserve">Principal </w:t>
      </w:r>
      <w:r w:rsidR="00E57338" w:rsidRPr="00F82364">
        <w:t>Determination) to specify new pharmaceutical benefits that may be supplied under the Pharmaceutical Benefits Scheme</w:t>
      </w:r>
      <w:r w:rsidR="008F7542" w:rsidRPr="00F82364">
        <w:t xml:space="preserve"> (PBS)</w:t>
      </w:r>
      <w:r w:rsidR="00E57338" w:rsidRPr="00F82364">
        <w:t xml:space="preserve"> without a prescription, subject to the conditions specified in the </w:t>
      </w:r>
      <w:r w:rsidR="00F66BB9" w:rsidRPr="00F82364">
        <w:t xml:space="preserve">Principal </w:t>
      </w:r>
      <w:r w:rsidR="00E57338" w:rsidRPr="00F82364">
        <w:t xml:space="preserve">Determination. </w:t>
      </w:r>
    </w:p>
    <w:p w14:paraId="21B490B9" w14:textId="77777777" w:rsidR="005677F5" w:rsidRPr="00F82364" w:rsidRDefault="003510EA" w:rsidP="002643E5">
      <w:pPr>
        <w:jc w:val="both"/>
      </w:pPr>
      <w:r w:rsidRPr="00F82364">
        <w:t xml:space="preserve">The </w:t>
      </w:r>
      <w:r w:rsidR="00F66BB9" w:rsidRPr="00F82364">
        <w:t xml:space="preserve">Principal </w:t>
      </w:r>
      <w:r w:rsidRPr="00F82364">
        <w:t>Determination permits an approved pharmacist to supply a substitute pharmaceutical benefit when the pharmaceutical benefit prescribed for the patient is the subject of a Therapeutic Goods Administration (TGA) Serious Scarcity Substitution Instrument (SSSI).</w:t>
      </w:r>
      <w:r w:rsidR="002D6A9B" w:rsidRPr="00F82364">
        <w:t xml:space="preserve"> </w:t>
      </w:r>
    </w:p>
    <w:p w14:paraId="3BF8B4F2" w14:textId="656D68E6" w:rsidR="003B545D" w:rsidRPr="00F82364" w:rsidRDefault="00E04D8F" w:rsidP="002643E5">
      <w:pPr>
        <w:jc w:val="both"/>
      </w:pPr>
      <w:r w:rsidRPr="00F82364">
        <w:t>Novo Nordisk, t</w:t>
      </w:r>
      <w:r w:rsidR="005677F5" w:rsidRPr="00F82364">
        <w:t xml:space="preserve">he </w:t>
      </w:r>
      <w:r w:rsidRPr="00F82364">
        <w:t xml:space="preserve">sponsor of </w:t>
      </w:r>
      <w:proofErr w:type="spellStart"/>
      <w:r w:rsidR="00F13C4C" w:rsidRPr="00F82364">
        <w:t>Protaphane</w:t>
      </w:r>
      <w:proofErr w:type="spellEnd"/>
      <w:r w:rsidR="00F13C4C" w:rsidRPr="00F82364">
        <w:t xml:space="preserve"> </w:t>
      </w:r>
      <w:proofErr w:type="spellStart"/>
      <w:r w:rsidR="00F13C4C" w:rsidRPr="00F82364">
        <w:t>InnoLet</w:t>
      </w:r>
      <w:proofErr w:type="spellEnd"/>
      <w:r w:rsidR="00F13C4C" w:rsidRPr="00F82364">
        <w:t xml:space="preserve"> brand </w:t>
      </w:r>
      <w:r w:rsidR="005677F5" w:rsidRPr="00F82364">
        <w:t xml:space="preserve">containing </w:t>
      </w:r>
      <w:r w:rsidRPr="00F82364">
        <w:t xml:space="preserve">insulin isophane injection </w:t>
      </w:r>
      <w:r w:rsidR="00F13C4C" w:rsidRPr="00F82364">
        <w:t xml:space="preserve">has </w:t>
      </w:r>
      <w:r w:rsidRPr="00F82364">
        <w:t>inform</w:t>
      </w:r>
      <w:r w:rsidR="00F13C4C" w:rsidRPr="00F82364">
        <w:t>ed</w:t>
      </w:r>
      <w:r w:rsidRPr="00F82364">
        <w:t xml:space="preserve"> the TGA that </w:t>
      </w:r>
      <w:r w:rsidR="00710310">
        <w:t>it</w:t>
      </w:r>
      <w:r w:rsidRPr="00F82364">
        <w:t xml:space="preserve"> will </w:t>
      </w:r>
      <w:r w:rsidR="00F13C4C" w:rsidRPr="00F82364">
        <w:t>discontinue</w:t>
      </w:r>
      <w:r w:rsidRPr="00F82364">
        <w:t xml:space="preserve"> the subject brand from </w:t>
      </w:r>
      <w:r w:rsidR="00F13C4C" w:rsidRPr="00F82364">
        <w:t xml:space="preserve">the </w:t>
      </w:r>
      <w:r w:rsidRPr="00F82364">
        <w:t xml:space="preserve">market </w:t>
      </w:r>
      <w:r w:rsidR="00F13C4C" w:rsidRPr="00F82364">
        <w:t>by 1</w:t>
      </w:r>
      <w:r w:rsidR="00710310">
        <w:t> </w:t>
      </w:r>
      <w:r w:rsidR="00F13C4C" w:rsidRPr="00F82364">
        <w:t>February 2025</w:t>
      </w:r>
      <w:r w:rsidRPr="00F82364">
        <w:t>.</w:t>
      </w:r>
      <w:r w:rsidR="003B545D" w:rsidRPr="00F82364">
        <w:t xml:space="preserve"> </w:t>
      </w:r>
      <w:r w:rsidR="005677F5" w:rsidRPr="00F82364">
        <w:t>In response, t</w:t>
      </w:r>
      <w:r w:rsidR="003B545D" w:rsidRPr="00F82364">
        <w:t xml:space="preserve">he TGA </w:t>
      </w:r>
      <w:r w:rsidR="0016321A" w:rsidRPr="00F82364">
        <w:t xml:space="preserve">has issued </w:t>
      </w:r>
      <w:r w:rsidR="003B545D" w:rsidRPr="00F82364">
        <w:t xml:space="preserve">the </w:t>
      </w:r>
      <w:r w:rsidR="003B545D" w:rsidRPr="00F82364">
        <w:rPr>
          <w:i/>
        </w:rPr>
        <w:t xml:space="preserve">Therapeutic Goods (Serious Scarcity and Substitutable Medicine) </w:t>
      </w:r>
      <w:r w:rsidR="00AD16C1" w:rsidRPr="00F82364">
        <w:rPr>
          <w:i/>
        </w:rPr>
        <w:t>(Insulin isophane</w:t>
      </w:r>
      <w:r w:rsidR="003B545D" w:rsidRPr="00F82364">
        <w:rPr>
          <w:i/>
        </w:rPr>
        <w:t>)</w:t>
      </w:r>
      <w:r w:rsidR="005E3E18" w:rsidRPr="00F82364">
        <w:rPr>
          <w:i/>
        </w:rPr>
        <w:t xml:space="preserve"> </w:t>
      </w:r>
      <w:r w:rsidR="003B545D" w:rsidRPr="00F82364">
        <w:rPr>
          <w:i/>
        </w:rPr>
        <w:t xml:space="preserve">Instrument </w:t>
      </w:r>
      <w:r w:rsidR="007515BE" w:rsidRPr="00F82364">
        <w:rPr>
          <w:i/>
        </w:rPr>
        <w:t>202</w:t>
      </w:r>
      <w:r w:rsidR="00F80962" w:rsidRPr="00F82364">
        <w:rPr>
          <w:i/>
        </w:rPr>
        <w:t>4</w:t>
      </w:r>
      <w:r w:rsidR="003B545D" w:rsidRPr="00F82364">
        <w:t>, which allows pharmacists to supply</w:t>
      </w:r>
      <w:r w:rsidR="0059314A" w:rsidRPr="00F82364">
        <w:t xml:space="preserve"> a</w:t>
      </w:r>
      <w:r w:rsidR="003B545D" w:rsidRPr="00F82364">
        <w:t xml:space="preserve"> </w:t>
      </w:r>
      <w:r w:rsidR="00A03642" w:rsidRPr="00F82364">
        <w:t xml:space="preserve">different brand of </w:t>
      </w:r>
      <w:r w:rsidR="00AD16C1" w:rsidRPr="00F82364">
        <w:t xml:space="preserve">insulin isophane injection </w:t>
      </w:r>
      <w:r w:rsidR="00A03642" w:rsidRPr="00F82364">
        <w:t>at equivalent dose</w:t>
      </w:r>
      <w:r w:rsidR="00710310">
        <w:t>s</w:t>
      </w:r>
      <w:r w:rsidR="00A03642" w:rsidRPr="00F82364">
        <w:t xml:space="preserve"> </w:t>
      </w:r>
      <w:r w:rsidR="003B545D" w:rsidRPr="00F82364">
        <w:t xml:space="preserve">for the duration of the shortage provided </w:t>
      </w:r>
      <w:r w:rsidR="005677F5" w:rsidRPr="00F82364">
        <w:t xml:space="preserve">specified </w:t>
      </w:r>
      <w:r w:rsidR="003B545D" w:rsidRPr="00F82364">
        <w:t xml:space="preserve">conditions are met. </w:t>
      </w:r>
    </w:p>
    <w:p w14:paraId="5A9D61BD" w14:textId="31F4CEE1" w:rsidR="006D54E0" w:rsidRPr="00F82364" w:rsidRDefault="003B545D" w:rsidP="002643E5">
      <w:pPr>
        <w:jc w:val="both"/>
      </w:pPr>
      <w:r w:rsidRPr="00F82364">
        <w:rPr>
          <w:bCs/>
        </w:rPr>
        <w:t xml:space="preserve">The purpose of the Amendment Determination is to allow PBS subsidisation of the arrangements </w:t>
      </w:r>
      <w:r w:rsidR="0033283A" w:rsidRPr="00F82364">
        <w:rPr>
          <w:bCs/>
        </w:rPr>
        <w:t>that will be specified</w:t>
      </w:r>
      <w:r w:rsidRPr="00F82364">
        <w:rPr>
          <w:bCs/>
        </w:rPr>
        <w:t xml:space="preserve"> in the </w:t>
      </w:r>
      <w:r w:rsidRPr="00F82364">
        <w:rPr>
          <w:i/>
          <w:iCs/>
        </w:rPr>
        <w:t>Therapeutic Goods (Serious Scarcity and Substitutable Medicine) (</w:t>
      </w:r>
      <w:r w:rsidR="00AD16C1" w:rsidRPr="00F82364">
        <w:rPr>
          <w:i/>
        </w:rPr>
        <w:t>Insulin isophane</w:t>
      </w:r>
      <w:r w:rsidRPr="00F82364">
        <w:rPr>
          <w:i/>
          <w:iCs/>
        </w:rPr>
        <w:t xml:space="preserve">) Instrument </w:t>
      </w:r>
      <w:r w:rsidR="007515BE" w:rsidRPr="00F82364">
        <w:rPr>
          <w:i/>
          <w:iCs/>
        </w:rPr>
        <w:t>202</w:t>
      </w:r>
      <w:r w:rsidR="00F80962" w:rsidRPr="00F82364">
        <w:rPr>
          <w:i/>
          <w:iCs/>
        </w:rPr>
        <w:t>4</w:t>
      </w:r>
      <w:r w:rsidRPr="00F82364">
        <w:rPr>
          <w:i/>
          <w:iCs/>
        </w:rPr>
        <w:t xml:space="preserve">. </w:t>
      </w:r>
      <w:r w:rsidRPr="00F82364">
        <w:t>The Amendment Determination</w:t>
      </w:r>
      <w:r w:rsidR="005677F5" w:rsidRPr="00F82364">
        <w:t xml:space="preserve"> </w:t>
      </w:r>
      <w:r w:rsidR="0033283A" w:rsidRPr="00F82364">
        <w:t>will specify</w:t>
      </w:r>
      <w:r w:rsidR="00243E35" w:rsidRPr="00F82364">
        <w:t xml:space="preserve"> </w:t>
      </w:r>
      <w:r w:rsidR="007F3D88" w:rsidRPr="00F82364">
        <w:t>that</w:t>
      </w:r>
      <w:r w:rsidR="00080985" w:rsidRPr="00F82364">
        <w:t xml:space="preserve"> a</w:t>
      </w:r>
      <w:r w:rsidR="007F3D88" w:rsidRPr="00F82364">
        <w:t xml:space="preserve"> </w:t>
      </w:r>
      <w:r w:rsidR="001464BC" w:rsidRPr="00F82364">
        <w:t xml:space="preserve">different brand </w:t>
      </w:r>
      <w:r w:rsidR="00710310">
        <w:t xml:space="preserve">of </w:t>
      </w:r>
      <w:r w:rsidR="00AD16C1" w:rsidRPr="00F82364">
        <w:t xml:space="preserve">insulin isophane injection </w:t>
      </w:r>
      <w:r w:rsidR="007F3D88" w:rsidRPr="00F82364">
        <w:t xml:space="preserve">at </w:t>
      </w:r>
      <w:r w:rsidR="002D0A87" w:rsidRPr="00F82364">
        <w:t>equivalent dose</w:t>
      </w:r>
      <w:r w:rsidR="00710310">
        <w:t>s</w:t>
      </w:r>
      <w:r w:rsidR="007F3D88" w:rsidRPr="00F82364">
        <w:t xml:space="preserve"> </w:t>
      </w:r>
      <w:r w:rsidR="005677F5" w:rsidRPr="00F82364">
        <w:t>can be supplied without a new prescription</w:t>
      </w:r>
      <w:r w:rsidR="005B641D" w:rsidRPr="00F82364">
        <w:t xml:space="preserve"> in accordance with the specifications and conditions outlined in the SSSI issued by the TGA</w:t>
      </w:r>
      <w:r w:rsidR="00EB6EDD" w:rsidRPr="00F82364">
        <w:t xml:space="preserve">. This minimises the burden on health care professionals and assist with timely access to </w:t>
      </w:r>
      <w:r w:rsidR="007F3D88" w:rsidRPr="00F82364">
        <w:t>medicine supply for patients</w:t>
      </w:r>
      <w:r w:rsidR="00EB6EDD" w:rsidRPr="00F82364">
        <w:t>.</w:t>
      </w:r>
    </w:p>
    <w:p w14:paraId="2CC3B2EF" w14:textId="77777777" w:rsidR="001303CE" w:rsidRPr="00F82364" w:rsidRDefault="001303CE" w:rsidP="00053BC8">
      <w:pPr>
        <w:spacing w:after="0"/>
      </w:pPr>
    </w:p>
    <w:p w14:paraId="40DBEF7C" w14:textId="4363B0B4" w:rsidR="00C76D6F" w:rsidRPr="00F82364" w:rsidRDefault="00C76D6F" w:rsidP="002643E5">
      <w:pPr>
        <w:spacing w:after="0"/>
        <w:jc w:val="both"/>
      </w:pPr>
      <w:r w:rsidRPr="00F82364">
        <w:t xml:space="preserve">The </w:t>
      </w:r>
      <w:r w:rsidR="005B641D" w:rsidRPr="00F82364">
        <w:t>Amendment</w:t>
      </w:r>
      <w:r w:rsidR="00F66BB9" w:rsidRPr="00F82364">
        <w:t xml:space="preserve"> </w:t>
      </w:r>
      <w:r w:rsidRPr="00F82364">
        <w:t xml:space="preserve">Determination permits the supply by an approved pharmacist of </w:t>
      </w:r>
      <w:r w:rsidR="005B641D" w:rsidRPr="00F82364">
        <w:t xml:space="preserve">the </w:t>
      </w:r>
      <w:r w:rsidRPr="00F82364">
        <w:t>specified substitute pharmaceutical benefit</w:t>
      </w:r>
      <w:r w:rsidR="005B641D" w:rsidRPr="00F82364">
        <w:t xml:space="preserve"> containing the drug </w:t>
      </w:r>
      <w:bookmarkStart w:id="1" w:name="_Hlk183434880"/>
      <w:r w:rsidR="00AD16C1" w:rsidRPr="00F82364">
        <w:t>insulin isophane</w:t>
      </w:r>
      <w:r w:rsidR="001B0071" w:rsidRPr="00F82364">
        <w:t xml:space="preserve"> </w:t>
      </w:r>
      <w:bookmarkEnd w:id="1"/>
      <w:r w:rsidR="005B641D" w:rsidRPr="00F82364">
        <w:t xml:space="preserve">in the manner of </w:t>
      </w:r>
      <w:r w:rsidR="00AD16C1" w:rsidRPr="00F82364">
        <w:t>injection</w:t>
      </w:r>
      <w:r w:rsidR="00F254AF" w:rsidRPr="00F82364">
        <w:t xml:space="preserve"> </w:t>
      </w:r>
      <w:r w:rsidR="005B641D" w:rsidRPr="00F82364">
        <w:t>administration</w:t>
      </w:r>
      <w:r w:rsidR="00F254AF" w:rsidRPr="00F82364">
        <w:t xml:space="preserve"> </w:t>
      </w:r>
      <w:r w:rsidRPr="00F82364">
        <w:t xml:space="preserve">in situations where the substitute benefit may be dispensed in accordance with section 30EL of the </w:t>
      </w:r>
      <w:r w:rsidRPr="00F82364">
        <w:rPr>
          <w:i/>
        </w:rPr>
        <w:t>Therapeutic Goods Act 1989</w:t>
      </w:r>
      <w:r w:rsidRPr="00F82364">
        <w:t xml:space="preserve"> and </w:t>
      </w:r>
      <w:r w:rsidR="005B641D" w:rsidRPr="00F82364">
        <w:t>it</w:t>
      </w:r>
      <w:r w:rsidRPr="00F82364">
        <w:t xml:space="preserve"> is supplied:</w:t>
      </w:r>
    </w:p>
    <w:p w14:paraId="1E2EA094" w14:textId="77777777" w:rsidR="00EB42FD" w:rsidRPr="00F82364" w:rsidRDefault="00EB42FD" w:rsidP="002643E5">
      <w:pPr>
        <w:spacing w:after="0"/>
        <w:jc w:val="both"/>
      </w:pPr>
    </w:p>
    <w:p w14:paraId="58C0A034" w14:textId="1F7E84F8" w:rsidR="002E2814" w:rsidRPr="00F82364" w:rsidRDefault="002E2814" w:rsidP="005C0880">
      <w:pPr>
        <w:pStyle w:val="ListParagraph"/>
        <w:numPr>
          <w:ilvl w:val="0"/>
          <w:numId w:val="2"/>
        </w:numPr>
      </w:pPr>
      <w:r w:rsidRPr="00F82364">
        <w:t>to a person with a PBS prescription for</w:t>
      </w:r>
      <w:r w:rsidR="008B5B37" w:rsidRPr="00F82364">
        <w:t xml:space="preserve"> </w:t>
      </w:r>
      <w:r w:rsidR="005B641D" w:rsidRPr="00F82364">
        <w:t>the</w:t>
      </w:r>
      <w:r w:rsidR="008B5B37" w:rsidRPr="00F82364">
        <w:t xml:space="preserve"> specified form of </w:t>
      </w:r>
      <w:r w:rsidR="00AD16C1" w:rsidRPr="00F82364">
        <w:t>insulin isophane</w:t>
      </w:r>
      <w:r w:rsidR="00F80962" w:rsidRPr="00F82364">
        <w:t xml:space="preserve"> </w:t>
      </w:r>
      <w:r w:rsidRPr="00F82364">
        <w:t xml:space="preserve">subject to serious </w:t>
      </w:r>
      <w:proofErr w:type="gramStart"/>
      <w:r w:rsidRPr="00F82364">
        <w:t>shortage</w:t>
      </w:r>
      <w:r w:rsidR="008B5B37" w:rsidRPr="00F82364">
        <w:t>s;</w:t>
      </w:r>
      <w:proofErr w:type="gramEnd"/>
    </w:p>
    <w:p w14:paraId="70CEC208" w14:textId="05698B14" w:rsidR="002E2814" w:rsidRPr="00F82364" w:rsidRDefault="002E2814" w:rsidP="005C0880">
      <w:pPr>
        <w:pStyle w:val="ListParagraph"/>
        <w:numPr>
          <w:ilvl w:val="0"/>
          <w:numId w:val="2"/>
        </w:numPr>
      </w:pPr>
      <w:r w:rsidRPr="00F82364">
        <w:lastRenderedPageBreak/>
        <w:t xml:space="preserve">where it is not practicable to obtain a prescription from a PBS prescriber </w:t>
      </w:r>
      <w:r w:rsidR="0033283A" w:rsidRPr="00F82364">
        <w:t>for</w:t>
      </w:r>
      <w:r w:rsidR="00243E35" w:rsidRPr="00F82364">
        <w:t xml:space="preserve"> </w:t>
      </w:r>
      <w:r w:rsidR="005B641D" w:rsidRPr="00F82364">
        <w:t>the specified</w:t>
      </w:r>
      <w:r w:rsidRPr="00F82364">
        <w:t xml:space="preserve"> substitute </w:t>
      </w:r>
      <w:r w:rsidR="005B641D" w:rsidRPr="00F82364">
        <w:t>pharmaceutical benefits</w:t>
      </w:r>
      <w:r w:rsidRPr="00F82364">
        <w:t xml:space="preserve"> before the person needs the supply </w:t>
      </w:r>
      <w:r w:rsidR="00F80962" w:rsidRPr="00F82364">
        <w:t xml:space="preserve">of </w:t>
      </w:r>
      <w:r w:rsidR="00AD16C1" w:rsidRPr="00F82364">
        <w:t xml:space="preserve">insulin </w:t>
      </w:r>
      <w:proofErr w:type="gramStart"/>
      <w:r w:rsidR="00AD16C1" w:rsidRPr="00F82364">
        <w:t>isophane</w:t>
      </w:r>
      <w:r w:rsidR="008B5B37" w:rsidRPr="00F82364">
        <w:t>;</w:t>
      </w:r>
      <w:proofErr w:type="gramEnd"/>
      <w:r w:rsidR="008B5B37" w:rsidRPr="00F82364">
        <w:t xml:space="preserve"> </w:t>
      </w:r>
    </w:p>
    <w:p w14:paraId="7C092EC8" w14:textId="015FFAB6" w:rsidR="002E2814" w:rsidRPr="00F82364" w:rsidRDefault="005B641D" w:rsidP="005C0880">
      <w:pPr>
        <w:pStyle w:val="ListParagraph"/>
        <w:numPr>
          <w:ilvl w:val="0"/>
          <w:numId w:val="2"/>
        </w:numPr>
      </w:pPr>
      <w:r w:rsidRPr="00F82364">
        <w:t xml:space="preserve">by </w:t>
      </w:r>
      <w:r w:rsidR="002E2814" w:rsidRPr="00F82364">
        <w:t xml:space="preserve">the pharmacist </w:t>
      </w:r>
      <w:r w:rsidRPr="00F82364">
        <w:t>having disclosed</w:t>
      </w:r>
      <w:r w:rsidR="002E2814" w:rsidRPr="00F82364">
        <w:t xml:space="preserve"> information</w:t>
      </w:r>
      <w:r w:rsidRPr="00F82364">
        <w:t xml:space="preserve"> about additional costs</w:t>
      </w:r>
      <w:r w:rsidR="002E2814" w:rsidRPr="00F82364">
        <w:t xml:space="preserve"> to </w:t>
      </w:r>
      <w:r w:rsidRPr="00F82364">
        <w:t>the patient or their agent to that they are able</w:t>
      </w:r>
      <w:r w:rsidR="002E2814" w:rsidRPr="00F82364">
        <w:t xml:space="preserve"> to make an informed decision before proceeding with the substitute supply</w:t>
      </w:r>
      <w:r w:rsidR="00620800" w:rsidRPr="00F82364">
        <w:t>.</w:t>
      </w:r>
      <w:r w:rsidR="008B5B37" w:rsidRPr="00F82364">
        <w:t xml:space="preserve"> </w:t>
      </w:r>
      <w:r w:rsidRPr="00F82364">
        <w:t>This includes</w:t>
      </w:r>
      <w:r w:rsidR="005E3E18" w:rsidRPr="00F82364">
        <w:t xml:space="preserve"> the </w:t>
      </w:r>
      <w:r w:rsidRPr="00F82364">
        <w:t>cost to the patient if the substitution is subsidised through the PBS and the cost to the patient if the substitution is a private prescription; and</w:t>
      </w:r>
    </w:p>
    <w:p w14:paraId="664A2E03" w14:textId="642FA9C2" w:rsidR="000B2FA3" w:rsidRPr="00F82364" w:rsidRDefault="000B2FA3" w:rsidP="005C0880">
      <w:pPr>
        <w:pStyle w:val="ListParagraph"/>
        <w:numPr>
          <w:ilvl w:val="0"/>
          <w:numId w:val="2"/>
        </w:numPr>
      </w:pPr>
      <w:r w:rsidRPr="00F82364">
        <w:t xml:space="preserve">the substitute pharmaceutical benefit containing </w:t>
      </w:r>
      <w:r w:rsidR="00AD16C1" w:rsidRPr="00F82364">
        <w:t>insulin isophane</w:t>
      </w:r>
      <w:r w:rsidR="00F80962" w:rsidRPr="00F82364">
        <w:t xml:space="preserve"> </w:t>
      </w:r>
      <w:r w:rsidRPr="00F82364">
        <w:t xml:space="preserve">in the manner of </w:t>
      </w:r>
      <w:r w:rsidR="00AD16C1" w:rsidRPr="00F82364">
        <w:t>injection</w:t>
      </w:r>
      <w:r w:rsidR="005F5E8F" w:rsidRPr="00F82364">
        <w:t xml:space="preserve"> </w:t>
      </w:r>
      <w:r w:rsidRPr="00F82364">
        <w:t xml:space="preserve">administration is eligible for dispensing as a pharmaceutical benefit as outlined in this instrument. </w:t>
      </w:r>
    </w:p>
    <w:p w14:paraId="776B865F" w14:textId="5096E620" w:rsidR="008635FF" w:rsidRPr="00F82364" w:rsidRDefault="005B641D" w:rsidP="00907248">
      <w:pPr>
        <w:pStyle w:val="null"/>
        <w:spacing w:before="0" w:beforeAutospacing="0" w:after="0" w:afterAutospacing="0"/>
        <w:jc w:val="both"/>
        <w:rPr>
          <w:rFonts w:ascii="Times New Roman" w:hAnsi="Times New Roman" w:cs="Times New Roman"/>
          <w:sz w:val="24"/>
          <w:szCs w:val="24"/>
        </w:rPr>
      </w:pPr>
      <w:proofErr w:type="gramStart"/>
      <w:r w:rsidRPr="00F82364">
        <w:rPr>
          <w:rFonts w:ascii="Times New Roman" w:hAnsi="Times New Roman" w:cs="Times New Roman"/>
          <w:sz w:val="24"/>
          <w:szCs w:val="24"/>
        </w:rPr>
        <w:t>In order for</w:t>
      </w:r>
      <w:proofErr w:type="gramEnd"/>
      <w:r w:rsidRPr="00F82364">
        <w:rPr>
          <w:rFonts w:ascii="Times New Roman" w:hAnsi="Times New Roman" w:cs="Times New Roman"/>
          <w:sz w:val="24"/>
          <w:szCs w:val="24"/>
        </w:rPr>
        <w:t xml:space="preserve"> the specified substitute pharmaceutical benefits to be dispensed in accordance with section 30EL of the </w:t>
      </w:r>
      <w:r w:rsidRPr="00F82364">
        <w:rPr>
          <w:rFonts w:ascii="Times New Roman" w:hAnsi="Times New Roman" w:cs="Times New Roman"/>
          <w:i/>
          <w:iCs/>
          <w:sz w:val="24"/>
          <w:szCs w:val="24"/>
        </w:rPr>
        <w:t>Therapeutic Goods Act 1989</w:t>
      </w:r>
      <w:r w:rsidRPr="00F82364">
        <w:rPr>
          <w:rFonts w:ascii="Times New Roman" w:hAnsi="Times New Roman" w:cs="Times New Roman"/>
          <w:sz w:val="24"/>
          <w:szCs w:val="24"/>
        </w:rPr>
        <w:t>, among other things</w:t>
      </w:r>
      <w:r w:rsidR="00A076BB" w:rsidRPr="00F82364">
        <w:rPr>
          <w:rFonts w:ascii="Times New Roman" w:hAnsi="Times New Roman" w:cs="Times New Roman"/>
          <w:sz w:val="24"/>
          <w:szCs w:val="24"/>
        </w:rPr>
        <w:t>,</w:t>
      </w:r>
      <w:r w:rsidRPr="00F82364">
        <w:rPr>
          <w:rFonts w:ascii="Times New Roman" w:hAnsi="Times New Roman" w:cs="Times New Roman"/>
          <w:sz w:val="24"/>
          <w:szCs w:val="24"/>
        </w:rPr>
        <w:t xml:space="preserve"> </w:t>
      </w:r>
      <w:r w:rsidR="002D59F7" w:rsidRPr="00F82364">
        <w:rPr>
          <w:rFonts w:ascii="Times New Roman" w:hAnsi="Times New Roman" w:cs="Times New Roman"/>
          <w:sz w:val="24"/>
          <w:szCs w:val="24"/>
        </w:rPr>
        <w:t xml:space="preserve">the </w:t>
      </w:r>
      <w:r w:rsidR="008413E5">
        <w:rPr>
          <w:rFonts w:ascii="Times New Roman" w:hAnsi="Times New Roman" w:cs="Times New Roman"/>
          <w:sz w:val="24"/>
          <w:szCs w:val="24"/>
        </w:rPr>
        <w:t>pharmacist must</w:t>
      </w:r>
      <w:r w:rsidR="002D59F7" w:rsidRPr="00F82364">
        <w:rPr>
          <w:rFonts w:ascii="Times New Roman" w:hAnsi="Times New Roman" w:cs="Times New Roman"/>
          <w:sz w:val="24"/>
          <w:szCs w:val="24"/>
        </w:rPr>
        <w:t>:</w:t>
      </w:r>
    </w:p>
    <w:p w14:paraId="5D2C9F8E" w14:textId="77777777" w:rsidR="00AC25EE" w:rsidRPr="00F82364" w:rsidRDefault="00AC25EE" w:rsidP="00907248">
      <w:pPr>
        <w:pStyle w:val="null"/>
        <w:spacing w:before="0" w:beforeAutospacing="0" w:after="0" w:afterAutospacing="0"/>
        <w:jc w:val="both"/>
        <w:rPr>
          <w:rFonts w:ascii="Times New Roman" w:hAnsi="Times New Roman" w:cs="Times New Roman"/>
          <w:sz w:val="24"/>
          <w:szCs w:val="24"/>
        </w:rPr>
      </w:pPr>
    </w:p>
    <w:p w14:paraId="310AA32A" w14:textId="5A0E79AE" w:rsidR="00800EFE" w:rsidRPr="00F82364" w:rsidRDefault="00800EFE" w:rsidP="00800EFE">
      <w:pPr>
        <w:numPr>
          <w:ilvl w:val="0"/>
          <w:numId w:val="9"/>
        </w:numPr>
      </w:pPr>
      <w:r w:rsidRPr="00F82364">
        <w:t>ensure the patient, or person acting on behalf of the patient, has, or is given, a suitable insulin delivery system to administer the substitutable medicine.</w:t>
      </w:r>
    </w:p>
    <w:p w14:paraId="0022580E" w14:textId="6DB93FDF" w:rsidR="00800EFE" w:rsidRPr="00F82364" w:rsidRDefault="00800EFE" w:rsidP="00800EFE">
      <w:pPr>
        <w:numPr>
          <w:ilvl w:val="0"/>
          <w:numId w:val="10"/>
        </w:numPr>
      </w:pPr>
      <w:r w:rsidRPr="00F82364">
        <w:t xml:space="preserve">advise </w:t>
      </w:r>
      <w:r w:rsidR="008413E5">
        <w:t xml:space="preserve">the patient, </w:t>
      </w:r>
      <w:r w:rsidRPr="00F82364">
        <w:t>or person acting on behalf of the patient:</w:t>
      </w:r>
    </w:p>
    <w:p w14:paraId="4098C3BD" w14:textId="77777777" w:rsidR="00800EFE" w:rsidRPr="00F82364" w:rsidRDefault="00800EFE" w:rsidP="00800EFE">
      <w:pPr>
        <w:numPr>
          <w:ilvl w:val="1"/>
          <w:numId w:val="10"/>
        </w:numPr>
      </w:pPr>
      <w:r w:rsidRPr="00F82364">
        <w:t>of suitable instructions for administering the substitutable medicine, including using the insulin delivery system; or</w:t>
      </w:r>
    </w:p>
    <w:p w14:paraId="3F99FB69" w14:textId="77777777" w:rsidR="00800EFE" w:rsidRPr="00F82364" w:rsidRDefault="00800EFE" w:rsidP="00800EFE">
      <w:pPr>
        <w:numPr>
          <w:ilvl w:val="1"/>
          <w:numId w:val="10"/>
        </w:numPr>
      </w:pPr>
      <w:r w:rsidRPr="00F82364">
        <w:t>where the pharmacist is unable to provide suitable instructions—to obtain suitable instructions for administering the substitutable medicine, including using the insulin delivery system, from the prescriber, a suitably qualified health practitioner or a credentialled diabetes educator; and</w:t>
      </w:r>
    </w:p>
    <w:p w14:paraId="14D0DD65" w14:textId="3BB8329A" w:rsidR="00800EFE" w:rsidRPr="00F82364" w:rsidRDefault="00800EFE" w:rsidP="00800EFE">
      <w:pPr>
        <w:numPr>
          <w:ilvl w:val="0"/>
          <w:numId w:val="10"/>
        </w:numPr>
      </w:pPr>
      <w:r w:rsidRPr="00F82364">
        <w:t>advise the patient, or person acting on behalf of the patient, of the number of dose units of substitutable medicine that must be administered to the patient in substitution for the prescribed dose of scarce medicine, based on the dose unit equivalence specified</w:t>
      </w:r>
      <w:r w:rsidR="00BA527A">
        <w:t>.</w:t>
      </w:r>
    </w:p>
    <w:p w14:paraId="22BF52CB" w14:textId="477838CC" w:rsidR="001464BC" w:rsidRPr="00F82364" w:rsidRDefault="00800EFE" w:rsidP="00800EFE">
      <w:pPr>
        <w:numPr>
          <w:ilvl w:val="0"/>
          <w:numId w:val="10"/>
        </w:numPr>
      </w:pPr>
      <w:r w:rsidRPr="00F82364">
        <w:t>advise the patient, or person acting on behalf of the patient, of the differences between the scarce medicine and substitutable medicine</w:t>
      </w:r>
    </w:p>
    <w:p w14:paraId="6DC79FBA" w14:textId="50106F28" w:rsidR="00786A03" w:rsidRPr="00F82364" w:rsidRDefault="00786A03" w:rsidP="00786A03">
      <w:pPr>
        <w:jc w:val="both"/>
      </w:pPr>
      <w:r w:rsidRPr="00F82364">
        <w:t xml:space="preserve">The Amendment Determination commences on </w:t>
      </w:r>
      <w:r w:rsidR="007119BC" w:rsidRPr="00F82364">
        <w:t>1</w:t>
      </w:r>
      <w:r w:rsidR="00800EFE" w:rsidRPr="00F82364">
        <w:t>6 December</w:t>
      </w:r>
      <w:r w:rsidR="007119BC" w:rsidRPr="00F82364">
        <w:t xml:space="preserve"> 2024</w:t>
      </w:r>
      <w:r w:rsidRPr="00F82364">
        <w:t>.</w:t>
      </w:r>
    </w:p>
    <w:p w14:paraId="5EADBE6F" w14:textId="77777777" w:rsidR="002918D5" w:rsidRPr="00F82364" w:rsidRDefault="002918D5" w:rsidP="002918D5">
      <w:pPr>
        <w:jc w:val="both"/>
      </w:pPr>
      <w:r w:rsidRPr="00F82364">
        <w:t>The Amendment Determination is a legislative instrument for the purposes of the </w:t>
      </w:r>
      <w:r w:rsidRPr="00F82364">
        <w:rPr>
          <w:i/>
        </w:rPr>
        <w:t>Legislation Act 2003</w:t>
      </w:r>
      <w:r w:rsidRPr="00F82364">
        <w:t>.</w:t>
      </w:r>
    </w:p>
    <w:p w14:paraId="21308085" w14:textId="3C13B65F" w:rsidR="002918D5" w:rsidRPr="00F82364" w:rsidRDefault="002918D5" w:rsidP="00786A03">
      <w:pPr>
        <w:jc w:val="both"/>
      </w:pPr>
      <w:r w:rsidRPr="00F82364">
        <w:t>A provision-by-provision description of the Amendment Determination is contained in the Attachment.</w:t>
      </w:r>
    </w:p>
    <w:p w14:paraId="5B5E1C1F" w14:textId="77777777" w:rsidR="00E40F4A" w:rsidRPr="00F82364" w:rsidRDefault="00E40F4A" w:rsidP="002643E5">
      <w:pPr>
        <w:jc w:val="both"/>
        <w:rPr>
          <w:b/>
        </w:rPr>
      </w:pPr>
      <w:r w:rsidRPr="00F82364">
        <w:rPr>
          <w:b/>
        </w:rPr>
        <w:t>Consultation</w:t>
      </w:r>
    </w:p>
    <w:p w14:paraId="0476B556" w14:textId="3224DFE7" w:rsidR="00476CDE" w:rsidRPr="00F82364" w:rsidRDefault="00476CDE" w:rsidP="002643E5">
      <w:pPr>
        <w:jc w:val="both"/>
      </w:pPr>
      <w:r w:rsidRPr="00F82364">
        <w:t xml:space="preserve">The Amendment Determination reflects the intention of previous consultation. </w:t>
      </w:r>
    </w:p>
    <w:p w14:paraId="25DB6A5A" w14:textId="3286CE27" w:rsidR="004B3DDF" w:rsidRPr="00F82364" w:rsidRDefault="00B90AB3" w:rsidP="002643E5">
      <w:pPr>
        <w:jc w:val="both"/>
      </w:pPr>
      <w:r w:rsidRPr="00F82364">
        <w:t>I</w:t>
      </w:r>
      <w:r w:rsidR="00253FFC" w:rsidRPr="00F82364">
        <w:t>n relation to the Amendment Determination</w:t>
      </w:r>
      <w:r w:rsidRPr="00F82364">
        <w:t>,</w:t>
      </w:r>
      <w:r w:rsidR="00253FFC" w:rsidRPr="00F82364">
        <w:t xml:space="preserve"> </w:t>
      </w:r>
      <w:r w:rsidRPr="00F82364">
        <w:t>c</w:t>
      </w:r>
      <w:r w:rsidR="00253FFC" w:rsidRPr="00F82364">
        <w:t xml:space="preserve">onsultation </w:t>
      </w:r>
      <w:r w:rsidRPr="00F82364">
        <w:t xml:space="preserve">was undertaken </w:t>
      </w:r>
      <w:r w:rsidR="00253FFC" w:rsidRPr="00F82364">
        <w:t xml:space="preserve">with the Chair and relevant expert members of the Pharmaceutical Benefits Advisory Committee (PBAC), </w:t>
      </w:r>
      <w:r w:rsidR="00253FFC" w:rsidRPr="00F82364">
        <w:rPr>
          <w:rFonts w:eastAsia="Calibri"/>
          <w:iCs/>
        </w:rPr>
        <w:t>an independent, expert advisory body that recommends medicines for listing on the PBS. Consultation with PBAC experts focused on specific</w:t>
      </w:r>
      <w:r w:rsidR="00253FFC" w:rsidRPr="00F82364">
        <w:t xml:space="preserve"> advice about the appropriateness of PBS subsidisation for the Amendment </w:t>
      </w:r>
      <w:r w:rsidR="00371767" w:rsidRPr="00F82364">
        <w:t>Determination</w:t>
      </w:r>
      <w:r w:rsidR="00253FFC" w:rsidRPr="00F82364">
        <w:t>. The PBAC experts endorsed the proposed approach as it was considered that the substitution arrangement is necessary, with limited other options available for patients</w:t>
      </w:r>
      <w:r w:rsidR="004B3DDF" w:rsidRPr="00F82364">
        <w:t xml:space="preserve"> during the current shortage</w:t>
      </w:r>
      <w:r w:rsidR="00253FFC" w:rsidRPr="00F82364">
        <w:t xml:space="preserve"> needing replacement as quickly as possible.</w:t>
      </w:r>
    </w:p>
    <w:p w14:paraId="411B6925" w14:textId="2C520274" w:rsidR="00C034F3" w:rsidRPr="00F82364" w:rsidRDefault="00C034F3" w:rsidP="002643E5">
      <w:pPr>
        <w:jc w:val="both"/>
        <w:rPr>
          <w:b/>
        </w:rPr>
      </w:pPr>
      <w:r w:rsidRPr="00F82364">
        <w:lastRenderedPageBreak/>
        <w:t xml:space="preserve">It is noted the </w:t>
      </w:r>
      <w:r w:rsidR="00D962DB" w:rsidRPr="00F82364">
        <w:t>TGA</w:t>
      </w:r>
      <w:r w:rsidRPr="00F82364">
        <w:t xml:space="preserve"> conducted consultation on the appropriateness of the substitutions and consultation on this Amendment Determination was limited to the appropriateness of a PBS subsidy for the substitute medicines. No further consultation was deemed necessary, as consultation with the PBAC Chair drew on the knowledge of relevant experts.</w:t>
      </w:r>
    </w:p>
    <w:p w14:paraId="39DD0394" w14:textId="790214B6" w:rsidR="00E40F4A" w:rsidRPr="00F82364" w:rsidRDefault="005B1624" w:rsidP="00052A95">
      <w:pPr>
        <w:jc w:val="center"/>
        <w:rPr>
          <w:b/>
        </w:rPr>
      </w:pPr>
      <w:r w:rsidRPr="00F82364">
        <w:rPr>
          <w:b/>
        </w:rPr>
        <w:br w:type="page"/>
      </w:r>
      <w:r w:rsidR="00E40F4A" w:rsidRPr="00F82364">
        <w:rPr>
          <w:b/>
        </w:rPr>
        <w:lastRenderedPageBreak/>
        <w:t>ATTACHMENT</w:t>
      </w:r>
    </w:p>
    <w:p w14:paraId="6EDF1C6E" w14:textId="77777777" w:rsidR="00E40F4A" w:rsidRPr="00F82364" w:rsidRDefault="00E40F4A" w:rsidP="00E40F4A">
      <w:pPr>
        <w:jc w:val="right"/>
        <w:rPr>
          <w:b/>
        </w:rPr>
      </w:pPr>
    </w:p>
    <w:p w14:paraId="1E40F2EC" w14:textId="155FF688" w:rsidR="008E4E94" w:rsidRPr="00F82364" w:rsidRDefault="00372527" w:rsidP="002643E5">
      <w:pPr>
        <w:jc w:val="both"/>
        <w:rPr>
          <w:b/>
          <w:i/>
        </w:rPr>
      </w:pPr>
      <w:r w:rsidRPr="00F82364">
        <w:rPr>
          <w:b/>
        </w:rPr>
        <w:t>Details</w:t>
      </w:r>
      <w:r w:rsidR="00E40F4A" w:rsidRPr="00F82364">
        <w:rPr>
          <w:b/>
        </w:rPr>
        <w:t xml:space="preserve"> of the </w:t>
      </w:r>
      <w:r w:rsidR="008E4E94" w:rsidRPr="00F82364">
        <w:rPr>
          <w:b/>
          <w:i/>
        </w:rPr>
        <w:t>National Health (Pharmaceutical Benefits) (Pharmacist Substitution of Medicines without Prescription during Shortages) Amendment (</w:t>
      </w:r>
      <w:r w:rsidR="00E04D8F" w:rsidRPr="00F82364">
        <w:rPr>
          <w:b/>
          <w:i/>
        </w:rPr>
        <w:t>No. 5</w:t>
      </w:r>
      <w:r w:rsidR="008E4E94" w:rsidRPr="00F82364">
        <w:rPr>
          <w:b/>
          <w:i/>
        </w:rPr>
        <w:t xml:space="preserve">) Determination </w:t>
      </w:r>
      <w:r w:rsidR="007515BE" w:rsidRPr="00F82364">
        <w:rPr>
          <w:b/>
          <w:i/>
        </w:rPr>
        <w:t>202</w:t>
      </w:r>
      <w:r w:rsidR="00853CEF" w:rsidRPr="00F82364">
        <w:rPr>
          <w:b/>
          <w:i/>
        </w:rPr>
        <w:t>4</w:t>
      </w:r>
    </w:p>
    <w:p w14:paraId="6E90B69E" w14:textId="77777777" w:rsidR="00E40F4A" w:rsidRPr="00F82364" w:rsidRDefault="00E40F4A" w:rsidP="002643E5">
      <w:pPr>
        <w:jc w:val="both"/>
        <w:rPr>
          <w:b/>
        </w:rPr>
      </w:pPr>
      <w:r w:rsidRPr="00F82364">
        <w:rPr>
          <w:b/>
        </w:rPr>
        <w:t>Section 1</w:t>
      </w:r>
      <w:r w:rsidRPr="00F82364">
        <w:rPr>
          <w:b/>
        </w:rPr>
        <w:tab/>
        <w:t>Name</w:t>
      </w:r>
    </w:p>
    <w:p w14:paraId="40BABAD1" w14:textId="0CD2FABD" w:rsidR="00E40F4A" w:rsidRPr="00F82364" w:rsidRDefault="009361E9" w:rsidP="002643E5">
      <w:pPr>
        <w:jc w:val="both"/>
        <w:rPr>
          <w:b/>
          <w:i/>
        </w:rPr>
      </w:pPr>
      <w:r w:rsidRPr="00F82364">
        <w:t xml:space="preserve">This section provides </w:t>
      </w:r>
      <w:r w:rsidR="00372527" w:rsidRPr="00F82364">
        <w:t xml:space="preserve">that the name of the </w:t>
      </w:r>
      <w:r w:rsidR="003510EA" w:rsidRPr="00F82364">
        <w:t xml:space="preserve">Amendment Determination is the </w:t>
      </w:r>
      <w:r w:rsidR="008E4E94" w:rsidRPr="00F82364">
        <w:rPr>
          <w:bCs/>
          <w:i/>
        </w:rPr>
        <w:t>National Health (Pharmaceutical Benefits) (Pharmacist Substitution of Medicines without Prescription during Shortages) Amendment (</w:t>
      </w:r>
      <w:r w:rsidR="00E04D8F" w:rsidRPr="00F82364">
        <w:rPr>
          <w:bCs/>
          <w:i/>
        </w:rPr>
        <w:t>No. 5</w:t>
      </w:r>
      <w:r w:rsidR="008E4E94" w:rsidRPr="00F82364">
        <w:rPr>
          <w:bCs/>
          <w:i/>
        </w:rPr>
        <w:t xml:space="preserve">) Determination </w:t>
      </w:r>
      <w:r w:rsidR="007515BE" w:rsidRPr="00F82364">
        <w:rPr>
          <w:bCs/>
          <w:i/>
        </w:rPr>
        <w:t>202</w:t>
      </w:r>
      <w:r w:rsidR="00E75B65" w:rsidRPr="00F82364">
        <w:rPr>
          <w:bCs/>
          <w:i/>
        </w:rPr>
        <w:t>4</w:t>
      </w:r>
      <w:r w:rsidR="008E4E94" w:rsidRPr="00F82364">
        <w:rPr>
          <w:bCs/>
          <w:iCs/>
        </w:rPr>
        <w:t>.</w:t>
      </w:r>
    </w:p>
    <w:p w14:paraId="569DC1A9" w14:textId="218526F4" w:rsidR="00E40F4A" w:rsidRPr="00F82364" w:rsidRDefault="009361E9" w:rsidP="002643E5">
      <w:pPr>
        <w:jc w:val="both"/>
        <w:rPr>
          <w:b/>
        </w:rPr>
      </w:pPr>
      <w:r w:rsidRPr="00F82364">
        <w:t xml:space="preserve">This section also provides that the </w:t>
      </w:r>
      <w:r w:rsidR="004B3DDF" w:rsidRPr="00F82364">
        <w:t>Amendment Determination</w:t>
      </w:r>
      <w:r w:rsidRPr="00F82364">
        <w:t xml:space="preserve"> may be cited as </w:t>
      </w:r>
      <w:r w:rsidR="00E04D8F" w:rsidRPr="00F82364">
        <w:t>PB 137</w:t>
      </w:r>
      <w:r w:rsidR="00800EFE" w:rsidRPr="00F82364">
        <w:t xml:space="preserve"> </w:t>
      </w:r>
      <w:r w:rsidRPr="00F82364">
        <w:t xml:space="preserve">of </w:t>
      </w:r>
      <w:r w:rsidR="007515BE" w:rsidRPr="00F82364">
        <w:t>202</w:t>
      </w:r>
      <w:r w:rsidR="00E75B65" w:rsidRPr="00F82364">
        <w:t>4</w:t>
      </w:r>
      <w:r w:rsidRPr="00F82364">
        <w:t>.</w:t>
      </w:r>
    </w:p>
    <w:p w14:paraId="7D1B5326" w14:textId="77777777" w:rsidR="00E40F4A" w:rsidRPr="00F82364" w:rsidRDefault="00E40F4A" w:rsidP="002643E5">
      <w:pPr>
        <w:jc w:val="both"/>
        <w:rPr>
          <w:b/>
        </w:rPr>
      </w:pPr>
      <w:r w:rsidRPr="00F82364">
        <w:rPr>
          <w:b/>
        </w:rPr>
        <w:t>Section 2</w:t>
      </w:r>
      <w:r w:rsidRPr="00F82364">
        <w:rPr>
          <w:b/>
        </w:rPr>
        <w:tab/>
        <w:t>Commencement</w:t>
      </w:r>
    </w:p>
    <w:p w14:paraId="1C51C215" w14:textId="0239B75E" w:rsidR="00E40F4A" w:rsidRPr="00F82364" w:rsidRDefault="00621B3F" w:rsidP="002643E5">
      <w:pPr>
        <w:jc w:val="both"/>
      </w:pPr>
      <w:r w:rsidRPr="00F82364">
        <w:t xml:space="preserve">This section provides that the </w:t>
      </w:r>
      <w:r w:rsidR="005B1E28" w:rsidRPr="00F82364">
        <w:t xml:space="preserve">Amendment </w:t>
      </w:r>
      <w:r w:rsidRPr="00F82364">
        <w:t xml:space="preserve">Determination commences </w:t>
      </w:r>
      <w:r w:rsidR="00786242" w:rsidRPr="00F82364">
        <w:t xml:space="preserve">on </w:t>
      </w:r>
      <w:r w:rsidR="007119BC" w:rsidRPr="00F82364">
        <w:t>1</w:t>
      </w:r>
      <w:r w:rsidR="00800EFE" w:rsidRPr="00F82364">
        <w:t>6 December</w:t>
      </w:r>
      <w:r w:rsidR="007119BC" w:rsidRPr="00F82364">
        <w:t xml:space="preserve"> 2024</w:t>
      </w:r>
      <w:r w:rsidRPr="00F82364">
        <w:t>.</w:t>
      </w:r>
    </w:p>
    <w:p w14:paraId="078F5B0D" w14:textId="77777777" w:rsidR="00E40F4A" w:rsidRPr="00F82364" w:rsidRDefault="00E40F4A" w:rsidP="002643E5">
      <w:pPr>
        <w:jc w:val="both"/>
        <w:rPr>
          <w:b/>
        </w:rPr>
      </w:pPr>
      <w:r w:rsidRPr="00F82364">
        <w:rPr>
          <w:b/>
        </w:rPr>
        <w:t>Section 3</w:t>
      </w:r>
      <w:r w:rsidRPr="00F82364">
        <w:rPr>
          <w:b/>
        </w:rPr>
        <w:tab/>
        <w:t>Authority</w:t>
      </w:r>
    </w:p>
    <w:p w14:paraId="21A4B6C6" w14:textId="38C1B8C4" w:rsidR="00E40F4A" w:rsidRPr="00F82364" w:rsidRDefault="00621B3F" w:rsidP="002643E5">
      <w:pPr>
        <w:jc w:val="both"/>
      </w:pPr>
      <w:r w:rsidRPr="00F82364">
        <w:t xml:space="preserve">This section provides that the </w:t>
      </w:r>
      <w:r w:rsidR="005B1E28" w:rsidRPr="00F82364">
        <w:t xml:space="preserve">Amendment </w:t>
      </w:r>
      <w:r w:rsidRPr="00F82364">
        <w:t>Determination is made under subsection 89</w:t>
      </w:r>
      <w:proofErr w:type="gramStart"/>
      <w:r w:rsidRPr="00F82364">
        <w:t>A(</w:t>
      </w:r>
      <w:proofErr w:type="gramEnd"/>
      <w:r w:rsidRPr="00F82364">
        <w:t xml:space="preserve">3) of the </w:t>
      </w:r>
      <w:r w:rsidRPr="00F82364">
        <w:rPr>
          <w:i/>
        </w:rPr>
        <w:t>National</w:t>
      </w:r>
      <w:r w:rsidR="0085161E" w:rsidRPr="00F82364">
        <w:rPr>
          <w:i/>
        </w:rPr>
        <w:t> </w:t>
      </w:r>
      <w:r w:rsidRPr="00F82364">
        <w:rPr>
          <w:i/>
        </w:rPr>
        <w:t>Health</w:t>
      </w:r>
      <w:r w:rsidR="0085161E" w:rsidRPr="00F82364">
        <w:rPr>
          <w:i/>
        </w:rPr>
        <w:t> </w:t>
      </w:r>
      <w:r w:rsidRPr="00F82364">
        <w:rPr>
          <w:i/>
        </w:rPr>
        <w:t>Act</w:t>
      </w:r>
      <w:r w:rsidR="0085161E" w:rsidRPr="00F82364">
        <w:rPr>
          <w:i/>
        </w:rPr>
        <w:t> </w:t>
      </w:r>
      <w:r w:rsidRPr="00F82364">
        <w:rPr>
          <w:i/>
        </w:rPr>
        <w:t>1953</w:t>
      </w:r>
      <w:r w:rsidRPr="00F82364">
        <w:t>.</w:t>
      </w:r>
    </w:p>
    <w:p w14:paraId="642658DD" w14:textId="77777777" w:rsidR="00DC08F2" w:rsidRPr="00F82364" w:rsidRDefault="00DC08F2" w:rsidP="002643E5">
      <w:pPr>
        <w:jc w:val="both"/>
        <w:rPr>
          <w:b/>
        </w:rPr>
      </w:pPr>
      <w:r w:rsidRPr="00F82364">
        <w:rPr>
          <w:b/>
        </w:rPr>
        <w:t>Section 4</w:t>
      </w:r>
      <w:r w:rsidRPr="00F82364">
        <w:rPr>
          <w:b/>
        </w:rPr>
        <w:tab/>
        <w:t xml:space="preserve"> Schedules </w:t>
      </w:r>
    </w:p>
    <w:p w14:paraId="3B78B1A3" w14:textId="77777777" w:rsidR="00B765C6" w:rsidRPr="00F82364" w:rsidRDefault="00B765C6" w:rsidP="005C0880">
      <w:pPr>
        <w:jc w:val="both"/>
      </w:pPr>
      <w:r w:rsidRPr="00F82364">
        <w:t>This section provides that each instrument that is specified in a Schedule to this instrument is amended or repealed as set out in the applicable items in the Schedule concerned, and any other item in a Schedule to this instrument has effect according to its terms.</w:t>
      </w:r>
    </w:p>
    <w:p w14:paraId="5534FB75" w14:textId="6C9F93D0" w:rsidR="00F73529" w:rsidRPr="00F82364" w:rsidRDefault="00F73529" w:rsidP="002643E5">
      <w:pPr>
        <w:jc w:val="both"/>
      </w:pPr>
    </w:p>
    <w:p w14:paraId="40F68A60" w14:textId="4D27496F" w:rsidR="00F73529" w:rsidRPr="00F82364" w:rsidRDefault="00F73529" w:rsidP="002643E5">
      <w:pPr>
        <w:jc w:val="both"/>
      </w:pPr>
    </w:p>
    <w:p w14:paraId="773908E1" w14:textId="62168C9B" w:rsidR="00F73529" w:rsidRPr="00F82364" w:rsidRDefault="00F73529" w:rsidP="002643E5">
      <w:pPr>
        <w:jc w:val="both"/>
      </w:pPr>
    </w:p>
    <w:p w14:paraId="161D13AB" w14:textId="7488362C" w:rsidR="00F73529" w:rsidRPr="00F82364" w:rsidRDefault="00F73529" w:rsidP="002643E5">
      <w:pPr>
        <w:jc w:val="both"/>
      </w:pPr>
    </w:p>
    <w:p w14:paraId="289338E3" w14:textId="32FA1C88" w:rsidR="00F73529" w:rsidRPr="00F82364" w:rsidRDefault="00F73529" w:rsidP="002643E5">
      <w:pPr>
        <w:jc w:val="both"/>
      </w:pPr>
    </w:p>
    <w:p w14:paraId="40254C7F" w14:textId="71F47BBA" w:rsidR="00F73529" w:rsidRPr="00F82364" w:rsidRDefault="00F73529" w:rsidP="002643E5">
      <w:pPr>
        <w:jc w:val="both"/>
      </w:pPr>
    </w:p>
    <w:p w14:paraId="4B3B755F" w14:textId="43129F71" w:rsidR="00F73529" w:rsidRPr="00F82364" w:rsidRDefault="00F73529" w:rsidP="002643E5">
      <w:pPr>
        <w:jc w:val="both"/>
      </w:pPr>
    </w:p>
    <w:p w14:paraId="3C7B9B67" w14:textId="6D0580BA" w:rsidR="00F73529" w:rsidRPr="00F82364" w:rsidRDefault="00F73529" w:rsidP="002643E5">
      <w:pPr>
        <w:jc w:val="both"/>
      </w:pPr>
    </w:p>
    <w:p w14:paraId="07285643" w14:textId="3181F107" w:rsidR="00F73529" w:rsidRPr="00F82364" w:rsidRDefault="00F73529" w:rsidP="002643E5">
      <w:pPr>
        <w:jc w:val="both"/>
      </w:pPr>
    </w:p>
    <w:p w14:paraId="61086538" w14:textId="1A2000B8" w:rsidR="00F73529" w:rsidRPr="00F82364" w:rsidRDefault="00F73529" w:rsidP="002643E5">
      <w:pPr>
        <w:jc w:val="both"/>
      </w:pPr>
    </w:p>
    <w:p w14:paraId="58C8517C" w14:textId="17EAD632" w:rsidR="00F73529" w:rsidRPr="00F82364" w:rsidRDefault="00F73529" w:rsidP="002643E5">
      <w:pPr>
        <w:jc w:val="both"/>
      </w:pPr>
    </w:p>
    <w:p w14:paraId="2727EEF8" w14:textId="4207596A" w:rsidR="00F73529" w:rsidRPr="00F82364" w:rsidRDefault="00F73529" w:rsidP="002643E5">
      <w:pPr>
        <w:jc w:val="both"/>
      </w:pPr>
    </w:p>
    <w:p w14:paraId="4623EC8E" w14:textId="23571076" w:rsidR="004E6516" w:rsidRPr="00F82364" w:rsidRDefault="004E6516" w:rsidP="002643E5">
      <w:pPr>
        <w:jc w:val="both"/>
        <w:sectPr w:rsidR="004E6516" w:rsidRPr="00F82364" w:rsidSect="001F63AD">
          <w:pgSz w:w="11906" w:h="16838"/>
          <w:pgMar w:top="567" w:right="1440" w:bottom="1135" w:left="1440" w:header="709" w:footer="709" w:gutter="0"/>
          <w:cols w:space="708"/>
          <w:docGrid w:linePitch="360"/>
        </w:sectPr>
      </w:pPr>
    </w:p>
    <w:p w14:paraId="313EBDD9" w14:textId="40E8616C" w:rsidR="00E40F4A" w:rsidRPr="00F82364" w:rsidRDefault="00E40F4A">
      <w:pPr>
        <w:shd w:val="clear" w:color="auto" w:fill="FFFFFF"/>
        <w:spacing w:before="120" w:after="120" w:line="240" w:lineRule="auto"/>
        <w:jc w:val="center"/>
        <w:rPr>
          <w:rFonts w:eastAsia="Times New Roman"/>
          <w:b/>
          <w:bCs/>
          <w:color w:val="000000"/>
          <w:lang w:eastAsia="en-AU"/>
        </w:rPr>
      </w:pPr>
      <w:r w:rsidRPr="00F82364">
        <w:rPr>
          <w:rFonts w:eastAsia="Times New Roman"/>
          <w:b/>
          <w:bCs/>
          <w:color w:val="000000"/>
          <w:lang w:eastAsia="en-AU"/>
        </w:rPr>
        <w:lastRenderedPageBreak/>
        <w:t>Statement of Compatibility with Human Rights</w:t>
      </w:r>
    </w:p>
    <w:p w14:paraId="16CCCE5B" w14:textId="77777777" w:rsidR="00E82B0C" w:rsidRPr="00F82364" w:rsidRDefault="00E82B0C" w:rsidP="002643E5">
      <w:pPr>
        <w:shd w:val="clear" w:color="auto" w:fill="FFFFFF"/>
        <w:spacing w:before="120" w:after="120" w:line="240" w:lineRule="auto"/>
        <w:jc w:val="center"/>
        <w:rPr>
          <w:rFonts w:eastAsia="Times New Roman"/>
          <w:i/>
          <w:iCs/>
          <w:color w:val="000000"/>
          <w:lang w:eastAsia="en-AU"/>
        </w:rPr>
      </w:pPr>
    </w:p>
    <w:p w14:paraId="4F05FE3B" w14:textId="4F0BE7EA" w:rsidR="00E40F4A" w:rsidRPr="00F82364" w:rsidRDefault="00E40F4A" w:rsidP="005C0880">
      <w:pPr>
        <w:shd w:val="clear" w:color="auto" w:fill="FFFFFF"/>
        <w:spacing w:before="120" w:after="120" w:line="240" w:lineRule="auto"/>
        <w:jc w:val="center"/>
        <w:rPr>
          <w:rFonts w:eastAsia="Times New Roman"/>
          <w:color w:val="000000"/>
          <w:lang w:eastAsia="en-AU"/>
        </w:rPr>
      </w:pPr>
      <w:r w:rsidRPr="00F82364">
        <w:rPr>
          <w:rFonts w:eastAsia="Times New Roman"/>
          <w:i/>
          <w:iCs/>
          <w:color w:val="000000"/>
          <w:lang w:eastAsia="en-AU"/>
        </w:rPr>
        <w:t xml:space="preserve">Prepared in accordance with </w:t>
      </w:r>
      <w:r w:rsidR="005E3B12" w:rsidRPr="00F82364">
        <w:rPr>
          <w:rFonts w:eastAsia="Times New Roman"/>
          <w:i/>
          <w:iCs/>
          <w:color w:val="000000"/>
          <w:lang w:eastAsia="en-AU"/>
        </w:rPr>
        <w:t>Part 3</w:t>
      </w:r>
      <w:r w:rsidRPr="00F82364">
        <w:rPr>
          <w:rFonts w:eastAsia="Times New Roman"/>
          <w:i/>
          <w:iCs/>
          <w:color w:val="000000"/>
          <w:lang w:eastAsia="en-AU"/>
        </w:rPr>
        <w:t xml:space="preserve"> of the Human Rights (Parliamentary Scrutiny) Act 2011</w:t>
      </w:r>
    </w:p>
    <w:p w14:paraId="33F6F374" w14:textId="6B463AAD" w:rsidR="001467A9" w:rsidRPr="00F82364" w:rsidRDefault="00E40F4A" w:rsidP="005C0880">
      <w:pPr>
        <w:jc w:val="center"/>
        <w:rPr>
          <w:b/>
          <w:i/>
        </w:rPr>
      </w:pPr>
      <w:r w:rsidRPr="00F82364">
        <w:rPr>
          <w:b/>
          <w:i/>
        </w:rPr>
        <w:t>National Health (Pharmaceutical Benefits) (Pharmacist Substitution of Medicines without Prescription during Shortages)</w:t>
      </w:r>
      <w:r w:rsidR="003E1213" w:rsidRPr="00F82364">
        <w:rPr>
          <w:b/>
          <w:i/>
        </w:rPr>
        <w:t xml:space="preserve"> Amendment (</w:t>
      </w:r>
      <w:r w:rsidR="00E04D8F" w:rsidRPr="00F82364">
        <w:rPr>
          <w:b/>
          <w:i/>
        </w:rPr>
        <w:t>No. 5</w:t>
      </w:r>
      <w:r w:rsidR="003E1213" w:rsidRPr="00F82364">
        <w:rPr>
          <w:b/>
          <w:i/>
        </w:rPr>
        <w:t>)</w:t>
      </w:r>
      <w:r w:rsidRPr="00F82364">
        <w:rPr>
          <w:b/>
          <w:i/>
        </w:rPr>
        <w:t xml:space="preserve"> Determination </w:t>
      </w:r>
      <w:r w:rsidR="007515BE" w:rsidRPr="00F82364">
        <w:rPr>
          <w:b/>
          <w:i/>
        </w:rPr>
        <w:t>202</w:t>
      </w:r>
      <w:r w:rsidR="00C07BFF" w:rsidRPr="00F82364">
        <w:rPr>
          <w:b/>
          <w:i/>
        </w:rPr>
        <w:t>4</w:t>
      </w:r>
    </w:p>
    <w:p w14:paraId="5A7E4869" w14:textId="4A154470" w:rsidR="001467A9" w:rsidRPr="00F82364" w:rsidRDefault="001467A9" w:rsidP="002643E5">
      <w:pPr>
        <w:shd w:val="clear" w:color="auto" w:fill="FFFFFF"/>
        <w:spacing w:after="120" w:line="240" w:lineRule="auto"/>
        <w:jc w:val="both"/>
        <w:rPr>
          <w:rFonts w:eastAsia="Times New Roman"/>
          <w:color w:val="000000"/>
          <w:lang w:eastAsia="en-AU"/>
        </w:rPr>
      </w:pPr>
      <w:r w:rsidRPr="00F82364">
        <w:rPr>
          <w:rFonts w:eastAsia="Times New Roman"/>
          <w:color w:val="000000"/>
          <w:lang w:eastAsia="en-AU"/>
        </w:rPr>
        <w:t xml:space="preserve">This </w:t>
      </w:r>
      <w:r w:rsidR="005E3B12" w:rsidRPr="00F82364">
        <w:rPr>
          <w:rFonts w:eastAsia="Times New Roman"/>
          <w:color w:val="000000"/>
          <w:lang w:eastAsia="en-AU"/>
        </w:rPr>
        <w:t xml:space="preserve">Disallowable </w:t>
      </w:r>
      <w:r w:rsidRPr="00F82364">
        <w:rPr>
          <w:rFonts w:eastAsia="Times New Roman"/>
          <w:color w:val="000000"/>
          <w:lang w:eastAsia="en-AU"/>
        </w:rPr>
        <w:t>legislative instrument is compatible with the human rights and freedoms recognised or declared in the international instruments listed in section 3 of the </w:t>
      </w:r>
      <w:r w:rsidRPr="00F82364">
        <w:rPr>
          <w:rFonts w:eastAsia="Times New Roman"/>
          <w:i/>
          <w:iCs/>
          <w:color w:val="000000"/>
          <w:lang w:eastAsia="en-AU"/>
        </w:rPr>
        <w:t>Human Rights (Parliamentary Scrutiny) Act 2011</w:t>
      </w:r>
      <w:r w:rsidRPr="00F82364">
        <w:rPr>
          <w:rFonts w:eastAsia="Times New Roman"/>
          <w:color w:val="000000"/>
          <w:lang w:eastAsia="en-AU"/>
        </w:rPr>
        <w:t>. </w:t>
      </w:r>
    </w:p>
    <w:p w14:paraId="39ACC5A0" w14:textId="32380506" w:rsidR="001467A9" w:rsidRPr="00F82364" w:rsidRDefault="001467A9" w:rsidP="001D5EB8">
      <w:pPr>
        <w:shd w:val="clear" w:color="auto" w:fill="FFFFFF"/>
        <w:spacing w:before="180" w:after="180" w:line="240" w:lineRule="auto"/>
        <w:jc w:val="both"/>
        <w:rPr>
          <w:rFonts w:eastAsia="Times New Roman"/>
          <w:b/>
          <w:bCs/>
          <w:color w:val="000000"/>
          <w:lang w:eastAsia="en-AU"/>
        </w:rPr>
      </w:pPr>
      <w:r w:rsidRPr="00F82364">
        <w:rPr>
          <w:rFonts w:eastAsia="Times New Roman"/>
          <w:b/>
          <w:bCs/>
          <w:color w:val="000000"/>
          <w:lang w:eastAsia="en-AU"/>
        </w:rPr>
        <w:t xml:space="preserve">Overview of the </w:t>
      </w:r>
      <w:r w:rsidR="005E3B12" w:rsidRPr="00F82364">
        <w:rPr>
          <w:rFonts w:eastAsia="Times New Roman"/>
          <w:b/>
          <w:bCs/>
          <w:color w:val="000000"/>
          <w:lang w:eastAsia="en-AU"/>
        </w:rPr>
        <w:t xml:space="preserve">Disallowable </w:t>
      </w:r>
      <w:r w:rsidRPr="00F82364">
        <w:rPr>
          <w:rFonts w:eastAsia="Times New Roman"/>
          <w:b/>
          <w:bCs/>
          <w:color w:val="000000"/>
          <w:lang w:eastAsia="en-AU"/>
        </w:rPr>
        <w:t>Legislative Instrument</w:t>
      </w:r>
    </w:p>
    <w:p w14:paraId="5C1CD55C" w14:textId="7839A938" w:rsidR="00B6700B" w:rsidRPr="00F82364" w:rsidRDefault="003E1213" w:rsidP="005C0880">
      <w:pPr>
        <w:jc w:val="both"/>
      </w:pPr>
      <w:r w:rsidRPr="00F82364">
        <w:t xml:space="preserve">The purpose of the </w:t>
      </w:r>
      <w:r w:rsidRPr="00F82364">
        <w:rPr>
          <w:i/>
        </w:rPr>
        <w:t>National Health (Pharmaceutical Benefits) (Pharmacist Substitution of Medicines without Prescription during Shortages) Amendment (</w:t>
      </w:r>
      <w:r w:rsidR="00E04D8F" w:rsidRPr="00F82364">
        <w:rPr>
          <w:i/>
        </w:rPr>
        <w:t>No. 5</w:t>
      </w:r>
      <w:r w:rsidRPr="00F82364">
        <w:rPr>
          <w:i/>
        </w:rPr>
        <w:t xml:space="preserve">) Determination </w:t>
      </w:r>
      <w:r w:rsidR="007515BE" w:rsidRPr="00F82364">
        <w:rPr>
          <w:i/>
        </w:rPr>
        <w:t>202</w:t>
      </w:r>
      <w:r w:rsidR="00C07BFF" w:rsidRPr="00F82364">
        <w:rPr>
          <w:i/>
        </w:rPr>
        <w:t>4</w:t>
      </w:r>
      <w:r w:rsidRPr="00F82364">
        <w:rPr>
          <w:i/>
        </w:rPr>
        <w:t xml:space="preserve"> </w:t>
      </w:r>
      <w:r w:rsidRPr="00F82364">
        <w:rPr>
          <w:iCs/>
        </w:rPr>
        <w:t>(Amendment Determination) is to amend the</w:t>
      </w:r>
      <w:r w:rsidRPr="00F82364">
        <w:rPr>
          <w:i/>
        </w:rPr>
        <w:t xml:space="preserve"> National Health (Pharmaceutical Benefits) (Pharmacist Substitution of Medicines without Prescription during Shortages) Determination </w:t>
      </w:r>
      <w:r w:rsidR="007515BE" w:rsidRPr="00F82364">
        <w:rPr>
          <w:i/>
        </w:rPr>
        <w:t>202</w:t>
      </w:r>
      <w:r w:rsidR="000240D4" w:rsidRPr="00F82364">
        <w:rPr>
          <w:i/>
        </w:rPr>
        <w:t>1</w:t>
      </w:r>
      <w:r w:rsidRPr="00F82364">
        <w:rPr>
          <w:i/>
        </w:rPr>
        <w:t xml:space="preserve"> </w:t>
      </w:r>
      <w:r w:rsidRPr="00F82364">
        <w:t>(</w:t>
      </w:r>
      <w:r w:rsidR="005B1E28" w:rsidRPr="00F82364">
        <w:t xml:space="preserve">Principal </w:t>
      </w:r>
      <w:r w:rsidRPr="00F82364">
        <w:t xml:space="preserve">Determination) </w:t>
      </w:r>
      <w:r w:rsidR="00A35882" w:rsidRPr="00F82364">
        <w:t xml:space="preserve">to </w:t>
      </w:r>
      <w:r w:rsidRPr="00F82364">
        <w:t>specify new pharmaceutical benefits that may be supplied under the Pharmaceutical Benefits Scheme</w:t>
      </w:r>
      <w:r w:rsidR="00EE3751" w:rsidRPr="00F82364">
        <w:t xml:space="preserve"> (PBS)</w:t>
      </w:r>
      <w:r w:rsidRPr="00F82364">
        <w:t xml:space="preserve"> without a prescription, subject to the conditions specified in the </w:t>
      </w:r>
      <w:r w:rsidR="005B1E28" w:rsidRPr="00F82364">
        <w:t xml:space="preserve">Principal </w:t>
      </w:r>
      <w:r w:rsidRPr="00F82364">
        <w:t xml:space="preserve">Determination. </w:t>
      </w:r>
    </w:p>
    <w:p w14:paraId="3FDFA493" w14:textId="594F68A2" w:rsidR="00A35882" w:rsidRPr="00F82364" w:rsidRDefault="00B6700B" w:rsidP="005C0880">
      <w:pPr>
        <w:jc w:val="both"/>
      </w:pPr>
      <w:r w:rsidRPr="00F82364">
        <w:t xml:space="preserve">The Determination permits an approved pharmacist to supply a substitute pharmaceutical benefit when the pharmaceutical benefit prescribed for the patient is the subject of a Therapeutic Goods Administration (TGA) Serious Scarcity Substitution Instrument (SSSI). </w:t>
      </w:r>
    </w:p>
    <w:p w14:paraId="68CF7563" w14:textId="52156C08" w:rsidR="00B6700B" w:rsidRPr="00F82364" w:rsidRDefault="00DC08F2" w:rsidP="005C0880">
      <w:pPr>
        <w:jc w:val="both"/>
      </w:pPr>
      <w:r w:rsidRPr="00F82364">
        <w:t xml:space="preserve">The </w:t>
      </w:r>
      <w:r w:rsidR="00B6700B" w:rsidRPr="00F82364">
        <w:t xml:space="preserve">pharmaceutical benefits containing the drug </w:t>
      </w:r>
      <w:r w:rsidR="00955068" w:rsidRPr="00F82364">
        <w:t>insulin isophane</w:t>
      </w:r>
      <w:r w:rsidR="002F2A82" w:rsidRPr="00F82364">
        <w:t xml:space="preserve"> </w:t>
      </w:r>
      <w:r w:rsidR="00B6700B" w:rsidRPr="00F82364">
        <w:t xml:space="preserve">in the manner of </w:t>
      </w:r>
      <w:r w:rsidR="00955068" w:rsidRPr="00F82364">
        <w:t>injection</w:t>
      </w:r>
      <w:r w:rsidR="001A0310" w:rsidRPr="00F82364">
        <w:t xml:space="preserve"> </w:t>
      </w:r>
      <w:r w:rsidR="00B6700B" w:rsidRPr="00F82364">
        <w:t xml:space="preserve">administration are currently subject to an SSSI (see the </w:t>
      </w:r>
      <w:r w:rsidR="00B6700B" w:rsidRPr="00F82364">
        <w:rPr>
          <w:i/>
          <w:iCs/>
        </w:rPr>
        <w:t>Therapeutic Goods (Serious Scarcity and Substitutable Medicine) (</w:t>
      </w:r>
      <w:r w:rsidR="00800EFE" w:rsidRPr="00F82364">
        <w:rPr>
          <w:i/>
        </w:rPr>
        <w:t>Insulin isophane</w:t>
      </w:r>
      <w:r w:rsidR="00E74A58" w:rsidRPr="00F82364">
        <w:rPr>
          <w:i/>
        </w:rPr>
        <w:t xml:space="preserve">) </w:t>
      </w:r>
      <w:r w:rsidR="00E74A58" w:rsidRPr="00F82364">
        <w:rPr>
          <w:i/>
          <w:iCs/>
        </w:rPr>
        <w:t>Instrument</w:t>
      </w:r>
      <w:r w:rsidR="00B6700B" w:rsidRPr="00F82364">
        <w:rPr>
          <w:i/>
          <w:iCs/>
        </w:rPr>
        <w:t xml:space="preserve"> </w:t>
      </w:r>
      <w:r w:rsidR="007515BE" w:rsidRPr="00F82364">
        <w:rPr>
          <w:i/>
          <w:iCs/>
        </w:rPr>
        <w:t>202</w:t>
      </w:r>
      <w:r w:rsidR="00B03E68" w:rsidRPr="00F82364">
        <w:rPr>
          <w:i/>
          <w:iCs/>
        </w:rPr>
        <w:t>4</w:t>
      </w:r>
      <w:r w:rsidR="00B6700B" w:rsidRPr="00F82364">
        <w:rPr>
          <w:i/>
          <w:iCs/>
        </w:rPr>
        <w:t xml:space="preserve">). </w:t>
      </w:r>
    </w:p>
    <w:p w14:paraId="78D8D798" w14:textId="02EF11E9" w:rsidR="00B6700B" w:rsidRPr="00F82364" w:rsidRDefault="00B6700B" w:rsidP="002643E5">
      <w:pPr>
        <w:jc w:val="both"/>
      </w:pPr>
      <w:r w:rsidRPr="00F82364">
        <w:t xml:space="preserve">The </w:t>
      </w:r>
      <w:r w:rsidR="00DC08F2" w:rsidRPr="00F82364">
        <w:t xml:space="preserve">Amendment </w:t>
      </w:r>
      <w:r w:rsidR="00344B45" w:rsidRPr="00F82364">
        <w:t>Determination</w:t>
      </w:r>
      <w:r w:rsidR="00DC08F2" w:rsidRPr="00F82364">
        <w:t xml:space="preserve"> specifies that </w:t>
      </w:r>
      <w:r w:rsidR="009164B8" w:rsidRPr="00F82364">
        <w:t xml:space="preserve">a </w:t>
      </w:r>
      <w:r w:rsidR="001464BC" w:rsidRPr="00F82364">
        <w:t xml:space="preserve">different brand of </w:t>
      </w:r>
      <w:r w:rsidR="00955068" w:rsidRPr="00F82364">
        <w:t xml:space="preserve">insulin isophane injection </w:t>
      </w:r>
      <w:r w:rsidR="001464BC" w:rsidRPr="00F82364">
        <w:t xml:space="preserve">at equivalent dose </w:t>
      </w:r>
      <w:r w:rsidR="00C54A38" w:rsidRPr="00F82364">
        <w:t>can be effectively substitutable at the pharmacy level without the need to obtain a new prescription from the prescriber at PBS subsidised prices for the duration of the TGA approval</w:t>
      </w:r>
      <w:r w:rsidR="005B1E28" w:rsidRPr="00F82364">
        <w:t xml:space="preserve">, </w:t>
      </w:r>
      <w:r w:rsidR="00DC08F2" w:rsidRPr="00F82364">
        <w:t xml:space="preserve">where conditions in the </w:t>
      </w:r>
      <w:r w:rsidR="005B1E28" w:rsidRPr="00F82364">
        <w:t xml:space="preserve">Principal </w:t>
      </w:r>
      <w:r w:rsidR="00DC08F2" w:rsidRPr="00F82364">
        <w:t>Determination are met</w:t>
      </w:r>
      <w:r w:rsidRPr="00F82364">
        <w:t xml:space="preserve"> and the supply is in accordance with section 30EL of the </w:t>
      </w:r>
      <w:r w:rsidRPr="00F82364">
        <w:rPr>
          <w:i/>
        </w:rPr>
        <w:t>Therapeutic Goods Act 1989.</w:t>
      </w:r>
    </w:p>
    <w:p w14:paraId="0E9B5675" w14:textId="39DA0CEB" w:rsidR="00C54A38" w:rsidRPr="00F82364" w:rsidRDefault="005B1E28" w:rsidP="002643E5">
      <w:pPr>
        <w:jc w:val="both"/>
      </w:pPr>
      <w:r w:rsidRPr="00F82364">
        <w:t xml:space="preserve">This means </w:t>
      </w:r>
      <w:r w:rsidR="00CC64C9" w:rsidRPr="00F82364">
        <w:t>that eligible patients access</w:t>
      </w:r>
      <w:r w:rsidR="003417C4" w:rsidRPr="00F82364">
        <w:t>ing</w:t>
      </w:r>
      <w:r w:rsidR="00CC64C9" w:rsidRPr="00F82364">
        <w:t xml:space="preserve"> </w:t>
      </w:r>
      <w:r w:rsidR="00B6700B" w:rsidRPr="00F82364">
        <w:t>a</w:t>
      </w:r>
      <w:r w:rsidR="00CC64C9" w:rsidRPr="00F82364">
        <w:t xml:space="preserve"> substitute </w:t>
      </w:r>
      <w:r w:rsidR="00B6700B" w:rsidRPr="00F82364">
        <w:t xml:space="preserve">pharmaceutical benefit containing </w:t>
      </w:r>
      <w:r w:rsidR="00955068" w:rsidRPr="00F82364">
        <w:t xml:space="preserve">insulin isophane </w:t>
      </w:r>
      <w:r w:rsidR="00CC64C9" w:rsidRPr="00F82364">
        <w:t>under the</w:t>
      </w:r>
      <w:r w:rsidR="003417C4" w:rsidRPr="00F82364">
        <w:t xml:space="preserve">se </w:t>
      </w:r>
      <w:r w:rsidR="00CC64C9" w:rsidRPr="00F82364">
        <w:t>arrangements will be paying PBS co-payment rate</w:t>
      </w:r>
      <w:r w:rsidR="003417C4" w:rsidRPr="00F82364">
        <w:t>s</w:t>
      </w:r>
      <w:r w:rsidR="00CC64C9" w:rsidRPr="00F82364">
        <w:t xml:space="preserve"> for the supply and will not be out of pocket. </w:t>
      </w:r>
      <w:r w:rsidR="00B6700B" w:rsidRPr="00F82364">
        <w:t xml:space="preserve">This minimises the burden of this shortage on health care professionals by reducing the need for interdisciplinary consultations and assists Australians with timely and equitable access to </w:t>
      </w:r>
      <w:r w:rsidR="00496BF9" w:rsidRPr="00F82364">
        <w:t xml:space="preserve">medicine supply for patients </w:t>
      </w:r>
      <w:r w:rsidR="00B6700B" w:rsidRPr="00F82364">
        <w:t xml:space="preserve">that is considerate of changing availabilities of </w:t>
      </w:r>
      <w:r w:rsidR="00955068" w:rsidRPr="00F82364">
        <w:t>insulin isophane injection</w:t>
      </w:r>
      <w:r w:rsidR="00B6700B" w:rsidRPr="00F82364">
        <w:t>. It</w:t>
      </w:r>
      <w:r w:rsidR="00CC64C9" w:rsidRPr="00F82364">
        <w:t xml:space="preserve"> further </w:t>
      </w:r>
      <w:r w:rsidR="003417C4" w:rsidRPr="00F82364">
        <w:t>bolsters</w:t>
      </w:r>
      <w:r w:rsidR="00CC64C9" w:rsidRPr="00F82364">
        <w:t xml:space="preserve"> the </w:t>
      </w:r>
      <w:r w:rsidR="003417C4" w:rsidRPr="00F82364">
        <w:t xml:space="preserve">intended </w:t>
      </w:r>
      <w:r w:rsidR="00CC64C9" w:rsidRPr="00F82364">
        <w:t xml:space="preserve">public health outcome </w:t>
      </w:r>
      <w:r w:rsidR="003417C4" w:rsidRPr="00F82364">
        <w:t xml:space="preserve">of the serious shortage intervention by ensuring the substitution remains an affordable and practical alternative for patients. </w:t>
      </w:r>
    </w:p>
    <w:p w14:paraId="049B6479" w14:textId="734A9C8F" w:rsidR="003E1213" w:rsidRPr="00F82364" w:rsidRDefault="003E1213" w:rsidP="001D5EB8">
      <w:pPr>
        <w:shd w:val="clear" w:color="auto" w:fill="FFFFFF"/>
        <w:spacing w:before="180" w:after="180" w:line="240" w:lineRule="auto"/>
        <w:jc w:val="both"/>
        <w:rPr>
          <w:rFonts w:eastAsia="Times New Roman"/>
          <w:b/>
          <w:bCs/>
          <w:color w:val="000000"/>
          <w:lang w:eastAsia="en-AU"/>
        </w:rPr>
      </w:pPr>
      <w:r w:rsidRPr="00F82364">
        <w:rPr>
          <w:rFonts w:eastAsia="Times New Roman"/>
          <w:b/>
          <w:bCs/>
          <w:color w:val="000000"/>
          <w:lang w:eastAsia="en-AU"/>
        </w:rPr>
        <w:t>Human rights implications</w:t>
      </w:r>
    </w:p>
    <w:p w14:paraId="586A289B" w14:textId="77777777" w:rsidR="003E1213" w:rsidRPr="005C4761" w:rsidRDefault="003E1213" w:rsidP="00E82B0C">
      <w:pPr>
        <w:jc w:val="both"/>
      </w:pPr>
      <w:r w:rsidRPr="00F82364">
        <w:t>The Amendment Determination engages Article 12 of the International Covenant on Economic, Social and Cultural Rights (ICESCR). The Amendment Determination assists in the progressive realisation by all appropriate means of the right of everyone to the enjoyment of the highest attainable standard of physical and mental health.</w:t>
      </w:r>
    </w:p>
    <w:p w14:paraId="0205580D" w14:textId="0D5371BE" w:rsidR="00C54A38" w:rsidRPr="005C4761" w:rsidRDefault="003E1213" w:rsidP="00620800">
      <w:pPr>
        <w:keepNext/>
        <w:keepLines/>
        <w:jc w:val="both"/>
      </w:pPr>
      <w:r w:rsidRPr="005C4761">
        <w:lastRenderedPageBreak/>
        <w:t xml:space="preserve">The PBS is a benefit scheme which assists with providing subsidised access for people to medicines. This is a positive and supportive step towards attaining the highest standard of health for all Australians. Efficient operational arrangements for the PBS support effective administration of the scheme. The Amendment Determination assists in the progressive realisation by all appropriate means of the right of everyone to the enjoyment of the highest attainable standard of physical and mental health by ensuring that patients have continued access to </w:t>
      </w:r>
      <w:r w:rsidR="00344B45" w:rsidRPr="005C4761">
        <w:t>their medicines while their supply is disrupted</w:t>
      </w:r>
      <w:r w:rsidRPr="005C4761">
        <w:t>.</w:t>
      </w:r>
    </w:p>
    <w:p w14:paraId="79907B3A" w14:textId="77777777" w:rsidR="003E1213" w:rsidRPr="005C4761" w:rsidRDefault="003E1213" w:rsidP="002643E5">
      <w:pPr>
        <w:shd w:val="clear" w:color="auto" w:fill="FFFFFF"/>
        <w:spacing w:before="180" w:after="180" w:line="240" w:lineRule="auto"/>
        <w:jc w:val="both"/>
        <w:rPr>
          <w:rFonts w:eastAsia="Times New Roman"/>
          <w:color w:val="000000"/>
          <w:lang w:eastAsia="en-AU"/>
        </w:rPr>
      </w:pPr>
      <w:r w:rsidRPr="005C4761">
        <w:rPr>
          <w:rFonts w:eastAsia="Times New Roman"/>
          <w:b/>
          <w:bCs/>
          <w:color w:val="000000"/>
          <w:lang w:eastAsia="en-AU"/>
        </w:rPr>
        <w:t>Conclusion</w:t>
      </w:r>
    </w:p>
    <w:p w14:paraId="2F4AA8BA" w14:textId="29BBE265" w:rsidR="00385450" w:rsidRPr="005C4761" w:rsidRDefault="003E1213" w:rsidP="002643E5">
      <w:pPr>
        <w:shd w:val="clear" w:color="auto" w:fill="FFFFFF"/>
        <w:spacing w:before="120" w:after="240" w:line="240" w:lineRule="auto"/>
        <w:jc w:val="both"/>
        <w:rPr>
          <w:rFonts w:eastAsia="Times New Roman"/>
          <w:color w:val="000000"/>
          <w:lang w:eastAsia="en-AU"/>
        </w:rPr>
      </w:pPr>
      <w:r w:rsidRPr="005C4761">
        <w:rPr>
          <w:rFonts w:eastAsia="Times New Roman"/>
          <w:color w:val="000000"/>
          <w:lang w:eastAsia="en-AU"/>
        </w:rPr>
        <w:t>The Amendment Determination is compatible with human rights, as it promotes the protection of human rights.</w:t>
      </w:r>
    </w:p>
    <w:p w14:paraId="6CDB5D93" w14:textId="77777777" w:rsidR="0083142B" w:rsidRPr="005C4761" w:rsidRDefault="0083142B" w:rsidP="00C32118">
      <w:pPr>
        <w:shd w:val="clear" w:color="auto" w:fill="FFFFFF"/>
        <w:spacing w:before="120" w:after="240" w:line="240" w:lineRule="auto"/>
        <w:rPr>
          <w:rFonts w:eastAsia="Times New Roman"/>
          <w:color w:val="000000"/>
          <w:lang w:eastAsia="en-AU"/>
        </w:rPr>
      </w:pPr>
    </w:p>
    <w:p w14:paraId="072CB62F" w14:textId="77777777" w:rsidR="007119BC" w:rsidRDefault="007119BC" w:rsidP="00C32118">
      <w:pPr>
        <w:shd w:val="clear" w:color="auto" w:fill="FFFFFF"/>
        <w:spacing w:after="0" w:line="240" w:lineRule="auto"/>
        <w:jc w:val="center"/>
        <w:rPr>
          <w:rFonts w:eastAsia="Times New Roman"/>
          <w:b/>
          <w:bCs/>
          <w:color w:val="000000"/>
          <w:lang w:eastAsia="en-AU"/>
        </w:rPr>
      </w:pPr>
      <w:r w:rsidRPr="007119BC">
        <w:rPr>
          <w:rFonts w:eastAsia="Times New Roman"/>
          <w:b/>
          <w:bCs/>
          <w:color w:val="000000"/>
          <w:lang w:eastAsia="en-AU"/>
        </w:rPr>
        <w:t xml:space="preserve">Eden Simon </w:t>
      </w:r>
    </w:p>
    <w:p w14:paraId="686471FE" w14:textId="2F4548A7" w:rsidR="001467A9" w:rsidRPr="005C4761" w:rsidRDefault="007119BC" w:rsidP="00C32118">
      <w:pPr>
        <w:shd w:val="clear" w:color="auto" w:fill="FFFFFF"/>
        <w:spacing w:after="0" w:line="240" w:lineRule="auto"/>
        <w:jc w:val="center"/>
        <w:rPr>
          <w:rFonts w:eastAsia="Times New Roman"/>
          <w:b/>
          <w:bCs/>
          <w:color w:val="000000"/>
          <w:lang w:eastAsia="en-AU"/>
        </w:rPr>
      </w:pPr>
      <w:r>
        <w:rPr>
          <w:rFonts w:eastAsia="Times New Roman"/>
          <w:b/>
          <w:bCs/>
          <w:color w:val="000000"/>
          <w:lang w:eastAsia="en-AU"/>
        </w:rPr>
        <w:t xml:space="preserve">Acting </w:t>
      </w:r>
      <w:r w:rsidR="001467A9" w:rsidRPr="005C4761">
        <w:rPr>
          <w:rFonts w:eastAsia="Times New Roman"/>
          <w:b/>
          <w:bCs/>
          <w:color w:val="000000"/>
          <w:lang w:eastAsia="en-AU"/>
        </w:rPr>
        <w:t>Assistant Secretary</w:t>
      </w:r>
    </w:p>
    <w:p w14:paraId="707609B1" w14:textId="77777777" w:rsidR="00301412" w:rsidRPr="005C4761" w:rsidRDefault="00301412" w:rsidP="00C32118">
      <w:pPr>
        <w:shd w:val="clear" w:color="auto" w:fill="FFFFFF"/>
        <w:spacing w:after="0" w:line="240" w:lineRule="auto"/>
        <w:jc w:val="center"/>
        <w:rPr>
          <w:rFonts w:eastAsia="Times New Roman"/>
          <w:b/>
          <w:color w:val="000000"/>
          <w:lang w:eastAsia="en-AU"/>
        </w:rPr>
      </w:pPr>
      <w:r w:rsidRPr="005C4761">
        <w:rPr>
          <w:b/>
        </w:rPr>
        <w:t>Pricing and PBS Policy Branch</w:t>
      </w:r>
    </w:p>
    <w:p w14:paraId="7B5EC522" w14:textId="77777777" w:rsidR="001467A9" w:rsidRPr="005C4761" w:rsidRDefault="001467A9" w:rsidP="00C32118">
      <w:pPr>
        <w:shd w:val="clear" w:color="auto" w:fill="FFFFFF"/>
        <w:spacing w:after="0" w:line="240" w:lineRule="auto"/>
        <w:jc w:val="center"/>
        <w:rPr>
          <w:rFonts w:eastAsia="Times New Roman"/>
          <w:color w:val="000000"/>
          <w:lang w:eastAsia="en-AU"/>
        </w:rPr>
      </w:pPr>
      <w:r w:rsidRPr="005C4761">
        <w:rPr>
          <w:rFonts w:eastAsia="Times New Roman"/>
          <w:b/>
          <w:bCs/>
          <w:color w:val="000000"/>
          <w:lang w:eastAsia="en-AU"/>
        </w:rPr>
        <w:t>Technology Assessment and Access Division</w:t>
      </w:r>
    </w:p>
    <w:p w14:paraId="7DBD90AD" w14:textId="18B43390" w:rsidR="00E40F4A" w:rsidRPr="000049E4" w:rsidRDefault="001467A9" w:rsidP="00C32118">
      <w:pPr>
        <w:jc w:val="center"/>
        <w:rPr>
          <w:b/>
        </w:rPr>
      </w:pPr>
      <w:r w:rsidRPr="005C4761">
        <w:rPr>
          <w:rFonts w:eastAsia="Times New Roman"/>
          <w:b/>
          <w:bCs/>
          <w:color w:val="000000"/>
          <w:lang w:eastAsia="en-AU"/>
        </w:rPr>
        <w:t>Department of Health</w:t>
      </w:r>
      <w:r w:rsidR="00723424" w:rsidRPr="005C4761">
        <w:rPr>
          <w:rFonts w:eastAsia="Times New Roman"/>
          <w:b/>
          <w:bCs/>
          <w:color w:val="000000"/>
          <w:lang w:eastAsia="en-AU"/>
        </w:rPr>
        <w:t xml:space="preserve"> and Aged Care</w:t>
      </w:r>
    </w:p>
    <w:sectPr w:rsidR="00E40F4A" w:rsidRPr="000049E4" w:rsidSect="001F63AD">
      <w:pgSz w:w="11906" w:h="16838"/>
      <w:pgMar w:top="567" w:right="1440" w:bottom="1135"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26F0B"/>
    <w:multiLevelType w:val="hybridMultilevel"/>
    <w:tmpl w:val="6AEE9C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5FC382B"/>
    <w:multiLevelType w:val="hybridMultilevel"/>
    <w:tmpl w:val="DEAC1A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20DD7602"/>
    <w:multiLevelType w:val="hybridMultilevel"/>
    <w:tmpl w:val="D6203328"/>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21B673EB"/>
    <w:multiLevelType w:val="hybridMultilevel"/>
    <w:tmpl w:val="A6102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934A6B"/>
    <w:multiLevelType w:val="multilevel"/>
    <w:tmpl w:val="D494DAFC"/>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5" w15:restartNumberingAfterBreak="0">
    <w:nsid w:val="2CEA5507"/>
    <w:multiLevelType w:val="hybridMultilevel"/>
    <w:tmpl w:val="87484D4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3F2E7746"/>
    <w:multiLevelType w:val="hybridMultilevel"/>
    <w:tmpl w:val="2A9AD4EE"/>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45311D9D"/>
    <w:multiLevelType w:val="hybridMultilevel"/>
    <w:tmpl w:val="2B72363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76CE16BF"/>
    <w:multiLevelType w:val="hybridMultilevel"/>
    <w:tmpl w:val="A2E6D5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76D112F8"/>
    <w:multiLevelType w:val="hybridMultilevel"/>
    <w:tmpl w:val="1C925A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BDE48930">
      <w:start w:val="1"/>
      <w:numFmt w:val="decimal"/>
      <w:lvlText w:val="%4."/>
      <w:lvlJc w:val="left"/>
      <w:pPr>
        <w:ind w:left="2880" w:hanging="360"/>
      </w:pPr>
      <w:rPr>
        <w:b w:val="0"/>
      </w:r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16cid:durableId="1778212067">
    <w:abstractNumId w:val="4"/>
  </w:num>
  <w:num w:numId="2" w16cid:durableId="75590043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36541961">
    <w:abstractNumId w:val="1"/>
  </w:num>
  <w:num w:numId="4" w16cid:durableId="801116191">
    <w:abstractNumId w:val="5"/>
  </w:num>
  <w:num w:numId="5" w16cid:durableId="757408380">
    <w:abstractNumId w:val="2"/>
  </w:num>
  <w:num w:numId="6" w16cid:durableId="341202691">
    <w:abstractNumId w:val="7"/>
  </w:num>
  <w:num w:numId="7" w16cid:durableId="1534882594">
    <w:abstractNumId w:val="6"/>
  </w:num>
  <w:num w:numId="8" w16cid:durableId="612173754">
    <w:abstractNumId w:val="3"/>
  </w:num>
  <w:num w:numId="9" w16cid:durableId="1052071301">
    <w:abstractNumId w:val="0"/>
  </w:num>
  <w:num w:numId="10" w16cid:durableId="534391701">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A4BC771-3899-47F1-A74D-31BEF69B4B0B}"/>
    <w:docVar w:name="dgnword-eventsink" w:val="388510152"/>
  </w:docVars>
  <w:rsids>
    <w:rsidRoot w:val="00E40F4A"/>
    <w:rsid w:val="000049E4"/>
    <w:rsid w:val="0000674E"/>
    <w:rsid w:val="0001357F"/>
    <w:rsid w:val="000178C6"/>
    <w:rsid w:val="00022DB1"/>
    <w:rsid w:val="000240D4"/>
    <w:rsid w:val="00031793"/>
    <w:rsid w:val="00035DB3"/>
    <w:rsid w:val="00041575"/>
    <w:rsid w:val="00042173"/>
    <w:rsid w:val="00045087"/>
    <w:rsid w:val="000468C6"/>
    <w:rsid w:val="00051B30"/>
    <w:rsid w:val="00052A95"/>
    <w:rsid w:val="0005322C"/>
    <w:rsid w:val="00053BC8"/>
    <w:rsid w:val="00054DDA"/>
    <w:rsid w:val="00060A91"/>
    <w:rsid w:val="00066533"/>
    <w:rsid w:val="0007521D"/>
    <w:rsid w:val="00080985"/>
    <w:rsid w:val="0008113A"/>
    <w:rsid w:val="00082B0A"/>
    <w:rsid w:val="000841DA"/>
    <w:rsid w:val="000A6927"/>
    <w:rsid w:val="000B2FA3"/>
    <w:rsid w:val="000B534C"/>
    <w:rsid w:val="000B6444"/>
    <w:rsid w:val="000B6AF7"/>
    <w:rsid w:val="000C5058"/>
    <w:rsid w:val="000C6DF4"/>
    <w:rsid w:val="000C6E0C"/>
    <w:rsid w:val="000D5EC4"/>
    <w:rsid w:val="000D7E5A"/>
    <w:rsid w:val="00102885"/>
    <w:rsid w:val="001039C2"/>
    <w:rsid w:val="00107084"/>
    <w:rsid w:val="001239C9"/>
    <w:rsid w:val="001303CE"/>
    <w:rsid w:val="00131AB9"/>
    <w:rsid w:val="00140882"/>
    <w:rsid w:val="00140AEB"/>
    <w:rsid w:val="00140FF7"/>
    <w:rsid w:val="001464BC"/>
    <w:rsid w:val="001467A9"/>
    <w:rsid w:val="00152A81"/>
    <w:rsid w:val="00155986"/>
    <w:rsid w:val="00160276"/>
    <w:rsid w:val="0016321A"/>
    <w:rsid w:val="001679CB"/>
    <w:rsid w:val="001732E0"/>
    <w:rsid w:val="00187D70"/>
    <w:rsid w:val="00196AA1"/>
    <w:rsid w:val="001A0310"/>
    <w:rsid w:val="001A749C"/>
    <w:rsid w:val="001B0071"/>
    <w:rsid w:val="001B037F"/>
    <w:rsid w:val="001B36FA"/>
    <w:rsid w:val="001C33BD"/>
    <w:rsid w:val="001C7FED"/>
    <w:rsid w:val="001D3C66"/>
    <w:rsid w:val="001D5EB8"/>
    <w:rsid w:val="001E3AC6"/>
    <w:rsid w:val="001F14BD"/>
    <w:rsid w:val="001F3A90"/>
    <w:rsid w:val="001F63AD"/>
    <w:rsid w:val="0020567A"/>
    <w:rsid w:val="00211037"/>
    <w:rsid w:val="002149A1"/>
    <w:rsid w:val="00214FC0"/>
    <w:rsid w:val="0023716D"/>
    <w:rsid w:val="00243E35"/>
    <w:rsid w:val="00243F7D"/>
    <w:rsid w:val="00253FFC"/>
    <w:rsid w:val="00257643"/>
    <w:rsid w:val="0025776A"/>
    <w:rsid w:val="002578C6"/>
    <w:rsid w:val="00263FF2"/>
    <w:rsid w:val="002643E5"/>
    <w:rsid w:val="002671E6"/>
    <w:rsid w:val="00267AAD"/>
    <w:rsid w:val="002746B2"/>
    <w:rsid w:val="00274EED"/>
    <w:rsid w:val="0027658E"/>
    <w:rsid w:val="00280050"/>
    <w:rsid w:val="002806EA"/>
    <w:rsid w:val="002860F3"/>
    <w:rsid w:val="00291421"/>
    <w:rsid w:val="002918D5"/>
    <w:rsid w:val="002A153A"/>
    <w:rsid w:val="002A7724"/>
    <w:rsid w:val="002B0FE2"/>
    <w:rsid w:val="002C28B2"/>
    <w:rsid w:val="002C7372"/>
    <w:rsid w:val="002D0A87"/>
    <w:rsid w:val="002D3B39"/>
    <w:rsid w:val="002D59F7"/>
    <w:rsid w:val="002D6A9B"/>
    <w:rsid w:val="002E1DFC"/>
    <w:rsid w:val="002E2814"/>
    <w:rsid w:val="002E3F5B"/>
    <w:rsid w:val="002F0628"/>
    <w:rsid w:val="002F2A82"/>
    <w:rsid w:val="002F2E0D"/>
    <w:rsid w:val="003007D8"/>
    <w:rsid w:val="00300DC2"/>
    <w:rsid w:val="00301412"/>
    <w:rsid w:val="0030249B"/>
    <w:rsid w:val="00310426"/>
    <w:rsid w:val="00310F09"/>
    <w:rsid w:val="003112A2"/>
    <w:rsid w:val="0032722C"/>
    <w:rsid w:val="0033283A"/>
    <w:rsid w:val="003417C4"/>
    <w:rsid w:val="003432BC"/>
    <w:rsid w:val="00343AFA"/>
    <w:rsid w:val="00343B23"/>
    <w:rsid w:val="00343BFB"/>
    <w:rsid w:val="00344B45"/>
    <w:rsid w:val="00345E77"/>
    <w:rsid w:val="003510EA"/>
    <w:rsid w:val="00365E53"/>
    <w:rsid w:val="00371767"/>
    <w:rsid w:val="00372527"/>
    <w:rsid w:val="00380807"/>
    <w:rsid w:val="00384616"/>
    <w:rsid w:val="00385450"/>
    <w:rsid w:val="003A57E3"/>
    <w:rsid w:val="003A6AC5"/>
    <w:rsid w:val="003B2972"/>
    <w:rsid w:val="003B2A6B"/>
    <w:rsid w:val="003B545D"/>
    <w:rsid w:val="003B7DF6"/>
    <w:rsid w:val="003C6AB2"/>
    <w:rsid w:val="003D4D22"/>
    <w:rsid w:val="003E1213"/>
    <w:rsid w:val="003F7B97"/>
    <w:rsid w:val="004014A5"/>
    <w:rsid w:val="00405246"/>
    <w:rsid w:val="004214AA"/>
    <w:rsid w:val="00440B6B"/>
    <w:rsid w:val="00443C53"/>
    <w:rsid w:val="004457FB"/>
    <w:rsid w:val="00445B25"/>
    <w:rsid w:val="00471807"/>
    <w:rsid w:val="00476CDE"/>
    <w:rsid w:val="004839D9"/>
    <w:rsid w:val="00484E66"/>
    <w:rsid w:val="00487A27"/>
    <w:rsid w:val="00496BF9"/>
    <w:rsid w:val="004A2ACA"/>
    <w:rsid w:val="004A3812"/>
    <w:rsid w:val="004B3DDF"/>
    <w:rsid w:val="004C37BA"/>
    <w:rsid w:val="004D0271"/>
    <w:rsid w:val="004D6206"/>
    <w:rsid w:val="004E2F46"/>
    <w:rsid w:val="004E43F6"/>
    <w:rsid w:val="004E6516"/>
    <w:rsid w:val="004F12CB"/>
    <w:rsid w:val="004F3F3C"/>
    <w:rsid w:val="00500B2F"/>
    <w:rsid w:val="00503877"/>
    <w:rsid w:val="005142C9"/>
    <w:rsid w:val="0051520F"/>
    <w:rsid w:val="00522D65"/>
    <w:rsid w:val="00540D88"/>
    <w:rsid w:val="00543A0F"/>
    <w:rsid w:val="00543EAF"/>
    <w:rsid w:val="0054709A"/>
    <w:rsid w:val="00555797"/>
    <w:rsid w:val="00564885"/>
    <w:rsid w:val="005677F5"/>
    <w:rsid w:val="005718A3"/>
    <w:rsid w:val="00583270"/>
    <w:rsid w:val="0059314A"/>
    <w:rsid w:val="005A12A9"/>
    <w:rsid w:val="005A76C8"/>
    <w:rsid w:val="005A7AD5"/>
    <w:rsid w:val="005B1624"/>
    <w:rsid w:val="005B1E28"/>
    <w:rsid w:val="005B3443"/>
    <w:rsid w:val="005B3B3C"/>
    <w:rsid w:val="005B641D"/>
    <w:rsid w:val="005C0880"/>
    <w:rsid w:val="005C4761"/>
    <w:rsid w:val="005C4E83"/>
    <w:rsid w:val="005D233D"/>
    <w:rsid w:val="005D536D"/>
    <w:rsid w:val="005D54C9"/>
    <w:rsid w:val="005E3B12"/>
    <w:rsid w:val="005E3E18"/>
    <w:rsid w:val="005F4FBD"/>
    <w:rsid w:val="005F5E8F"/>
    <w:rsid w:val="006002BC"/>
    <w:rsid w:val="0060108B"/>
    <w:rsid w:val="006040BE"/>
    <w:rsid w:val="00605FE3"/>
    <w:rsid w:val="0061061D"/>
    <w:rsid w:val="0061530A"/>
    <w:rsid w:val="00616766"/>
    <w:rsid w:val="006173D7"/>
    <w:rsid w:val="00620800"/>
    <w:rsid w:val="00620E6A"/>
    <w:rsid w:val="00621B3F"/>
    <w:rsid w:val="00631079"/>
    <w:rsid w:val="0063175E"/>
    <w:rsid w:val="006403D3"/>
    <w:rsid w:val="0064207A"/>
    <w:rsid w:val="00644A54"/>
    <w:rsid w:val="00646D07"/>
    <w:rsid w:val="00657216"/>
    <w:rsid w:val="0066253E"/>
    <w:rsid w:val="006758BD"/>
    <w:rsid w:val="00684C4A"/>
    <w:rsid w:val="00694E08"/>
    <w:rsid w:val="006A5470"/>
    <w:rsid w:val="006C017E"/>
    <w:rsid w:val="006C4CB4"/>
    <w:rsid w:val="006C784A"/>
    <w:rsid w:val="006D0E81"/>
    <w:rsid w:val="006D14FF"/>
    <w:rsid w:val="006D3A4C"/>
    <w:rsid w:val="006D45BE"/>
    <w:rsid w:val="006D54E0"/>
    <w:rsid w:val="006E320D"/>
    <w:rsid w:val="006E35FD"/>
    <w:rsid w:val="006E6E47"/>
    <w:rsid w:val="006F214C"/>
    <w:rsid w:val="006F2EAD"/>
    <w:rsid w:val="006F66B9"/>
    <w:rsid w:val="006F6B64"/>
    <w:rsid w:val="006F7545"/>
    <w:rsid w:val="007028A4"/>
    <w:rsid w:val="00707700"/>
    <w:rsid w:val="00710310"/>
    <w:rsid w:val="00711112"/>
    <w:rsid w:val="007119BC"/>
    <w:rsid w:val="00714197"/>
    <w:rsid w:val="0071773C"/>
    <w:rsid w:val="00720CAC"/>
    <w:rsid w:val="00723424"/>
    <w:rsid w:val="00727165"/>
    <w:rsid w:val="0073199F"/>
    <w:rsid w:val="00734CD1"/>
    <w:rsid w:val="00743D39"/>
    <w:rsid w:val="007515BE"/>
    <w:rsid w:val="007521D1"/>
    <w:rsid w:val="00753BBD"/>
    <w:rsid w:val="00762CEF"/>
    <w:rsid w:val="007744A6"/>
    <w:rsid w:val="007855FC"/>
    <w:rsid w:val="00785609"/>
    <w:rsid w:val="00786242"/>
    <w:rsid w:val="00786A03"/>
    <w:rsid w:val="00791D89"/>
    <w:rsid w:val="00792B91"/>
    <w:rsid w:val="007A035D"/>
    <w:rsid w:val="007A2E3B"/>
    <w:rsid w:val="007B1D3C"/>
    <w:rsid w:val="007B2B07"/>
    <w:rsid w:val="007B7FD1"/>
    <w:rsid w:val="007C4221"/>
    <w:rsid w:val="007C74DE"/>
    <w:rsid w:val="007D32C3"/>
    <w:rsid w:val="007F3D88"/>
    <w:rsid w:val="00800EFE"/>
    <w:rsid w:val="00804DCA"/>
    <w:rsid w:val="00805F23"/>
    <w:rsid w:val="00815FC7"/>
    <w:rsid w:val="00816699"/>
    <w:rsid w:val="0083142B"/>
    <w:rsid w:val="00836623"/>
    <w:rsid w:val="00840737"/>
    <w:rsid w:val="008413E5"/>
    <w:rsid w:val="00845A15"/>
    <w:rsid w:val="0085161E"/>
    <w:rsid w:val="00853CEF"/>
    <w:rsid w:val="0085579F"/>
    <w:rsid w:val="0086022F"/>
    <w:rsid w:val="0086024F"/>
    <w:rsid w:val="008632B4"/>
    <w:rsid w:val="008632CA"/>
    <w:rsid w:val="008635C9"/>
    <w:rsid w:val="008635FF"/>
    <w:rsid w:val="00867929"/>
    <w:rsid w:val="00872352"/>
    <w:rsid w:val="0087490D"/>
    <w:rsid w:val="00875377"/>
    <w:rsid w:val="00884F80"/>
    <w:rsid w:val="00890BAB"/>
    <w:rsid w:val="00892E09"/>
    <w:rsid w:val="00897A5C"/>
    <w:rsid w:val="008A6A5D"/>
    <w:rsid w:val="008B012C"/>
    <w:rsid w:val="008B5B37"/>
    <w:rsid w:val="008C0F0D"/>
    <w:rsid w:val="008C285E"/>
    <w:rsid w:val="008C7DA2"/>
    <w:rsid w:val="008E136C"/>
    <w:rsid w:val="008E14D5"/>
    <w:rsid w:val="008E2D98"/>
    <w:rsid w:val="008E4E94"/>
    <w:rsid w:val="008F00BC"/>
    <w:rsid w:val="008F2077"/>
    <w:rsid w:val="008F2874"/>
    <w:rsid w:val="008F2897"/>
    <w:rsid w:val="008F7542"/>
    <w:rsid w:val="008F7DD3"/>
    <w:rsid w:val="0090018B"/>
    <w:rsid w:val="00901381"/>
    <w:rsid w:val="009014E4"/>
    <w:rsid w:val="00902F05"/>
    <w:rsid w:val="009032FD"/>
    <w:rsid w:val="00907248"/>
    <w:rsid w:val="00907A8D"/>
    <w:rsid w:val="00915E3B"/>
    <w:rsid w:val="009164B8"/>
    <w:rsid w:val="00917136"/>
    <w:rsid w:val="00921C80"/>
    <w:rsid w:val="0093084A"/>
    <w:rsid w:val="00931BC1"/>
    <w:rsid w:val="009361E9"/>
    <w:rsid w:val="009378B2"/>
    <w:rsid w:val="00940B43"/>
    <w:rsid w:val="009455AE"/>
    <w:rsid w:val="00951A56"/>
    <w:rsid w:val="00955068"/>
    <w:rsid w:val="00955B84"/>
    <w:rsid w:val="0095679E"/>
    <w:rsid w:val="009640A5"/>
    <w:rsid w:val="009745D5"/>
    <w:rsid w:val="00975686"/>
    <w:rsid w:val="00983DB8"/>
    <w:rsid w:val="00984C1B"/>
    <w:rsid w:val="0098714D"/>
    <w:rsid w:val="009A0C61"/>
    <w:rsid w:val="009B6894"/>
    <w:rsid w:val="009C1473"/>
    <w:rsid w:val="009C1D45"/>
    <w:rsid w:val="009C2986"/>
    <w:rsid w:val="009D0D1D"/>
    <w:rsid w:val="009D2221"/>
    <w:rsid w:val="009D2D6C"/>
    <w:rsid w:val="009D4A36"/>
    <w:rsid w:val="009E1C28"/>
    <w:rsid w:val="009F3C91"/>
    <w:rsid w:val="00A01F21"/>
    <w:rsid w:val="00A03642"/>
    <w:rsid w:val="00A076BB"/>
    <w:rsid w:val="00A14DB3"/>
    <w:rsid w:val="00A34E2A"/>
    <w:rsid w:val="00A35882"/>
    <w:rsid w:val="00A36BBE"/>
    <w:rsid w:val="00A42977"/>
    <w:rsid w:val="00A633CC"/>
    <w:rsid w:val="00A65831"/>
    <w:rsid w:val="00A709D8"/>
    <w:rsid w:val="00A72CA2"/>
    <w:rsid w:val="00A83AA2"/>
    <w:rsid w:val="00A8745B"/>
    <w:rsid w:val="00AA7E55"/>
    <w:rsid w:val="00AB1F3D"/>
    <w:rsid w:val="00AB20CA"/>
    <w:rsid w:val="00AC25EE"/>
    <w:rsid w:val="00AC35BB"/>
    <w:rsid w:val="00AC6788"/>
    <w:rsid w:val="00AC6855"/>
    <w:rsid w:val="00AC6E85"/>
    <w:rsid w:val="00AC708D"/>
    <w:rsid w:val="00AD16C1"/>
    <w:rsid w:val="00AD1BF7"/>
    <w:rsid w:val="00AD2865"/>
    <w:rsid w:val="00AD5670"/>
    <w:rsid w:val="00AD7150"/>
    <w:rsid w:val="00AE1CC7"/>
    <w:rsid w:val="00AE36A6"/>
    <w:rsid w:val="00AE7819"/>
    <w:rsid w:val="00AF0C66"/>
    <w:rsid w:val="00AF388A"/>
    <w:rsid w:val="00B02238"/>
    <w:rsid w:val="00B02800"/>
    <w:rsid w:val="00B03E68"/>
    <w:rsid w:val="00B0771A"/>
    <w:rsid w:val="00B07736"/>
    <w:rsid w:val="00B131F7"/>
    <w:rsid w:val="00B3495F"/>
    <w:rsid w:val="00B4213E"/>
    <w:rsid w:val="00B466EF"/>
    <w:rsid w:val="00B50448"/>
    <w:rsid w:val="00B52FA1"/>
    <w:rsid w:val="00B62080"/>
    <w:rsid w:val="00B63CDA"/>
    <w:rsid w:val="00B6448A"/>
    <w:rsid w:val="00B6700B"/>
    <w:rsid w:val="00B74F43"/>
    <w:rsid w:val="00B765C6"/>
    <w:rsid w:val="00B76DFE"/>
    <w:rsid w:val="00B8487C"/>
    <w:rsid w:val="00B85742"/>
    <w:rsid w:val="00B90AB3"/>
    <w:rsid w:val="00B91243"/>
    <w:rsid w:val="00B95712"/>
    <w:rsid w:val="00BA4F2F"/>
    <w:rsid w:val="00BA527A"/>
    <w:rsid w:val="00BA6710"/>
    <w:rsid w:val="00BB6559"/>
    <w:rsid w:val="00BC0AC6"/>
    <w:rsid w:val="00BC605C"/>
    <w:rsid w:val="00BD11CD"/>
    <w:rsid w:val="00BD60E4"/>
    <w:rsid w:val="00C00A51"/>
    <w:rsid w:val="00C034F3"/>
    <w:rsid w:val="00C07BFF"/>
    <w:rsid w:val="00C210C8"/>
    <w:rsid w:val="00C32118"/>
    <w:rsid w:val="00C340B5"/>
    <w:rsid w:val="00C375D7"/>
    <w:rsid w:val="00C40B0B"/>
    <w:rsid w:val="00C420E1"/>
    <w:rsid w:val="00C44905"/>
    <w:rsid w:val="00C46C25"/>
    <w:rsid w:val="00C54A38"/>
    <w:rsid w:val="00C57245"/>
    <w:rsid w:val="00C6233E"/>
    <w:rsid w:val="00C71A1C"/>
    <w:rsid w:val="00C737D6"/>
    <w:rsid w:val="00C76D6F"/>
    <w:rsid w:val="00C86737"/>
    <w:rsid w:val="00CA2A22"/>
    <w:rsid w:val="00CA4014"/>
    <w:rsid w:val="00CA4C1F"/>
    <w:rsid w:val="00CB59EC"/>
    <w:rsid w:val="00CC1E81"/>
    <w:rsid w:val="00CC37D0"/>
    <w:rsid w:val="00CC64C9"/>
    <w:rsid w:val="00CC7BCF"/>
    <w:rsid w:val="00CD3A12"/>
    <w:rsid w:val="00CD493E"/>
    <w:rsid w:val="00CD5B92"/>
    <w:rsid w:val="00CE1DE7"/>
    <w:rsid w:val="00CE6A67"/>
    <w:rsid w:val="00CF2D35"/>
    <w:rsid w:val="00CF5C54"/>
    <w:rsid w:val="00D12AD4"/>
    <w:rsid w:val="00D15840"/>
    <w:rsid w:val="00D16F3E"/>
    <w:rsid w:val="00D30109"/>
    <w:rsid w:val="00D36DC7"/>
    <w:rsid w:val="00D434AF"/>
    <w:rsid w:val="00D804E7"/>
    <w:rsid w:val="00D81C40"/>
    <w:rsid w:val="00D846D1"/>
    <w:rsid w:val="00D87907"/>
    <w:rsid w:val="00D928F7"/>
    <w:rsid w:val="00D92CCD"/>
    <w:rsid w:val="00D937F3"/>
    <w:rsid w:val="00D962DB"/>
    <w:rsid w:val="00DB1D70"/>
    <w:rsid w:val="00DC08F2"/>
    <w:rsid w:val="00DC1D13"/>
    <w:rsid w:val="00DC295C"/>
    <w:rsid w:val="00DC4B92"/>
    <w:rsid w:val="00DC6B96"/>
    <w:rsid w:val="00DE3134"/>
    <w:rsid w:val="00DE620A"/>
    <w:rsid w:val="00DF3BC5"/>
    <w:rsid w:val="00E02C49"/>
    <w:rsid w:val="00E04D8F"/>
    <w:rsid w:val="00E1767F"/>
    <w:rsid w:val="00E17923"/>
    <w:rsid w:val="00E24F4D"/>
    <w:rsid w:val="00E25B39"/>
    <w:rsid w:val="00E40F4A"/>
    <w:rsid w:val="00E45E73"/>
    <w:rsid w:val="00E46E86"/>
    <w:rsid w:val="00E57338"/>
    <w:rsid w:val="00E57FA4"/>
    <w:rsid w:val="00E60D4B"/>
    <w:rsid w:val="00E61972"/>
    <w:rsid w:val="00E70E5D"/>
    <w:rsid w:val="00E7470A"/>
    <w:rsid w:val="00E74A58"/>
    <w:rsid w:val="00E75245"/>
    <w:rsid w:val="00E75B65"/>
    <w:rsid w:val="00E80F4E"/>
    <w:rsid w:val="00E82B0C"/>
    <w:rsid w:val="00E86031"/>
    <w:rsid w:val="00E97C78"/>
    <w:rsid w:val="00EB42FD"/>
    <w:rsid w:val="00EB52A3"/>
    <w:rsid w:val="00EB6EDD"/>
    <w:rsid w:val="00EC14EB"/>
    <w:rsid w:val="00ED7FE0"/>
    <w:rsid w:val="00EE19EB"/>
    <w:rsid w:val="00EE2197"/>
    <w:rsid w:val="00EE3751"/>
    <w:rsid w:val="00EF2A10"/>
    <w:rsid w:val="00F0128A"/>
    <w:rsid w:val="00F01CCF"/>
    <w:rsid w:val="00F07A2E"/>
    <w:rsid w:val="00F13C4C"/>
    <w:rsid w:val="00F14D6C"/>
    <w:rsid w:val="00F23E67"/>
    <w:rsid w:val="00F254AF"/>
    <w:rsid w:val="00F310F4"/>
    <w:rsid w:val="00F345A0"/>
    <w:rsid w:val="00F43A97"/>
    <w:rsid w:val="00F44BE3"/>
    <w:rsid w:val="00F45A37"/>
    <w:rsid w:val="00F555FF"/>
    <w:rsid w:val="00F66BB9"/>
    <w:rsid w:val="00F73529"/>
    <w:rsid w:val="00F75DD8"/>
    <w:rsid w:val="00F77461"/>
    <w:rsid w:val="00F80962"/>
    <w:rsid w:val="00F81011"/>
    <w:rsid w:val="00F82364"/>
    <w:rsid w:val="00F91DA2"/>
    <w:rsid w:val="00FA0928"/>
    <w:rsid w:val="00FB3D64"/>
    <w:rsid w:val="00FB455E"/>
    <w:rsid w:val="00FB768D"/>
    <w:rsid w:val="00FD48CF"/>
    <w:rsid w:val="00FE28C7"/>
    <w:rsid w:val="00FE791F"/>
    <w:rsid w:val="00FF05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C2E4F"/>
  <w15:docId w15:val="{1D114EB0-8B67-445F-9B33-30A4B3D1D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800EFE"/>
    <w:pPr>
      <w:keepNext/>
      <w:keepLines/>
      <w:spacing w:before="160" w:after="80"/>
      <w:outlineLvl w:val="2"/>
    </w:pPr>
    <w:rPr>
      <w:rFonts w:asciiTheme="minorHAnsi" w:eastAsiaTheme="majorEastAsia" w:hAnsiTheme="minorHAnsi" w:cstheme="majorBidi"/>
      <w:color w:val="2E74B5" w:themeColor="accent1" w:themeShade="BF"/>
      <w:kern w:val="2"/>
      <w:sz w:val="28"/>
      <w:szCs w:val="28"/>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ection">
    <w:name w:val="subsection"/>
    <w:basedOn w:val="Normal"/>
    <w:rsid w:val="000178C6"/>
    <w:pPr>
      <w:spacing w:before="100" w:beforeAutospacing="1" w:after="100" w:afterAutospacing="1" w:line="240" w:lineRule="auto"/>
    </w:pPr>
    <w:rPr>
      <w:rFonts w:eastAsia="Times New Roman"/>
      <w:lang w:eastAsia="en-AU"/>
    </w:rPr>
  </w:style>
  <w:style w:type="paragraph" w:customStyle="1" w:styleId="paragraph">
    <w:name w:val="paragraph"/>
    <w:basedOn w:val="Normal"/>
    <w:rsid w:val="000178C6"/>
    <w:pPr>
      <w:spacing w:before="100" w:beforeAutospacing="1" w:after="100" w:afterAutospacing="1" w:line="240" w:lineRule="auto"/>
    </w:pPr>
    <w:rPr>
      <w:rFonts w:eastAsia="Times New Roman"/>
      <w:lang w:eastAsia="en-AU"/>
    </w:rPr>
  </w:style>
  <w:style w:type="paragraph" w:styleId="ListParagraph">
    <w:name w:val="List Paragraph"/>
    <w:basedOn w:val="Normal"/>
    <w:uiPriority w:val="34"/>
    <w:qFormat/>
    <w:rsid w:val="00300DC2"/>
    <w:pPr>
      <w:ind w:left="720"/>
      <w:contextualSpacing/>
    </w:pPr>
  </w:style>
  <w:style w:type="character" w:styleId="CommentReference">
    <w:name w:val="annotation reference"/>
    <w:basedOn w:val="DefaultParagraphFont"/>
    <w:uiPriority w:val="99"/>
    <w:unhideWhenUsed/>
    <w:rsid w:val="001F14BD"/>
    <w:rPr>
      <w:sz w:val="16"/>
      <w:szCs w:val="16"/>
    </w:rPr>
  </w:style>
  <w:style w:type="paragraph" w:styleId="CommentText">
    <w:name w:val="annotation text"/>
    <w:basedOn w:val="Normal"/>
    <w:link w:val="CommentTextChar"/>
    <w:uiPriority w:val="99"/>
    <w:unhideWhenUsed/>
    <w:rsid w:val="001F14BD"/>
    <w:pPr>
      <w:spacing w:line="240" w:lineRule="auto"/>
    </w:pPr>
    <w:rPr>
      <w:sz w:val="20"/>
      <w:szCs w:val="20"/>
    </w:rPr>
  </w:style>
  <w:style w:type="character" w:customStyle="1" w:styleId="CommentTextChar">
    <w:name w:val="Comment Text Char"/>
    <w:basedOn w:val="DefaultParagraphFont"/>
    <w:link w:val="CommentText"/>
    <w:uiPriority w:val="99"/>
    <w:rsid w:val="001F14BD"/>
    <w:rPr>
      <w:sz w:val="20"/>
      <w:szCs w:val="20"/>
    </w:rPr>
  </w:style>
  <w:style w:type="paragraph" w:styleId="CommentSubject">
    <w:name w:val="annotation subject"/>
    <w:basedOn w:val="CommentText"/>
    <w:next w:val="CommentText"/>
    <w:link w:val="CommentSubjectChar"/>
    <w:uiPriority w:val="99"/>
    <w:semiHidden/>
    <w:unhideWhenUsed/>
    <w:rsid w:val="001F14BD"/>
    <w:rPr>
      <w:b/>
      <w:bCs/>
    </w:rPr>
  </w:style>
  <w:style w:type="character" w:customStyle="1" w:styleId="CommentSubjectChar">
    <w:name w:val="Comment Subject Char"/>
    <w:basedOn w:val="CommentTextChar"/>
    <w:link w:val="CommentSubject"/>
    <w:uiPriority w:val="99"/>
    <w:semiHidden/>
    <w:rsid w:val="001F14BD"/>
    <w:rPr>
      <w:b/>
      <w:bCs/>
      <w:sz w:val="20"/>
      <w:szCs w:val="20"/>
    </w:rPr>
  </w:style>
  <w:style w:type="paragraph" w:styleId="BalloonText">
    <w:name w:val="Balloon Text"/>
    <w:basedOn w:val="Normal"/>
    <w:link w:val="BalloonTextChar"/>
    <w:uiPriority w:val="99"/>
    <w:semiHidden/>
    <w:unhideWhenUsed/>
    <w:rsid w:val="001F14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4BD"/>
    <w:rPr>
      <w:rFonts w:ascii="Tahoma" w:hAnsi="Tahoma" w:cs="Tahoma"/>
      <w:sz w:val="16"/>
      <w:szCs w:val="16"/>
    </w:rPr>
  </w:style>
  <w:style w:type="paragraph" w:customStyle="1" w:styleId="Dot1">
    <w:name w:val="Dot1"/>
    <w:aliases w:val="DOT"/>
    <w:basedOn w:val="Normal"/>
    <w:link w:val="Dot1Char"/>
    <w:uiPriority w:val="2"/>
    <w:qFormat/>
    <w:rsid w:val="00F555FF"/>
    <w:pPr>
      <w:numPr>
        <w:ilvl w:val="1"/>
        <w:numId w:val="1"/>
      </w:numPr>
      <w:spacing w:after="140" w:line="280" w:lineRule="atLeast"/>
    </w:pPr>
    <w:rPr>
      <w:rFonts w:ascii="Arial" w:eastAsia="Times New Roman" w:hAnsi="Arial" w:cs="Arial"/>
      <w:sz w:val="22"/>
      <w:szCs w:val="22"/>
      <w:lang w:eastAsia="en-AU"/>
    </w:rPr>
  </w:style>
  <w:style w:type="character" w:customStyle="1" w:styleId="Dot1Char">
    <w:name w:val="Dot1 Char"/>
    <w:aliases w:val="DOT Char"/>
    <w:basedOn w:val="DefaultParagraphFont"/>
    <w:link w:val="Dot1"/>
    <w:uiPriority w:val="2"/>
    <w:rsid w:val="00F555FF"/>
    <w:rPr>
      <w:rFonts w:ascii="Arial" w:eastAsia="Times New Roman" w:hAnsi="Arial" w:cs="Arial"/>
      <w:sz w:val="22"/>
      <w:szCs w:val="22"/>
      <w:lang w:eastAsia="en-AU"/>
    </w:rPr>
  </w:style>
  <w:style w:type="paragraph" w:styleId="Revision">
    <w:name w:val="Revision"/>
    <w:hidden/>
    <w:uiPriority w:val="99"/>
    <w:semiHidden/>
    <w:rsid w:val="00E24F4D"/>
    <w:pPr>
      <w:spacing w:after="0" w:line="240" w:lineRule="auto"/>
    </w:pPr>
  </w:style>
  <w:style w:type="paragraph" w:customStyle="1" w:styleId="CharCharCharChar">
    <w:name w:val="Char Char Char Char"/>
    <w:basedOn w:val="Normal"/>
    <w:rsid w:val="00917136"/>
    <w:pPr>
      <w:spacing w:after="0" w:line="240" w:lineRule="auto"/>
    </w:pPr>
    <w:rPr>
      <w:rFonts w:ascii="Arial" w:eastAsia="Times New Roman" w:hAnsi="Arial" w:cs="Arial"/>
      <w:sz w:val="22"/>
      <w:szCs w:val="22"/>
    </w:rPr>
  </w:style>
  <w:style w:type="paragraph" w:customStyle="1" w:styleId="CharCharCharChar0">
    <w:name w:val="Char Char Char Char"/>
    <w:basedOn w:val="Normal"/>
    <w:rsid w:val="00B4213E"/>
    <w:pPr>
      <w:spacing w:after="0" w:line="240" w:lineRule="auto"/>
    </w:pPr>
    <w:rPr>
      <w:rFonts w:ascii="Arial" w:eastAsia="Times New Roman" w:hAnsi="Arial" w:cs="Arial"/>
      <w:sz w:val="22"/>
      <w:szCs w:val="22"/>
    </w:rPr>
  </w:style>
  <w:style w:type="paragraph" w:customStyle="1" w:styleId="Tabletext">
    <w:name w:val="Tabletext"/>
    <w:aliases w:val="tt"/>
    <w:basedOn w:val="Normal"/>
    <w:rsid w:val="00F91DA2"/>
    <w:pPr>
      <w:spacing w:before="60" w:after="0" w:line="240" w:lineRule="atLeast"/>
    </w:pPr>
    <w:rPr>
      <w:rFonts w:eastAsia="Times New Roman"/>
      <w:sz w:val="20"/>
      <w:szCs w:val="20"/>
      <w:lang w:eastAsia="en-AU"/>
    </w:rPr>
  </w:style>
  <w:style w:type="character" w:styleId="Hyperlink">
    <w:name w:val="Hyperlink"/>
    <w:basedOn w:val="DefaultParagraphFont"/>
    <w:uiPriority w:val="99"/>
    <w:unhideWhenUsed/>
    <w:rsid w:val="00CA4C1F"/>
    <w:rPr>
      <w:color w:val="0000FF"/>
      <w:u w:val="single"/>
    </w:rPr>
  </w:style>
  <w:style w:type="table" w:styleId="TableGrid">
    <w:name w:val="Table Grid"/>
    <w:basedOn w:val="TableNormal"/>
    <w:rsid w:val="001B037F"/>
    <w:pPr>
      <w:spacing w:after="0" w:line="240" w:lineRule="auto"/>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rug-name">
    <w:name w:val="drug-name"/>
    <w:basedOn w:val="DefaultParagraphFont"/>
    <w:rsid w:val="001B037F"/>
  </w:style>
  <w:style w:type="character" w:customStyle="1" w:styleId="form-strength">
    <w:name w:val="form-strength"/>
    <w:basedOn w:val="DefaultParagraphFont"/>
    <w:rsid w:val="001B037F"/>
  </w:style>
  <w:style w:type="paragraph" w:customStyle="1" w:styleId="null">
    <w:name w:val="null"/>
    <w:basedOn w:val="Normal"/>
    <w:rsid w:val="0027658E"/>
    <w:pPr>
      <w:spacing w:before="100" w:beforeAutospacing="1" w:after="100" w:afterAutospacing="1" w:line="240" w:lineRule="auto"/>
    </w:pPr>
    <w:rPr>
      <w:rFonts w:ascii="Calibri" w:hAnsi="Calibri" w:cs="Calibri"/>
      <w:sz w:val="22"/>
      <w:szCs w:val="22"/>
      <w:lang w:eastAsia="en-AU"/>
    </w:rPr>
  </w:style>
  <w:style w:type="paragraph" w:customStyle="1" w:styleId="footnotedescription">
    <w:name w:val="footnote description"/>
    <w:next w:val="Normal"/>
    <w:link w:val="footnotedescriptionChar"/>
    <w:hidden/>
    <w:rsid w:val="00657216"/>
    <w:pPr>
      <w:spacing w:after="0" w:line="272" w:lineRule="auto"/>
      <w:ind w:right="926"/>
    </w:pPr>
    <w:rPr>
      <w:rFonts w:eastAsia="Times New Roman"/>
      <w:i/>
      <w:color w:val="000000"/>
      <w:sz w:val="18"/>
      <w:szCs w:val="22"/>
      <w:lang w:eastAsia="en-AU"/>
    </w:rPr>
  </w:style>
  <w:style w:type="character" w:customStyle="1" w:styleId="footnotedescriptionChar">
    <w:name w:val="footnote description Char"/>
    <w:link w:val="footnotedescription"/>
    <w:rsid w:val="00657216"/>
    <w:rPr>
      <w:rFonts w:eastAsia="Times New Roman"/>
      <w:i/>
      <w:color w:val="000000"/>
      <w:sz w:val="18"/>
      <w:szCs w:val="22"/>
      <w:lang w:eastAsia="en-AU"/>
    </w:rPr>
  </w:style>
  <w:style w:type="character" w:customStyle="1" w:styleId="Heading3Char">
    <w:name w:val="Heading 3 Char"/>
    <w:basedOn w:val="DefaultParagraphFont"/>
    <w:link w:val="Heading3"/>
    <w:uiPriority w:val="9"/>
    <w:semiHidden/>
    <w:rsid w:val="00800EFE"/>
    <w:rPr>
      <w:rFonts w:asciiTheme="minorHAnsi" w:eastAsiaTheme="majorEastAsia" w:hAnsiTheme="minorHAnsi" w:cstheme="majorBidi"/>
      <w:color w:val="2E74B5" w:themeColor="accent1" w:themeShade="BF"/>
      <w:kern w:val="2"/>
      <w:sz w:val="28"/>
      <w:szCs w:val="2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264755">
      <w:bodyDiv w:val="1"/>
      <w:marLeft w:val="0"/>
      <w:marRight w:val="0"/>
      <w:marTop w:val="0"/>
      <w:marBottom w:val="0"/>
      <w:divBdr>
        <w:top w:val="none" w:sz="0" w:space="0" w:color="auto"/>
        <w:left w:val="none" w:sz="0" w:space="0" w:color="auto"/>
        <w:bottom w:val="none" w:sz="0" w:space="0" w:color="auto"/>
        <w:right w:val="none" w:sz="0" w:space="0" w:color="auto"/>
      </w:divBdr>
    </w:div>
    <w:div w:id="154152569">
      <w:bodyDiv w:val="1"/>
      <w:marLeft w:val="0"/>
      <w:marRight w:val="0"/>
      <w:marTop w:val="0"/>
      <w:marBottom w:val="0"/>
      <w:divBdr>
        <w:top w:val="none" w:sz="0" w:space="0" w:color="auto"/>
        <w:left w:val="none" w:sz="0" w:space="0" w:color="auto"/>
        <w:bottom w:val="none" w:sz="0" w:space="0" w:color="auto"/>
        <w:right w:val="none" w:sz="0" w:space="0" w:color="auto"/>
      </w:divBdr>
    </w:div>
    <w:div w:id="262998375">
      <w:bodyDiv w:val="1"/>
      <w:marLeft w:val="0"/>
      <w:marRight w:val="0"/>
      <w:marTop w:val="0"/>
      <w:marBottom w:val="0"/>
      <w:divBdr>
        <w:top w:val="none" w:sz="0" w:space="0" w:color="auto"/>
        <w:left w:val="none" w:sz="0" w:space="0" w:color="auto"/>
        <w:bottom w:val="none" w:sz="0" w:space="0" w:color="auto"/>
        <w:right w:val="none" w:sz="0" w:space="0" w:color="auto"/>
      </w:divBdr>
    </w:div>
    <w:div w:id="307974617">
      <w:bodyDiv w:val="1"/>
      <w:marLeft w:val="0"/>
      <w:marRight w:val="0"/>
      <w:marTop w:val="0"/>
      <w:marBottom w:val="0"/>
      <w:divBdr>
        <w:top w:val="none" w:sz="0" w:space="0" w:color="auto"/>
        <w:left w:val="none" w:sz="0" w:space="0" w:color="auto"/>
        <w:bottom w:val="none" w:sz="0" w:space="0" w:color="auto"/>
        <w:right w:val="none" w:sz="0" w:space="0" w:color="auto"/>
      </w:divBdr>
    </w:div>
    <w:div w:id="319769658">
      <w:bodyDiv w:val="1"/>
      <w:marLeft w:val="0"/>
      <w:marRight w:val="0"/>
      <w:marTop w:val="0"/>
      <w:marBottom w:val="0"/>
      <w:divBdr>
        <w:top w:val="none" w:sz="0" w:space="0" w:color="auto"/>
        <w:left w:val="none" w:sz="0" w:space="0" w:color="auto"/>
        <w:bottom w:val="none" w:sz="0" w:space="0" w:color="auto"/>
        <w:right w:val="none" w:sz="0" w:space="0" w:color="auto"/>
      </w:divBdr>
    </w:div>
    <w:div w:id="327175797">
      <w:bodyDiv w:val="1"/>
      <w:marLeft w:val="0"/>
      <w:marRight w:val="0"/>
      <w:marTop w:val="0"/>
      <w:marBottom w:val="0"/>
      <w:divBdr>
        <w:top w:val="none" w:sz="0" w:space="0" w:color="auto"/>
        <w:left w:val="none" w:sz="0" w:space="0" w:color="auto"/>
        <w:bottom w:val="none" w:sz="0" w:space="0" w:color="auto"/>
        <w:right w:val="none" w:sz="0" w:space="0" w:color="auto"/>
      </w:divBdr>
    </w:div>
    <w:div w:id="335425792">
      <w:bodyDiv w:val="1"/>
      <w:marLeft w:val="0"/>
      <w:marRight w:val="0"/>
      <w:marTop w:val="0"/>
      <w:marBottom w:val="0"/>
      <w:divBdr>
        <w:top w:val="none" w:sz="0" w:space="0" w:color="auto"/>
        <w:left w:val="none" w:sz="0" w:space="0" w:color="auto"/>
        <w:bottom w:val="none" w:sz="0" w:space="0" w:color="auto"/>
        <w:right w:val="none" w:sz="0" w:space="0" w:color="auto"/>
      </w:divBdr>
    </w:div>
    <w:div w:id="385876688">
      <w:bodyDiv w:val="1"/>
      <w:marLeft w:val="0"/>
      <w:marRight w:val="0"/>
      <w:marTop w:val="0"/>
      <w:marBottom w:val="0"/>
      <w:divBdr>
        <w:top w:val="none" w:sz="0" w:space="0" w:color="auto"/>
        <w:left w:val="none" w:sz="0" w:space="0" w:color="auto"/>
        <w:bottom w:val="none" w:sz="0" w:space="0" w:color="auto"/>
        <w:right w:val="none" w:sz="0" w:space="0" w:color="auto"/>
      </w:divBdr>
    </w:div>
    <w:div w:id="404962861">
      <w:bodyDiv w:val="1"/>
      <w:marLeft w:val="0"/>
      <w:marRight w:val="0"/>
      <w:marTop w:val="0"/>
      <w:marBottom w:val="0"/>
      <w:divBdr>
        <w:top w:val="none" w:sz="0" w:space="0" w:color="auto"/>
        <w:left w:val="none" w:sz="0" w:space="0" w:color="auto"/>
        <w:bottom w:val="none" w:sz="0" w:space="0" w:color="auto"/>
        <w:right w:val="none" w:sz="0" w:space="0" w:color="auto"/>
      </w:divBdr>
    </w:div>
    <w:div w:id="430706626">
      <w:bodyDiv w:val="1"/>
      <w:marLeft w:val="0"/>
      <w:marRight w:val="0"/>
      <w:marTop w:val="0"/>
      <w:marBottom w:val="0"/>
      <w:divBdr>
        <w:top w:val="none" w:sz="0" w:space="0" w:color="auto"/>
        <w:left w:val="none" w:sz="0" w:space="0" w:color="auto"/>
        <w:bottom w:val="none" w:sz="0" w:space="0" w:color="auto"/>
        <w:right w:val="none" w:sz="0" w:space="0" w:color="auto"/>
      </w:divBdr>
    </w:div>
    <w:div w:id="526260155">
      <w:bodyDiv w:val="1"/>
      <w:marLeft w:val="0"/>
      <w:marRight w:val="0"/>
      <w:marTop w:val="0"/>
      <w:marBottom w:val="0"/>
      <w:divBdr>
        <w:top w:val="none" w:sz="0" w:space="0" w:color="auto"/>
        <w:left w:val="none" w:sz="0" w:space="0" w:color="auto"/>
        <w:bottom w:val="none" w:sz="0" w:space="0" w:color="auto"/>
        <w:right w:val="none" w:sz="0" w:space="0" w:color="auto"/>
      </w:divBdr>
    </w:div>
    <w:div w:id="532350045">
      <w:bodyDiv w:val="1"/>
      <w:marLeft w:val="0"/>
      <w:marRight w:val="0"/>
      <w:marTop w:val="0"/>
      <w:marBottom w:val="0"/>
      <w:divBdr>
        <w:top w:val="none" w:sz="0" w:space="0" w:color="auto"/>
        <w:left w:val="none" w:sz="0" w:space="0" w:color="auto"/>
        <w:bottom w:val="none" w:sz="0" w:space="0" w:color="auto"/>
        <w:right w:val="none" w:sz="0" w:space="0" w:color="auto"/>
      </w:divBdr>
    </w:div>
    <w:div w:id="614287462">
      <w:bodyDiv w:val="1"/>
      <w:marLeft w:val="0"/>
      <w:marRight w:val="0"/>
      <w:marTop w:val="0"/>
      <w:marBottom w:val="0"/>
      <w:divBdr>
        <w:top w:val="none" w:sz="0" w:space="0" w:color="auto"/>
        <w:left w:val="none" w:sz="0" w:space="0" w:color="auto"/>
        <w:bottom w:val="none" w:sz="0" w:space="0" w:color="auto"/>
        <w:right w:val="none" w:sz="0" w:space="0" w:color="auto"/>
      </w:divBdr>
    </w:div>
    <w:div w:id="647055125">
      <w:bodyDiv w:val="1"/>
      <w:marLeft w:val="0"/>
      <w:marRight w:val="0"/>
      <w:marTop w:val="0"/>
      <w:marBottom w:val="0"/>
      <w:divBdr>
        <w:top w:val="none" w:sz="0" w:space="0" w:color="auto"/>
        <w:left w:val="none" w:sz="0" w:space="0" w:color="auto"/>
        <w:bottom w:val="none" w:sz="0" w:space="0" w:color="auto"/>
        <w:right w:val="none" w:sz="0" w:space="0" w:color="auto"/>
      </w:divBdr>
    </w:div>
    <w:div w:id="739599206">
      <w:bodyDiv w:val="1"/>
      <w:marLeft w:val="0"/>
      <w:marRight w:val="0"/>
      <w:marTop w:val="0"/>
      <w:marBottom w:val="0"/>
      <w:divBdr>
        <w:top w:val="none" w:sz="0" w:space="0" w:color="auto"/>
        <w:left w:val="none" w:sz="0" w:space="0" w:color="auto"/>
        <w:bottom w:val="none" w:sz="0" w:space="0" w:color="auto"/>
        <w:right w:val="none" w:sz="0" w:space="0" w:color="auto"/>
      </w:divBdr>
    </w:div>
    <w:div w:id="772212151">
      <w:bodyDiv w:val="1"/>
      <w:marLeft w:val="0"/>
      <w:marRight w:val="0"/>
      <w:marTop w:val="0"/>
      <w:marBottom w:val="0"/>
      <w:divBdr>
        <w:top w:val="none" w:sz="0" w:space="0" w:color="auto"/>
        <w:left w:val="none" w:sz="0" w:space="0" w:color="auto"/>
        <w:bottom w:val="none" w:sz="0" w:space="0" w:color="auto"/>
        <w:right w:val="none" w:sz="0" w:space="0" w:color="auto"/>
      </w:divBdr>
    </w:div>
    <w:div w:id="772673960">
      <w:bodyDiv w:val="1"/>
      <w:marLeft w:val="0"/>
      <w:marRight w:val="0"/>
      <w:marTop w:val="0"/>
      <w:marBottom w:val="0"/>
      <w:divBdr>
        <w:top w:val="none" w:sz="0" w:space="0" w:color="auto"/>
        <w:left w:val="none" w:sz="0" w:space="0" w:color="auto"/>
        <w:bottom w:val="none" w:sz="0" w:space="0" w:color="auto"/>
        <w:right w:val="none" w:sz="0" w:space="0" w:color="auto"/>
      </w:divBdr>
    </w:div>
    <w:div w:id="831523825">
      <w:bodyDiv w:val="1"/>
      <w:marLeft w:val="0"/>
      <w:marRight w:val="0"/>
      <w:marTop w:val="0"/>
      <w:marBottom w:val="0"/>
      <w:divBdr>
        <w:top w:val="none" w:sz="0" w:space="0" w:color="auto"/>
        <w:left w:val="none" w:sz="0" w:space="0" w:color="auto"/>
        <w:bottom w:val="none" w:sz="0" w:space="0" w:color="auto"/>
        <w:right w:val="none" w:sz="0" w:space="0" w:color="auto"/>
      </w:divBdr>
    </w:div>
    <w:div w:id="859121510">
      <w:bodyDiv w:val="1"/>
      <w:marLeft w:val="0"/>
      <w:marRight w:val="0"/>
      <w:marTop w:val="0"/>
      <w:marBottom w:val="0"/>
      <w:divBdr>
        <w:top w:val="none" w:sz="0" w:space="0" w:color="auto"/>
        <w:left w:val="none" w:sz="0" w:space="0" w:color="auto"/>
        <w:bottom w:val="none" w:sz="0" w:space="0" w:color="auto"/>
        <w:right w:val="none" w:sz="0" w:space="0" w:color="auto"/>
      </w:divBdr>
    </w:div>
    <w:div w:id="932670750">
      <w:bodyDiv w:val="1"/>
      <w:marLeft w:val="0"/>
      <w:marRight w:val="0"/>
      <w:marTop w:val="0"/>
      <w:marBottom w:val="0"/>
      <w:divBdr>
        <w:top w:val="none" w:sz="0" w:space="0" w:color="auto"/>
        <w:left w:val="none" w:sz="0" w:space="0" w:color="auto"/>
        <w:bottom w:val="none" w:sz="0" w:space="0" w:color="auto"/>
        <w:right w:val="none" w:sz="0" w:space="0" w:color="auto"/>
      </w:divBdr>
    </w:div>
    <w:div w:id="1119957997">
      <w:bodyDiv w:val="1"/>
      <w:marLeft w:val="0"/>
      <w:marRight w:val="0"/>
      <w:marTop w:val="0"/>
      <w:marBottom w:val="0"/>
      <w:divBdr>
        <w:top w:val="none" w:sz="0" w:space="0" w:color="auto"/>
        <w:left w:val="none" w:sz="0" w:space="0" w:color="auto"/>
        <w:bottom w:val="none" w:sz="0" w:space="0" w:color="auto"/>
        <w:right w:val="none" w:sz="0" w:space="0" w:color="auto"/>
      </w:divBdr>
    </w:div>
    <w:div w:id="1202941849">
      <w:bodyDiv w:val="1"/>
      <w:marLeft w:val="0"/>
      <w:marRight w:val="0"/>
      <w:marTop w:val="0"/>
      <w:marBottom w:val="0"/>
      <w:divBdr>
        <w:top w:val="none" w:sz="0" w:space="0" w:color="auto"/>
        <w:left w:val="none" w:sz="0" w:space="0" w:color="auto"/>
        <w:bottom w:val="none" w:sz="0" w:space="0" w:color="auto"/>
        <w:right w:val="none" w:sz="0" w:space="0" w:color="auto"/>
      </w:divBdr>
    </w:div>
    <w:div w:id="1225141478">
      <w:bodyDiv w:val="1"/>
      <w:marLeft w:val="0"/>
      <w:marRight w:val="0"/>
      <w:marTop w:val="0"/>
      <w:marBottom w:val="0"/>
      <w:divBdr>
        <w:top w:val="none" w:sz="0" w:space="0" w:color="auto"/>
        <w:left w:val="none" w:sz="0" w:space="0" w:color="auto"/>
        <w:bottom w:val="none" w:sz="0" w:space="0" w:color="auto"/>
        <w:right w:val="none" w:sz="0" w:space="0" w:color="auto"/>
      </w:divBdr>
    </w:div>
    <w:div w:id="1239706612">
      <w:bodyDiv w:val="1"/>
      <w:marLeft w:val="0"/>
      <w:marRight w:val="0"/>
      <w:marTop w:val="0"/>
      <w:marBottom w:val="0"/>
      <w:divBdr>
        <w:top w:val="none" w:sz="0" w:space="0" w:color="auto"/>
        <w:left w:val="none" w:sz="0" w:space="0" w:color="auto"/>
        <w:bottom w:val="none" w:sz="0" w:space="0" w:color="auto"/>
        <w:right w:val="none" w:sz="0" w:space="0" w:color="auto"/>
      </w:divBdr>
    </w:div>
    <w:div w:id="1325160372">
      <w:bodyDiv w:val="1"/>
      <w:marLeft w:val="0"/>
      <w:marRight w:val="0"/>
      <w:marTop w:val="0"/>
      <w:marBottom w:val="0"/>
      <w:divBdr>
        <w:top w:val="none" w:sz="0" w:space="0" w:color="auto"/>
        <w:left w:val="none" w:sz="0" w:space="0" w:color="auto"/>
        <w:bottom w:val="none" w:sz="0" w:space="0" w:color="auto"/>
        <w:right w:val="none" w:sz="0" w:space="0" w:color="auto"/>
      </w:divBdr>
    </w:div>
    <w:div w:id="1365978778">
      <w:bodyDiv w:val="1"/>
      <w:marLeft w:val="0"/>
      <w:marRight w:val="0"/>
      <w:marTop w:val="0"/>
      <w:marBottom w:val="0"/>
      <w:divBdr>
        <w:top w:val="none" w:sz="0" w:space="0" w:color="auto"/>
        <w:left w:val="none" w:sz="0" w:space="0" w:color="auto"/>
        <w:bottom w:val="none" w:sz="0" w:space="0" w:color="auto"/>
        <w:right w:val="none" w:sz="0" w:space="0" w:color="auto"/>
      </w:divBdr>
    </w:div>
    <w:div w:id="1541359375">
      <w:bodyDiv w:val="1"/>
      <w:marLeft w:val="0"/>
      <w:marRight w:val="0"/>
      <w:marTop w:val="0"/>
      <w:marBottom w:val="0"/>
      <w:divBdr>
        <w:top w:val="none" w:sz="0" w:space="0" w:color="auto"/>
        <w:left w:val="none" w:sz="0" w:space="0" w:color="auto"/>
        <w:bottom w:val="none" w:sz="0" w:space="0" w:color="auto"/>
        <w:right w:val="none" w:sz="0" w:space="0" w:color="auto"/>
      </w:divBdr>
    </w:div>
    <w:div w:id="1683774560">
      <w:bodyDiv w:val="1"/>
      <w:marLeft w:val="0"/>
      <w:marRight w:val="0"/>
      <w:marTop w:val="0"/>
      <w:marBottom w:val="0"/>
      <w:divBdr>
        <w:top w:val="none" w:sz="0" w:space="0" w:color="auto"/>
        <w:left w:val="none" w:sz="0" w:space="0" w:color="auto"/>
        <w:bottom w:val="none" w:sz="0" w:space="0" w:color="auto"/>
        <w:right w:val="none" w:sz="0" w:space="0" w:color="auto"/>
      </w:divBdr>
    </w:div>
    <w:div w:id="1717043328">
      <w:bodyDiv w:val="1"/>
      <w:marLeft w:val="0"/>
      <w:marRight w:val="0"/>
      <w:marTop w:val="0"/>
      <w:marBottom w:val="0"/>
      <w:divBdr>
        <w:top w:val="none" w:sz="0" w:space="0" w:color="auto"/>
        <w:left w:val="none" w:sz="0" w:space="0" w:color="auto"/>
        <w:bottom w:val="none" w:sz="0" w:space="0" w:color="auto"/>
        <w:right w:val="none" w:sz="0" w:space="0" w:color="auto"/>
      </w:divBdr>
    </w:div>
    <w:div w:id="1809594525">
      <w:bodyDiv w:val="1"/>
      <w:marLeft w:val="0"/>
      <w:marRight w:val="0"/>
      <w:marTop w:val="0"/>
      <w:marBottom w:val="0"/>
      <w:divBdr>
        <w:top w:val="none" w:sz="0" w:space="0" w:color="auto"/>
        <w:left w:val="none" w:sz="0" w:space="0" w:color="auto"/>
        <w:bottom w:val="none" w:sz="0" w:space="0" w:color="auto"/>
        <w:right w:val="none" w:sz="0" w:space="0" w:color="auto"/>
      </w:divBdr>
    </w:div>
    <w:div w:id="1829515859">
      <w:bodyDiv w:val="1"/>
      <w:marLeft w:val="0"/>
      <w:marRight w:val="0"/>
      <w:marTop w:val="0"/>
      <w:marBottom w:val="0"/>
      <w:divBdr>
        <w:top w:val="none" w:sz="0" w:space="0" w:color="auto"/>
        <w:left w:val="none" w:sz="0" w:space="0" w:color="auto"/>
        <w:bottom w:val="none" w:sz="0" w:space="0" w:color="auto"/>
        <w:right w:val="none" w:sz="0" w:space="0" w:color="auto"/>
      </w:divBdr>
    </w:div>
    <w:div w:id="1913732180">
      <w:bodyDiv w:val="1"/>
      <w:marLeft w:val="0"/>
      <w:marRight w:val="0"/>
      <w:marTop w:val="0"/>
      <w:marBottom w:val="0"/>
      <w:divBdr>
        <w:top w:val="none" w:sz="0" w:space="0" w:color="auto"/>
        <w:left w:val="none" w:sz="0" w:space="0" w:color="auto"/>
        <w:bottom w:val="none" w:sz="0" w:space="0" w:color="auto"/>
        <w:right w:val="none" w:sz="0" w:space="0" w:color="auto"/>
      </w:divBdr>
    </w:div>
    <w:div w:id="1990863134">
      <w:bodyDiv w:val="1"/>
      <w:marLeft w:val="0"/>
      <w:marRight w:val="0"/>
      <w:marTop w:val="0"/>
      <w:marBottom w:val="0"/>
      <w:divBdr>
        <w:top w:val="none" w:sz="0" w:space="0" w:color="auto"/>
        <w:left w:val="none" w:sz="0" w:space="0" w:color="auto"/>
        <w:bottom w:val="none" w:sz="0" w:space="0" w:color="auto"/>
        <w:right w:val="none" w:sz="0" w:space="0" w:color="auto"/>
      </w:divBdr>
    </w:div>
    <w:div w:id="2030597106">
      <w:bodyDiv w:val="1"/>
      <w:marLeft w:val="0"/>
      <w:marRight w:val="0"/>
      <w:marTop w:val="0"/>
      <w:marBottom w:val="0"/>
      <w:divBdr>
        <w:top w:val="none" w:sz="0" w:space="0" w:color="auto"/>
        <w:left w:val="none" w:sz="0" w:space="0" w:color="auto"/>
        <w:bottom w:val="none" w:sz="0" w:space="0" w:color="auto"/>
        <w:right w:val="none" w:sz="0" w:space="0" w:color="auto"/>
      </w:divBdr>
    </w:div>
    <w:div w:id="2042776999">
      <w:bodyDiv w:val="1"/>
      <w:marLeft w:val="0"/>
      <w:marRight w:val="0"/>
      <w:marTop w:val="0"/>
      <w:marBottom w:val="0"/>
      <w:divBdr>
        <w:top w:val="none" w:sz="0" w:space="0" w:color="auto"/>
        <w:left w:val="none" w:sz="0" w:space="0" w:color="auto"/>
        <w:bottom w:val="none" w:sz="0" w:space="0" w:color="auto"/>
        <w:right w:val="none" w:sz="0" w:space="0" w:color="auto"/>
      </w:divBdr>
    </w:div>
    <w:div w:id="2078360031">
      <w:bodyDiv w:val="1"/>
      <w:marLeft w:val="0"/>
      <w:marRight w:val="0"/>
      <w:marTop w:val="0"/>
      <w:marBottom w:val="0"/>
      <w:divBdr>
        <w:top w:val="none" w:sz="0" w:space="0" w:color="auto"/>
        <w:left w:val="none" w:sz="0" w:space="0" w:color="auto"/>
        <w:bottom w:val="none" w:sz="0" w:space="0" w:color="auto"/>
        <w:right w:val="none" w:sz="0" w:space="0" w:color="auto"/>
      </w:divBdr>
    </w:div>
    <w:div w:id="2096045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0219D-9C5F-4597-8DBB-78CEFC5BF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6</Pages>
  <Words>1694</Words>
  <Characters>9658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Benham, Christine</dc:creator>
  <cp:lastModifiedBy>VAN DER KALLEN, Jovi</cp:lastModifiedBy>
  <cp:revision>12</cp:revision>
  <cp:lastPrinted>2023-07-05T04:13:00Z</cp:lastPrinted>
  <dcterms:created xsi:type="dcterms:W3CDTF">2024-11-25T02:53:00Z</dcterms:created>
  <dcterms:modified xsi:type="dcterms:W3CDTF">2024-12-10T06:46:00Z</dcterms:modified>
</cp:coreProperties>
</file>