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A69C" w14:textId="77777777" w:rsidR="00E00750" w:rsidRPr="001F714C" w:rsidRDefault="00E00750" w:rsidP="00E00750">
      <w:pPr>
        <w:pStyle w:val="Title"/>
        <w:rPr>
          <w:color w:val="000000" w:themeColor="text1"/>
          <w:sz w:val="28"/>
          <w:szCs w:val="28"/>
        </w:rPr>
      </w:pPr>
      <w:r w:rsidRPr="001F714C">
        <w:rPr>
          <w:color w:val="000000" w:themeColor="text1"/>
          <w:sz w:val="28"/>
          <w:szCs w:val="28"/>
        </w:rPr>
        <w:t xml:space="preserve">Explanatory Statement </w:t>
      </w:r>
    </w:p>
    <w:p w14:paraId="5085775A" w14:textId="77777777" w:rsidR="00E00750" w:rsidRPr="00D24F72" w:rsidRDefault="00E00750" w:rsidP="00E00750">
      <w:pPr>
        <w:rPr>
          <w:color w:val="000000" w:themeColor="text1"/>
          <w:sz w:val="24"/>
        </w:rPr>
      </w:pPr>
    </w:p>
    <w:p w14:paraId="2B4098E1" w14:textId="77777777" w:rsidR="00E00750" w:rsidRPr="00D24F72" w:rsidRDefault="00D751F2" w:rsidP="004120B9">
      <w:pPr>
        <w:jc w:val="center"/>
        <w:rPr>
          <w:i/>
          <w:color w:val="000000" w:themeColor="text1"/>
          <w:sz w:val="24"/>
          <w:szCs w:val="24"/>
        </w:rPr>
      </w:pPr>
      <w:bookmarkStart w:id="0" w:name="_Toc113891895"/>
      <w:bookmarkStart w:id="1" w:name="_Toc113892419"/>
      <w:r w:rsidRPr="00D24F72">
        <w:rPr>
          <w:i/>
          <w:color w:val="000000" w:themeColor="text1"/>
          <w:sz w:val="24"/>
          <w:szCs w:val="24"/>
        </w:rPr>
        <w:t>Broadcasting Services Act 1992</w:t>
      </w:r>
      <w:bookmarkEnd w:id="0"/>
      <w:bookmarkEnd w:id="1"/>
    </w:p>
    <w:p w14:paraId="6835B9C4" w14:textId="77777777" w:rsidR="00E00750" w:rsidRPr="00D24F72" w:rsidRDefault="00E00750" w:rsidP="00E00750">
      <w:pPr>
        <w:rPr>
          <w:color w:val="000000" w:themeColor="text1"/>
        </w:rPr>
      </w:pPr>
    </w:p>
    <w:p w14:paraId="70247FB9" w14:textId="77777777" w:rsidR="00E00750" w:rsidRPr="00D24F72" w:rsidRDefault="00622464" w:rsidP="00E00750">
      <w:pPr>
        <w:jc w:val="center"/>
        <w:rPr>
          <w:b/>
          <w:color w:val="000000" w:themeColor="text1"/>
          <w:sz w:val="28"/>
          <w:szCs w:val="28"/>
        </w:rPr>
      </w:pPr>
      <w:r w:rsidRPr="00622464">
        <w:rPr>
          <w:b/>
          <w:color w:val="000000" w:themeColor="text1"/>
          <w:sz w:val="28"/>
          <w:szCs w:val="28"/>
        </w:rPr>
        <w:t xml:space="preserve">Broadcasting Services (Anti-Siphoning List) Instrument </w:t>
      </w:r>
      <w:r>
        <w:rPr>
          <w:b/>
          <w:color w:val="000000" w:themeColor="text1"/>
          <w:sz w:val="28"/>
          <w:szCs w:val="28"/>
        </w:rPr>
        <w:t>2024</w:t>
      </w:r>
    </w:p>
    <w:p w14:paraId="4344CF26" w14:textId="77777777" w:rsidR="007F6AB9" w:rsidRPr="00D24F72" w:rsidRDefault="007F6AB9" w:rsidP="007F6AB9">
      <w:pPr>
        <w:rPr>
          <w:color w:val="000000" w:themeColor="text1"/>
          <w:sz w:val="24"/>
        </w:rPr>
      </w:pPr>
    </w:p>
    <w:p w14:paraId="41CBB0DB" w14:textId="77777777" w:rsidR="00136308" w:rsidRPr="00D24F72" w:rsidRDefault="001C1979" w:rsidP="00136308">
      <w:pPr>
        <w:jc w:val="center"/>
        <w:rPr>
          <w:color w:val="000000" w:themeColor="text1"/>
          <w:sz w:val="24"/>
          <w:szCs w:val="24"/>
        </w:rPr>
      </w:pPr>
      <w:r w:rsidRPr="00D24F72">
        <w:rPr>
          <w:color w:val="000000" w:themeColor="text1"/>
          <w:sz w:val="24"/>
          <w:szCs w:val="24"/>
        </w:rPr>
        <w:t>Issued by the A</w:t>
      </w:r>
      <w:r w:rsidR="003D6754" w:rsidRPr="00D24F72">
        <w:rPr>
          <w:color w:val="000000" w:themeColor="text1"/>
          <w:sz w:val="24"/>
          <w:szCs w:val="24"/>
        </w:rPr>
        <w:t>uthority of the Minister for Commun</w:t>
      </w:r>
      <w:r w:rsidR="00BB5279" w:rsidRPr="00D24F72">
        <w:rPr>
          <w:color w:val="000000" w:themeColor="text1"/>
          <w:sz w:val="24"/>
          <w:szCs w:val="24"/>
        </w:rPr>
        <w:t>ications</w:t>
      </w:r>
    </w:p>
    <w:p w14:paraId="3E4CA969" w14:textId="77777777" w:rsidR="0034679C" w:rsidRPr="00D24F72" w:rsidRDefault="0034679C" w:rsidP="00E00750">
      <w:pPr>
        <w:rPr>
          <w:color w:val="000000" w:themeColor="text1"/>
          <w:sz w:val="24"/>
        </w:rPr>
      </w:pPr>
    </w:p>
    <w:p w14:paraId="1E0BF18C" w14:textId="77777777" w:rsidR="00E00750" w:rsidRPr="00D24F72" w:rsidRDefault="0014799A" w:rsidP="00E00750">
      <w:pPr>
        <w:rPr>
          <w:color w:val="000000" w:themeColor="text1"/>
          <w:sz w:val="24"/>
          <w:u w:val="single"/>
        </w:rPr>
      </w:pPr>
      <w:r w:rsidRPr="00D24F72">
        <w:rPr>
          <w:color w:val="000000" w:themeColor="text1"/>
          <w:sz w:val="24"/>
          <w:u w:val="single"/>
        </w:rPr>
        <w:t xml:space="preserve">Authority </w:t>
      </w:r>
    </w:p>
    <w:p w14:paraId="4B3E3783" w14:textId="77777777" w:rsidR="00E00750" w:rsidRPr="00D24F72" w:rsidRDefault="00E00750" w:rsidP="00E00750">
      <w:pPr>
        <w:rPr>
          <w:color w:val="000000" w:themeColor="text1"/>
          <w:sz w:val="24"/>
          <w:szCs w:val="24"/>
        </w:rPr>
      </w:pPr>
    </w:p>
    <w:p w14:paraId="2CE48A83" w14:textId="77777777" w:rsidR="005914D6" w:rsidRDefault="36A87989" w:rsidP="36A87989">
      <w:pPr>
        <w:rPr>
          <w:color w:val="000000" w:themeColor="text1"/>
          <w:sz w:val="24"/>
          <w:szCs w:val="24"/>
        </w:rPr>
      </w:pPr>
      <w:bookmarkStart w:id="2" w:name="_Hlk129786456"/>
      <w:r w:rsidRPr="36A87989">
        <w:rPr>
          <w:color w:val="000000" w:themeColor="text1"/>
          <w:sz w:val="24"/>
          <w:szCs w:val="24"/>
        </w:rPr>
        <w:t xml:space="preserve">The </w:t>
      </w:r>
      <w:r w:rsidRPr="36A87989">
        <w:rPr>
          <w:i/>
          <w:iCs/>
          <w:color w:val="000000" w:themeColor="text1"/>
          <w:sz w:val="24"/>
          <w:szCs w:val="24"/>
        </w:rPr>
        <w:t>Broadcasting Services (Anti-Siphoning List) Instrument 2024</w:t>
      </w:r>
      <w:r w:rsidRPr="36A87989">
        <w:rPr>
          <w:color w:val="000000" w:themeColor="text1"/>
          <w:sz w:val="24"/>
          <w:szCs w:val="24"/>
        </w:rPr>
        <w:t xml:space="preserve"> (the </w:t>
      </w:r>
      <w:r w:rsidR="00E470DD">
        <w:rPr>
          <w:color w:val="000000" w:themeColor="text1"/>
          <w:sz w:val="24"/>
          <w:szCs w:val="24"/>
        </w:rPr>
        <w:t>I</w:t>
      </w:r>
      <w:r w:rsidRPr="36A87989">
        <w:rPr>
          <w:color w:val="000000" w:themeColor="text1"/>
          <w:sz w:val="24"/>
          <w:szCs w:val="24"/>
        </w:rPr>
        <w:t>nstrument) is made by the Minister for Communications (the Minister) under subsection 146</w:t>
      </w:r>
      <w:proofErr w:type="gramStart"/>
      <w:r w:rsidRPr="36A87989">
        <w:rPr>
          <w:color w:val="000000" w:themeColor="text1"/>
          <w:sz w:val="24"/>
          <w:szCs w:val="24"/>
        </w:rPr>
        <w:t>V(</w:t>
      </w:r>
      <w:proofErr w:type="gramEnd"/>
      <w:r w:rsidRPr="36A87989">
        <w:rPr>
          <w:color w:val="000000" w:themeColor="text1"/>
          <w:sz w:val="24"/>
          <w:szCs w:val="24"/>
        </w:rPr>
        <w:t xml:space="preserve">1) of the </w:t>
      </w:r>
      <w:r w:rsidRPr="36A87989">
        <w:rPr>
          <w:i/>
          <w:iCs/>
          <w:color w:val="000000" w:themeColor="text1"/>
          <w:sz w:val="24"/>
          <w:szCs w:val="24"/>
        </w:rPr>
        <w:t>Broadcasting Services Act 1992</w:t>
      </w:r>
      <w:r w:rsidRPr="36A87989">
        <w:rPr>
          <w:color w:val="000000" w:themeColor="text1"/>
          <w:sz w:val="24"/>
          <w:szCs w:val="24"/>
        </w:rPr>
        <w:t xml:space="preserve"> (</w:t>
      </w:r>
      <w:r w:rsidRPr="00C63971">
        <w:rPr>
          <w:color w:val="000000" w:themeColor="text1"/>
          <w:sz w:val="24"/>
          <w:szCs w:val="24"/>
        </w:rPr>
        <w:t>the Act).</w:t>
      </w:r>
      <w:r w:rsidRPr="36A87989">
        <w:rPr>
          <w:color w:val="000000" w:themeColor="text1"/>
          <w:sz w:val="24"/>
          <w:szCs w:val="24"/>
        </w:rPr>
        <w:t xml:space="preserve">  </w:t>
      </w:r>
    </w:p>
    <w:p w14:paraId="56A288F9" w14:textId="77777777" w:rsidR="00E00750" w:rsidRPr="00D24F72" w:rsidRDefault="00E00750" w:rsidP="00E00750">
      <w:pPr>
        <w:rPr>
          <w:color w:val="000000" w:themeColor="text1"/>
          <w:sz w:val="24"/>
          <w:szCs w:val="24"/>
        </w:rPr>
      </w:pPr>
    </w:p>
    <w:p w14:paraId="346D99F1" w14:textId="77777777" w:rsidR="0014799A" w:rsidRPr="00D24F72" w:rsidRDefault="0014799A" w:rsidP="001318EF">
      <w:pPr>
        <w:rPr>
          <w:color w:val="000000" w:themeColor="text1"/>
          <w:sz w:val="24"/>
          <w:szCs w:val="24"/>
          <w:u w:val="single"/>
        </w:rPr>
      </w:pPr>
      <w:r w:rsidRPr="00D24F72">
        <w:rPr>
          <w:color w:val="000000" w:themeColor="text1"/>
          <w:sz w:val="24"/>
          <w:szCs w:val="24"/>
          <w:u w:val="single"/>
        </w:rPr>
        <w:t xml:space="preserve">Purpose </w:t>
      </w:r>
    </w:p>
    <w:p w14:paraId="6BB77216" w14:textId="77777777" w:rsidR="00A00F9D" w:rsidRDefault="00A00F9D" w:rsidP="00A00F9D">
      <w:pPr>
        <w:shd w:val="clear" w:color="auto" w:fill="FFFFFF"/>
        <w:rPr>
          <w:color w:val="000000"/>
          <w:sz w:val="24"/>
          <w:szCs w:val="24"/>
        </w:rPr>
      </w:pPr>
    </w:p>
    <w:p w14:paraId="77A0B764" w14:textId="77777777" w:rsidR="007E7AA7" w:rsidRPr="001F714C" w:rsidRDefault="005357C1" w:rsidP="007E7AA7">
      <w:pPr>
        <w:shd w:val="clear" w:color="auto" w:fill="FFFFFF"/>
        <w:rPr>
          <w:color w:val="000000"/>
          <w:sz w:val="24"/>
          <w:szCs w:val="24"/>
        </w:rPr>
      </w:pPr>
      <w:bookmarkStart w:id="3" w:name="_Hlk129789014"/>
      <w:r>
        <w:rPr>
          <w:color w:val="000000"/>
          <w:sz w:val="24"/>
          <w:szCs w:val="24"/>
        </w:rPr>
        <w:t xml:space="preserve">The purpose of the </w:t>
      </w:r>
      <w:r w:rsidR="00C34C4F">
        <w:rPr>
          <w:color w:val="000000"/>
          <w:sz w:val="24"/>
          <w:szCs w:val="24"/>
        </w:rPr>
        <w:t>I</w:t>
      </w:r>
      <w:r>
        <w:rPr>
          <w:color w:val="000000"/>
          <w:sz w:val="24"/>
          <w:szCs w:val="24"/>
        </w:rPr>
        <w:t>nstrument is</w:t>
      </w:r>
      <w:r w:rsidR="007E7AA7">
        <w:rPr>
          <w:color w:val="000000"/>
          <w:sz w:val="24"/>
          <w:szCs w:val="24"/>
        </w:rPr>
        <w:t xml:space="preserve"> to create a list of events </w:t>
      </w:r>
      <w:r w:rsidR="007E7AA7" w:rsidRPr="0059350E">
        <w:rPr>
          <w:color w:val="000000"/>
          <w:sz w:val="24"/>
          <w:szCs w:val="24"/>
        </w:rPr>
        <w:t xml:space="preserve">the televising of which should, in the </w:t>
      </w:r>
      <w:r w:rsidR="007E7AA7">
        <w:rPr>
          <w:color w:val="000000"/>
          <w:sz w:val="24"/>
          <w:szCs w:val="24"/>
        </w:rPr>
        <w:t xml:space="preserve">opinion of the </w:t>
      </w:r>
      <w:r w:rsidR="007E7AA7" w:rsidRPr="0059350E">
        <w:rPr>
          <w:color w:val="000000"/>
          <w:sz w:val="24"/>
          <w:szCs w:val="24"/>
        </w:rPr>
        <w:t>Minister, be available free to the general public.</w:t>
      </w:r>
      <w:r w:rsidR="007E7AA7">
        <w:rPr>
          <w:color w:val="000000"/>
          <w:sz w:val="24"/>
          <w:szCs w:val="24"/>
        </w:rPr>
        <w:t xml:space="preserve"> </w:t>
      </w:r>
      <w:r w:rsidR="00A00F9D" w:rsidRPr="0059350E">
        <w:rPr>
          <w:color w:val="000000"/>
          <w:sz w:val="24"/>
          <w:szCs w:val="24"/>
        </w:rPr>
        <w:t xml:space="preserve">Subsection </w:t>
      </w:r>
      <w:r w:rsidR="00622464">
        <w:rPr>
          <w:color w:val="000000"/>
          <w:sz w:val="24"/>
          <w:szCs w:val="24"/>
        </w:rPr>
        <w:t>146</w:t>
      </w:r>
      <w:proofErr w:type="gramStart"/>
      <w:r w:rsidR="00622464">
        <w:rPr>
          <w:color w:val="000000"/>
          <w:sz w:val="24"/>
          <w:szCs w:val="24"/>
        </w:rPr>
        <w:t>V</w:t>
      </w:r>
      <w:r w:rsidR="00A00F9D" w:rsidRPr="0059350E">
        <w:rPr>
          <w:color w:val="000000"/>
          <w:sz w:val="24"/>
          <w:szCs w:val="24"/>
        </w:rPr>
        <w:t>(</w:t>
      </w:r>
      <w:proofErr w:type="gramEnd"/>
      <w:r w:rsidR="00A00F9D" w:rsidRPr="0059350E">
        <w:rPr>
          <w:color w:val="000000"/>
          <w:sz w:val="24"/>
          <w:szCs w:val="24"/>
        </w:rPr>
        <w:t xml:space="preserve">1) of the </w:t>
      </w:r>
      <w:r w:rsidR="00A00F9D">
        <w:rPr>
          <w:color w:val="000000"/>
          <w:sz w:val="24"/>
          <w:szCs w:val="24"/>
        </w:rPr>
        <w:t>Act</w:t>
      </w:r>
      <w:r w:rsidR="005F38AA">
        <w:rPr>
          <w:color w:val="000000"/>
          <w:sz w:val="24"/>
          <w:szCs w:val="24"/>
        </w:rPr>
        <w:t xml:space="preserve"> </w:t>
      </w:r>
      <w:r w:rsidR="00A00F9D" w:rsidRPr="0059350E">
        <w:rPr>
          <w:color w:val="000000"/>
          <w:sz w:val="24"/>
          <w:szCs w:val="24"/>
        </w:rPr>
        <w:t xml:space="preserve">provides </w:t>
      </w:r>
      <w:r w:rsidR="007E7AA7">
        <w:rPr>
          <w:color w:val="000000"/>
          <w:sz w:val="24"/>
          <w:szCs w:val="24"/>
        </w:rPr>
        <w:t xml:space="preserve">for the Minister to make such a list which is </w:t>
      </w:r>
      <w:r w:rsidR="007E7AA7" w:rsidRPr="00B47683">
        <w:rPr>
          <w:color w:val="000000"/>
          <w:sz w:val="24"/>
          <w:szCs w:val="24"/>
          <w:lang w:val="en-GB"/>
        </w:rPr>
        <w:t>commonly known as the anti-siphoning list</w:t>
      </w:r>
      <w:r w:rsidR="007E7AA7">
        <w:rPr>
          <w:color w:val="000000"/>
          <w:sz w:val="24"/>
          <w:szCs w:val="24"/>
          <w:lang w:val="en-GB"/>
        </w:rPr>
        <w:t xml:space="preserve"> (the list)</w:t>
      </w:r>
      <w:r w:rsidR="007E7AA7" w:rsidRPr="00B47683">
        <w:rPr>
          <w:color w:val="000000"/>
          <w:sz w:val="24"/>
          <w:szCs w:val="24"/>
          <w:lang w:val="en-GB"/>
        </w:rPr>
        <w:t>.</w:t>
      </w:r>
      <w:r w:rsidR="007E7AA7" w:rsidRPr="000F4E74">
        <w:rPr>
          <w:color w:val="000000" w:themeColor="text1"/>
          <w:sz w:val="24"/>
          <w:szCs w:val="24"/>
        </w:rPr>
        <w:t xml:space="preserve"> </w:t>
      </w:r>
    </w:p>
    <w:p w14:paraId="6BA86BD7" w14:textId="77777777" w:rsidR="003949BC" w:rsidRDefault="003949BC" w:rsidP="00A00F9D">
      <w:pPr>
        <w:shd w:val="clear" w:color="auto" w:fill="FFFFFF"/>
        <w:rPr>
          <w:color w:val="000000" w:themeColor="text1"/>
          <w:sz w:val="24"/>
          <w:szCs w:val="24"/>
        </w:rPr>
      </w:pPr>
    </w:p>
    <w:p w14:paraId="373E0254" w14:textId="77777777" w:rsidR="00A00F9D" w:rsidRDefault="000F4E74" w:rsidP="00A00F9D">
      <w:pPr>
        <w:shd w:val="clear" w:color="auto" w:fill="FFFFFF"/>
        <w:rPr>
          <w:color w:val="000000"/>
          <w:sz w:val="24"/>
          <w:szCs w:val="24"/>
          <w:lang w:val="en-GB"/>
        </w:rPr>
      </w:pPr>
      <w:r>
        <w:rPr>
          <w:color w:val="000000" w:themeColor="text1"/>
          <w:sz w:val="24"/>
          <w:szCs w:val="24"/>
        </w:rPr>
        <w:t xml:space="preserve">The list forms an integral part of the anti-siphoning scheme </w:t>
      </w:r>
      <w:r w:rsidR="00DC0E00">
        <w:rPr>
          <w:color w:val="000000" w:themeColor="text1"/>
          <w:sz w:val="24"/>
          <w:szCs w:val="24"/>
        </w:rPr>
        <w:t xml:space="preserve">(the scheme) </w:t>
      </w:r>
      <w:r w:rsidR="003949BC">
        <w:rPr>
          <w:color w:val="000000" w:themeColor="text1"/>
          <w:sz w:val="24"/>
        </w:rPr>
        <w:t xml:space="preserve">which is designed to further </w:t>
      </w:r>
      <w:r w:rsidR="003949BC" w:rsidRPr="001F714C">
        <w:rPr>
          <w:color w:val="000000"/>
          <w:sz w:val="24"/>
          <w:szCs w:val="24"/>
          <w:lang w:val="en-GB"/>
        </w:rPr>
        <w:t xml:space="preserve">the object </w:t>
      </w:r>
      <w:r w:rsidR="003949BC">
        <w:rPr>
          <w:color w:val="000000"/>
          <w:sz w:val="24"/>
          <w:szCs w:val="24"/>
          <w:lang w:val="en-GB"/>
        </w:rPr>
        <w:t>specified in paragraph 3(</w:t>
      </w:r>
      <w:proofErr w:type="gramStart"/>
      <w:r w:rsidR="003949BC">
        <w:rPr>
          <w:color w:val="000000"/>
          <w:sz w:val="24"/>
          <w:szCs w:val="24"/>
          <w:lang w:val="en-GB"/>
        </w:rPr>
        <w:t>1)(</w:t>
      </w:r>
      <w:proofErr w:type="gramEnd"/>
      <w:r w:rsidR="003949BC">
        <w:rPr>
          <w:color w:val="000000"/>
          <w:sz w:val="24"/>
          <w:szCs w:val="24"/>
          <w:lang w:val="en-GB"/>
        </w:rPr>
        <w:t xml:space="preserve">eb) </w:t>
      </w:r>
      <w:r w:rsidR="003949BC" w:rsidRPr="001F714C">
        <w:rPr>
          <w:color w:val="000000"/>
          <w:sz w:val="24"/>
          <w:szCs w:val="24"/>
          <w:lang w:val="en-GB"/>
        </w:rPr>
        <w:t>of the Act</w:t>
      </w:r>
      <w:r w:rsidR="003949BC">
        <w:rPr>
          <w:color w:val="000000"/>
          <w:sz w:val="24"/>
          <w:szCs w:val="24"/>
          <w:lang w:val="en-GB"/>
        </w:rPr>
        <w:t xml:space="preserve">: </w:t>
      </w:r>
      <w:r w:rsidR="003949BC" w:rsidRPr="001F714C">
        <w:rPr>
          <w:color w:val="000000"/>
          <w:sz w:val="24"/>
          <w:szCs w:val="24"/>
          <w:lang w:val="en-GB"/>
        </w:rPr>
        <w:t>to promote the free availability to audiences throughout</w:t>
      </w:r>
      <w:r w:rsidR="003949BC">
        <w:rPr>
          <w:color w:val="000000"/>
          <w:sz w:val="24"/>
          <w:szCs w:val="24"/>
          <w:lang w:val="en-GB"/>
        </w:rPr>
        <w:t xml:space="preserve"> </w:t>
      </w:r>
      <w:r w:rsidR="003949BC" w:rsidRPr="001F714C">
        <w:rPr>
          <w:color w:val="000000"/>
          <w:sz w:val="24"/>
          <w:szCs w:val="24"/>
          <w:lang w:val="en-GB"/>
        </w:rPr>
        <w:t>Australia of television coverage of events of national</w:t>
      </w:r>
      <w:r w:rsidR="003949BC">
        <w:rPr>
          <w:color w:val="000000"/>
          <w:sz w:val="24"/>
          <w:szCs w:val="24"/>
          <w:lang w:val="en-GB"/>
        </w:rPr>
        <w:t xml:space="preserve"> </w:t>
      </w:r>
      <w:r w:rsidR="003949BC" w:rsidRPr="001F714C">
        <w:rPr>
          <w:color w:val="000000"/>
          <w:sz w:val="24"/>
          <w:szCs w:val="24"/>
          <w:lang w:val="en-GB"/>
        </w:rPr>
        <w:t>importance and cultural significance</w:t>
      </w:r>
      <w:r w:rsidR="003949BC">
        <w:rPr>
          <w:color w:val="000000"/>
          <w:sz w:val="24"/>
          <w:szCs w:val="24"/>
          <w:lang w:val="en-GB"/>
        </w:rPr>
        <w:t xml:space="preserve">. </w:t>
      </w:r>
    </w:p>
    <w:p w14:paraId="60EC27A8" w14:textId="77777777" w:rsidR="00A00F9D" w:rsidRDefault="00A00F9D" w:rsidP="00CB39C0">
      <w:pPr>
        <w:shd w:val="clear" w:color="auto" w:fill="FFFFFF"/>
        <w:rPr>
          <w:color w:val="000000"/>
          <w:sz w:val="24"/>
          <w:szCs w:val="24"/>
          <w:lang w:val="en-GB"/>
        </w:rPr>
      </w:pPr>
      <w:r>
        <w:rPr>
          <w:color w:val="000000"/>
          <w:sz w:val="24"/>
          <w:szCs w:val="24"/>
          <w:lang w:val="en-GB"/>
        </w:rPr>
        <w:t xml:space="preserve"> </w:t>
      </w:r>
    </w:p>
    <w:p w14:paraId="5EBA3B62" w14:textId="77777777" w:rsidR="00CB39C0" w:rsidRPr="005357C1" w:rsidRDefault="00DC0E00" w:rsidP="00CB39C0">
      <w:pPr>
        <w:shd w:val="clear" w:color="auto" w:fill="FFFFFF"/>
        <w:rPr>
          <w:color w:val="000000" w:themeColor="text1"/>
          <w:sz w:val="24"/>
          <w:szCs w:val="24"/>
        </w:rPr>
      </w:pPr>
      <w:r>
        <w:rPr>
          <w:color w:val="000000" w:themeColor="text1"/>
          <w:sz w:val="24"/>
          <w:szCs w:val="24"/>
        </w:rPr>
        <w:t xml:space="preserve">The Instrument </w:t>
      </w:r>
      <w:r w:rsidR="00A339D0">
        <w:rPr>
          <w:color w:val="000000"/>
          <w:sz w:val="24"/>
          <w:szCs w:val="24"/>
          <w:lang w:val="en-GB"/>
        </w:rPr>
        <w:t xml:space="preserve">retains the composition of the </w:t>
      </w:r>
      <w:r w:rsidR="00E470DD" w:rsidRPr="001F714C">
        <w:rPr>
          <w:i/>
          <w:color w:val="000000"/>
          <w:sz w:val="24"/>
          <w:szCs w:val="24"/>
          <w:lang w:val="en-GB"/>
        </w:rPr>
        <w:t>Broadcasting Services (Events) Notice 2023</w:t>
      </w:r>
      <w:r w:rsidR="00E470DD">
        <w:rPr>
          <w:color w:val="000000"/>
          <w:sz w:val="24"/>
          <w:szCs w:val="24"/>
          <w:lang w:val="en-GB"/>
        </w:rPr>
        <w:t xml:space="preserve"> </w:t>
      </w:r>
      <w:r w:rsidR="00E470DD">
        <w:rPr>
          <w:i/>
          <w:color w:val="000000"/>
          <w:sz w:val="24"/>
          <w:szCs w:val="24"/>
          <w:lang w:val="en-GB"/>
        </w:rPr>
        <w:t xml:space="preserve">(the 2023 Instrument) </w:t>
      </w:r>
      <w:r w:rsidR="00E470DD">
        <w:rPr>
          <w:color w:val="000000"/>
          <w:sz w:val="24"/>
          <w:szCs w:val="24"/>
          <w:lang w:val="en-GB"/>
        </w:rPr>
        <w:t xml:space="preserve">– the list made under the previous scheme – </w:t>
      </w:r>
      <w:r>
        <w:rPr>
          <w:color w:val="000000"/>
          <w:sz w:val="24"/>
          <w:szCs w:val="24"/>
          <w:lang w:val="en-GB"/>
        </w:rPr>
        <w:t xml:space="preserve">and </w:t>
      </w:r>
      <w:r w:rsidR="00A339D0">
        <w:rPr>
          <w:color w:val="000000"/>
          <w:sz w:val="24"/>
          <w:szCs w:val="24"/>
          <w:lang w:val="en-GB"/>
        </w:rPr>
        <w:t xml:space="preserve">includes a number of additional events to modernise </w:t>
      </w:r>
      <w:r w:rsidR="005820B7">
        <w:rPr>
          <w:color w:val="000000"/>
          <w:sz w:val="24"/>
          <w:szCs w:val="24"/>
          <w:lang w:val="en-GB"/>
        </w:rPr>
        <w:t>the overall operation of the scheme</w:t>
      </w:r>
      <w:r w:rsidR="00A339D0">
        <w:rPr>
          <w:color w:val="000000"/>
          <w:sz w:val="24"/>
          <w:szCs w:val="24"/>
          <w:lang w:val="en-GB"/>
        </w:rPr>
        <w:t xml:space="preserve"> and bring it into line with contemporary community expectations. </w:t>
      </w:r>
    </w:p>
    <w:p w14:paraId="29851943" w14:textId="77777777" w:rsidR="00A00F9D" w:rsidRDefault="00A00F9D" w:rsidP="00E00750">
      <w:pPr>
        <w:rPr>
          <w:color w:val="000000" w:themeColor="text1"/>
          <w:sz w:val="24"/>
          <w:szCs w:val="24"/>
        </w:rPr>
      </w:pPr>
    </w:p>
    <w:p w14:paraId="7226E013" w14:textId="77777777" w:rsidR="00404192" w:rsidRPr="00D24F72" w:rsidRDefault="00404192" w:rsidP="00E00750">
      <w:pPr>
        <w:rPr>
          <w:color w:val="000000" w:themeColor="text1"/>
          <w:sz w:val="24"/>
          <w:szCs w:val="24"/>
        </w:rPr>
      </w:pPr>
      <w:r w:rsidRPr="00D24F72">
        <w:rPr>
          <w:color w:val="000000" w:themeColor="text1"/>
          <w:sz w:val="24"/>
          <w:szCs w:val="24"/>
        </w:rPr>
        <w:t xml:space="preserve">The notes on the provisions of the </w:t>
      </w:r>
      <w:r w:rsidR="009125C6">
        <w:rPr>
          <w:color w:val="000000" w:themeColor="text1"/>
          <w:sz w:val="24"/>
          <w:szCs w:val="24"/>
        </w:rPr>
        <w:t>Instrument</w:t>
      </w:r>
      <w:r w:rsidRPr="00D24F72">
        <w:rPr>
          <w:color w:val="000000" w:themeColor="text1"/>
          <w:sz w:val="24"/>
          <w:szCs w:val="24"/>
        </w:rPr>
        <w:t xml:space="preserve"> are set out in </w:t>
      </w:r>
      <w:r w:rsidRPr="00D24F72">
        <w:rPr>
          <w:b/>
          <w:color w:val="000000" w:themeColor="text1"/>
          <w:sz w:val="24"/>
          <w:szCs w:val="24"/>
          <w:u w:val="single"/>
        </w:rPr>
        <w:t>Attachment A</w:t>
      </w:r>
      <w:r w:rsidRPr="00D24F72">
        <w:rPr>
          <w:color w:val="000000" w:themeColor="text1"/>
          <w:sz w:val="24"/>
          <w:szCs w:val="24"/>
        </w:rPr>
        <w:t>.</w:t>
      </w:r>
    </w:p>
    <w:p w14:paraId="586F36B5" w14:textId="77777777" w:rsidR="00404192" w:rsidRPr="00D24F72" w:rsidRDefault="00404192" w:rsidP="00E00750">
      <w:pPr>
        <w:rPr>
          <w:color w:val="000000" w:themeColor="text1"/>
          <w:sz w:val="24"/>
          <w:szCs w:val="24"/>
        </w:rPr>
      </w:pPr>
    </w:p>
    <w:p w14:paraId="3D9296B2" w14:textId="77777777" w:rsidR="00E00750" w:rsidRPr="00D24F72" w:rsidRDefault="00E00750" w:rsidP="00E00750">
      <w:pPr>
        <w:rPr>
          <w:color w:val="000000" w:themeColor="text1"/>
          <w:sz w:val="24"/>
          <w:szCs w:val="24"/>
        </w:rPr>
      </w:pPr>
      <w:r w:rsidRPr="00D24F72">
        <w:rPr>
          <w:color w:val="000000" w:themeColor="text1"/>
          <w:sz w:val="24"/>
          <w:szCs w:val="24"/>
        </w:rPr>
        <w:t>Th</w:t>
      </w:r>
      <w:r w:rsidR="00E470DD">
        <w:rPr>
          <w:color w:val="000000" w:themeColor="text1"/>
          <w:sz w:val="24"/>
          <w:szCs w:val="24"/>
        </w:rPr>
        <w:t>e</w:t>
      </w:r>
      <w:r w:rsidRPr="00D24F72">
        <w:rPr>
          <w:color w:val="000000" w:themeColor="text1"/>
          <w:sz w:val="24"/>
          <w:szCs w:val="24"/>
        </w:rPr>
        <w:t xml:space="preserve"> </w:t>
      </w:r>
      <w:r w:rsidR="00EA287D">
        <w:rPr>
          <w:color w:val="000000" w:themeColor="text1"/>
          <w:sz w:val="24"/>
          <w:szCs w:val="24"/>
        </w:rPr>
        <w:t>I</w:t>
      </w:r>
      <w:r w:rsidR="002131AC" w:rsidRPr="00D24F72">
        <w:rPr>
          <w:color w:val="000000" w:themeColor="text1"/>
          <w:sz w:val="24"/>
          <w:szCs w:val="24"/>
        </w:rPr>
        <w:t xml:space="preserve">nstrument </w:t>
      </w:r>
      <w:r w:rsidRPr="00D24F72">
        <w:rPr>
          <w:color w:val="000000" w:themeColor="text1"/>
          <w:sz w:val="24"/>
          <w:szCs w:val="24"/>
        </w:rPr>
        <w:t xml:space="preserve">is a legislative instrument for the purposes of </w:t>
      </w:r>
      <w:r w:rsidR="00623BEB" w:rsidRPr="00D24F72">
        <w:rPr>
          <w:color w:val="000000" w:themeColor="text1"/>
          <w:sz w:val="24"/>
          <w:szCs w:val="24"/>
        </w:rPr>
        <w:t>section 8 of</w:t>
      </w:r>
      <w:r w:rsidR="00893412" w:rsidRPr="00D24F72">
        <w:rPr>
          <w:color w:val="000000" w:themeColor="text1"/>
          <w:sz w:val="24"/>
          <w:szCs w:val="24"/>
        </w:rPr>
        <w:t xml:space="preserve"> </w:t>
      </w:r>
      <w:r w:rsidRPr="00D24F72">
        <w:rPr>
          <w:color w:val="000000" w:themeColor="text1"/>
          <w:sz w:val="24"/>
          <w:szCs w:val="24"/>
        </w:rPr>
        <w:t>the</w:t>
      </w:r>
      <w:r w:rsidR="00893412" w:rsidRPr="00D24F72">
        <w:rPr>
          <w:color w:val="000000" w:themeColor="text1"/>
          <w:sz w:val="24"/>
          <w:szCs w:val="24"/>
        </w:rPr>
        <w:t xml:space="preserve"> </w:t>
      </w:r>
      <w:r w:rsidR="00623BEB" w:rsidRPr="00D24F72">
        <w:rPr>
          <w:i/>
          <w:color w:val="000000" w:themeColor="text1"/>
          <w:sz w:val="24"/>
          <w:szCs w:val="24"/>
        </w:rPr>
        <w:t>Legislation</w:t>
      </w:r>
      <w:r w:rsidR="00893412" w:rsidRPr="00D24F72">
        <w:rPr>
          <w:i/>
          <w:color w:val="000000" w:themeColor="text1"/>
          <w:sz w:val="24"/>
          <w:szCs w:val="24"/>
        </w:rPr>
        <w:t> </w:t>
      </w:r>
      <w:r w:rsidRPr="00D24F72">
        <w:rPr>
          <w:i/>
          <w:color w:val="000000" w:themeColor="text1"/>
          <w:sz w:val="24"/>
          <w:szCs w:val="24"/>
        </w:rPr>
        <w:t>Act</w:t>
      </w:r>
      <w:r w:rsidR="005914D6">
        <w:rPr>
          <w:i/>
          <w:color w:val="000000" w:themeColor="text1"/>
          <w:sz w:val="24"/>
          <w:szCs w:val="24"/>
        </w:rPr>
        <w:t> </w:t>
      </w:r>
      <w:r w:rsidRPr="00D24F72">
        <w:rPr>
          <w:i/>
          <w:color w:val="000000" w:themeColor="text1"/>
          <w:sz w:val="24"/>
          <w:szCs w:val="24"/>
        </w:rPr>
        <w:t>2003</w:t>
      </w:r>
      <w:r w:rsidRPr="00D24F72">
        <w:rPr>
          <w:color w:val="000000" w:themeColor="text1"/>
          <w:sz w:val="24"/>
          <w:szCs w:val="24"/>
        </w:rPr>
        <w:t>.</w:t>
      </w:r>
    </w:p>
    <w:p w14:paraId="3BABF571" w14:textId="77777777" w:rsidR="002131AC" w:rsidRPr="00D24F72" w:rsidRDefault="002131AC" w:rsidP="00E00750">
      <w:pPr>
        <w:rPr>
          <w:color w:val="000000" w:themeColor="text1"/>
          <w:sz w:val="24"/>
          <w:szCs w:val="24"/>
        </w:rPr>
      </w:pPr>
    </w:p>
    <w:p w14:paraId="4EF3D487" w14:textId="77777777" w:rsidR="00E00750" w:rsidRPr="00156A60" w:rsidRDefault="00E00750" w:rsidP="00E00750">
      <w:pPr>
        <w:rPr>
          <w:color w:val="000000" w:themeColor="text1"/>
          <w:sz w:val="24"/>
          <w:szCs w:val="24"/>
          <w:u w:val="single"/>
        </w:rPr>
      </w:pPr>
      <w:r w:rsidRPr="00156A60">
        <w:rPr>
          <w:color w:val="000000" w:themeColor="text1"/>
          <w:sz w:val="24"/>
          <w:szCs w:val="24"/>
          <w:u w:val="single"/>
        </w:rPr>
        <w:t>Background</w:t>
      </w:r>
    </w:p>
    <w:p w14:paraId="7B2D2F22" w14:textId="77777777" w:rsidR="00156A60" w:rsidRDefault="00156A60" w:rsidP="005914D6">
      <w:pPr>
        <w:rPr>
          <w:color w:val="000000" w:themeColor="text1"/>
          <w:sz w:val="24"/>
          <w:szCs w:val="24"/>
        </w:rPr>
      </w:pPr>
      <w:bookmarkStart w:id="4" w:name="_Hlk129792902"/>
    </w:p>
    <w:bookmarkEnd w:id="4"/>
    <w:p w14:paraId="0F76215E" w14:textId="77777777" w:rsidR="005017FE" w:rsidRDefault="00156A60" w:rsidP="0059350E">
      <w:pPr>
        <w:rPr>
          <w:color w:val="000000" w:themeColor="text1"/>
          <w:sz w:val="24"/>
        </w:rPr>
      </w:pPr>
      <w:r>
        <w:rPr>
          <w:color w:val="000000" w:themeColor="text1"/>
          <w:sz w:val="24"/>
          <w:szCs w:val="24"/>
        </w:rPr>
        <w:t xml:space="preserve">The anti-siphoning scheme </w:t>
      </w:r>
      <w:r w:rsidR="005017FE">
        <w:rPr>
          <w:color w:val="000000" w:themeColor="text1"/>
          <w:sz w:val="24"/>
          <w:szCs w:val="24"/>
        </w:rPr>
        <w:t>commenced</w:t>
      </w:r>
      <w:r>
        <w:rPr>
          <w:color w:val="000000" w:themeColor="text1"/>
          <w:sz w:val="24"/>
          <w:szCs w:val="24"/>
        </w:rPr>
        <w:t xml:space="preserve"> </w:t>
      </w:r>
      <w:r w:rsidR="00D43A84">
        <w:rPr>
          <w:color w:val="000000" w:themeColor="text1"/>
          <w:sz w:val="24"/>
          <w:szCs w:val="24"/>
        </w:rPr>
        <w:t>in 1994</w:t>
      </w:r>
      <w:r w:rsidR="00B92A2D">
        <w:rPr>
          <w:color w:val="000000" w:themeColor="text1"/>
          <w:sz w:val="24"/>
          <w:szCs w:val="24"/>
        </w:rPr>
        <w:t xml:space="preserve"> and</w:t>
      </w:r>
      <w:r w:rsidR="00D55C28">
        <w:rPr>
          <w:color w:val="000000" w:themeColor="text1"/>
          <w:sz w:val="24"/>
          <w:szCs w:val="24"/>
        </w:rPr>
        <w:t xml:space="preserve"> </w:t>
      </w:r>
      <w:r w:rsidR="00A10FEB">
        <w:rPr>
          <w:color w:val="000000" w:themeColor="text1"/>
          <w:sz w:val="24"/>
          <w:szCs w:val="24"/>
        </w:rPr>
        <w:t>is premised on t</w:t>
      </w:r>
      <w:r w:rsidR="00560777">
        <w:rPr>
          <w:color w:val="000000" w:themeColor="text1"/>
          <w:sz w:val="24"/>
          <w:szCs w:val="24"/>
        </w:rPr>
        <w:t xml:space="preserve">he inclusion of </w:t>
      </w:r>
      <w:r w:rsidR="00560777">
        <w:rPr>
          <w:color w:val="000000" w:themeColor="text1"/>
          <w:sz w:val="24"/>
        </w:rPr>
        <w:t>an event</w:t>
      </w:r>
      <w:r w:rsidR="00A10FEB">
        <w:rPr>
          <w:color w:val="000000" w:themeColor="text1"/>
          <w:sz w:val="24"/>
        </w:rPr>
        <w:t xml:space="preserve">, or events, </w:t>
      </w:r>
      <w:r w:rsidR="00560777">
        <w:rPr>
          <w:color w:val="000000" w:themeColor="text1"/>
          <w:sz w:val="24"/>
        </w:rPr>
        <w:t>on the list</w:t>
      </w:r>
      <w:r w:rsidR="003C70A9">
        <w:rPr>
          <w:color w:val="000000" w:themeColor="text1"/>
          <w:sz w:val="24"/>
        </w:rPr>
        <w:t xml:space="preserve">. </w:t>
      </w:r>
      <w:r w:rsidR="00FF2EA0">
        <w:rPr>
          <w:color w:val="000000" w:themeColor="text1"/>
          <w:sz w:val="24"/>
        </w:rPr>
        <w:t>Prior to</w:t>
      </w:r>
      <w:r w:rsidR="00BE7B43">
        <w:rPr>
          <w:color w:val="000000" w:themeColor="text1"/>
          <w:sz w:val="24"/>
        </w:rPr>
        <w:t xml:space="preserve"> the </w:t>
      </w:r>
      <w:r w:rsidR="00B92A2D">
        <w:rPr>
          <w:color w:val="000000" w:themeColor="text1"/>
          <w:sz w:val="24"/>
        </w:rPr>
        <w:t xml:space="preserve">commencement of </w:t>
      </w:r>
      <w:r w:rsidR="00FB3F35">
        <w:rPr>
          <w:color w:val="000000" w:themeColor="text1"/>
          <w:sz w:val="24"/>
        </w:rPr>
        <w:t xml:space="preserve">Schedule 2 to </w:t>
      </w:r>
      <w:r w:rsidR="00B92A2D">
        <w:rPr>
          <w:color w:val="000000" w:themeColor="text1"/>
          <w:sz w:val="24"/>
        </w:rPr>
        <w:t xml:space="preserve">the </w:t>
      </w:r>
      <w:r w:rsidR="00B92A2D" w:rsidRPr="00560777">
        <w:rPr>
          <w:i/>
          <w:color w:val="000000" w:themeColor="text1"/>
          <w:sz w:val="24"/>
          <w:szCs w:val="24"/>
        </w:rPr>
        <w:t>Communications Legislation Amendment (Prominence and Anti-siphoning) Act</w:t>
      </w:r>
      <w:r w:rsidR="00B92A2D">
        <w:rPr>
          <w:i/>
          <w:color w:val="000000" w:themeColor="text1"/>
          <w:sz w:val="24"/>
          <w:szCs w:val="24"/>
        </w:rPr>
        <w:t xml:space="preserve"> 2024 </w:t>
      </w:r>
      <w:r w:rsidR="00B92A2D">
        <w:rPr>
          <w:color w:val="000000" w:themeColor="text1"/>
          <w:sz w:val="24"/>
          <w:szCs w:val="24"/>
        </w:rPr>
        <w:t>(the 2024 reforms)</w:t>
      </w:r>
      <w:r w:rsidR="00D55C28">
        <w:rPr>
          <w:color w:val="000000" w:themeColor="text1"/>
          <w:sz w:val="24"/>
          <w:szCs w:val="24"/>
        </w:rPr>
        <w:t xml:space="preserve">, </w:t>
      </w:r>
      <w:r w:rsidR="00A339D0">
        <w:rPr>
          <w:color w:val="000000" w:themeColor="text1"/>
          <w:sz w:val="24"/>
        </w:rPr>
        <w:t xml:space="preserve">the scheme </w:t>
      </w:r>
      <w:r w:rsidR="00FB3F35">
        <w:rPr>
          <w:color w:val="000000" w:themeColor="text1"/>
          <w:sz w:val="24"/>
        </w:rPr>
        <w:t>operate</w:t>
      </w:r>
      <w:r w:rsidR="00D55C28">
        <w:rPr>
          <w:color w:val="000000" w:themeColor="text1"/>
          <w:sz w:val="24"/>
        </w:rPr>
        <w:t>d</w:t>
      </w:r>
      <w:r w:rsidR="00A339D0">
        <w:rPr>
          <w:color w:val="000000" w:themeColor="text1"/>
          <w:sz w:val="24"/>
        </w:rPr>
        <w:t xml:space="preserve"> </w:t>
      </w:r>
      <w:r w:rsidR="00A10FEB">
        <w:rPr>
          <w:color w:val="000000" w:themeColor="text1"/>
          <w:sz w:val="24"/>
        </w:rPr>
        <w:t>as</w:t>
      </w:r>
      <w:r w:rsidR="00A339D0">
        <w:rPr>
          <w:color w:val="000000" w:themeColor="text1"/>
          <w:sz w:val="24"/>
        </w:rPr>
        <w:t xml:space="preserve"> a </w:t>
      </w:r>
      <w:r w:rsidR="00560777">
        <w:rPr>
          <w:color w:val="000000" w:themeColor="text1"/>
          <w:sz w:val="24"/>
        </w:rPr>
        <w:t xml:space="preserve">licence condition </w:t>
      </w:r>
      <w:r w:rsidR="00D55C28">
        <w:rPr>
          <w:color w:val="000000" w:themeColor="text1"/>
          <w:sz w:val="24"/>
        </w:rPr>
        <w:t xml:space="preserve">for </w:t>
      </w:r>
      <w:r w:rsidR="00560777">
        <w:rPr>
          <w:color w:val="000000" w:themeColor="text1"/>
          <w:sz w:val="24"/>
        </w:rPr>
        <w:t xml:space="preserve">subscription television broadcasting </w:t>
      </w:r>
      <w:r w:rsidR="00560777">
        <w:rPr>
          <w:color w:val="000000" w:themeColor="text1"/>
          <w:sz w:val="24"/>
          <w:szCs w:val="24"/>
        </w:rPr>
        <w:t>licensees prohibit</w:t>
      </w:r>
      <w:r w:rsidR="00FB3F35">
        <w:rPr>
          <w:color w:val="000000" w:themeColor="text1"/>
          <w:sz w:val="24"/>
          <w:szCs w:val="24"/>
        </w:rPr>
        <w:t>ing</w:t>
      </w:r>
      <w:r w:rsidR="00560777">
        <w:rPr>
          <w:color w:val="000000" w:themeColor="text1"/>
          <w:sz w:val="24"/>
          <w:szCs w:val="24"/>
        </w:rPr>
        <w:t xml:space="preserve"> them </w:t>
      </w:r>
      <w:r w:rsidR="00560777">
        <w:rPr>
          <w:color w:val="000000" w:themeColor="text1"/>
          <w:sz w:val="24"/>
        </w:rPr>
        <w:t xml:space="preserve">from acquiring </w:t>
      </w:r>
      <w:r w:rsidR="005017FE">
        <w:rPr>
          <w:color w:val="000000" w:themeColor="text1"/>
          <w:sz w:val="24"/>
          <w:szCs w:val="24"/>
        </w:rPr>
        <w:t>the</w:t>
      </w:r>
      <w:r w:rsidR="00560777">
        <w:rPr>
          <w:color w:val="000000" w:themeColor="text1"/>
          <w:sz w:val="24"/>
          <w:szCs w:val="24"/>
        </w:rPr>
        <w:t xml:space="preserve"> rig</w:t>
      </w:r>
      <w:r w:rsidR="00D55C28">
        <w:rPr>
          <w:color w:val="000000" w:themeColor="text1"/>
          <w:sz w:val="24"/>
          <w:szCs w:val="24"/>
        </w:rPr>
        <w:t>ht</w:t>
      </w:r>
      <w:r w:rsidR="00560777">
        <w:rPr>
          <w:color w:val="000000" w:themeColor="text1"/>
          <w:sz w:val="24"/>
        </w:rPr>
        <w:t xml:space="preserve"> to televise </w:t>
      </w:r>
      <w:r w:rsidR="00B92A2D">
        <w:rPr>
          <w:color w:val="000000" w:themeColor="text1"/>
          <w:sz w:val="24"/>
        </w:rPr>
        <w:t xml:space="preserve">an </w:t>
      </w:r>
      <w:r w:rsidR="00560777">
        <w:rPr>
          <w:color w:val="000000" w:themeColor="text1"/>
          <w:sz w:val="24"/>
        </w:rPr>
        <w:t>event</w:t>
      </w:r>
      <w:r w:rsidR="00B92A2D">
        <w:rPr>
          <w:color w:val="000000" w:themeColor="text1"/>
          <w:sz w:val="24"/>
        </w:rPr>
        <w:t xml:space="preserve"> on the list</w:t>
      </w:r>
      <w:r w:rsidR="00560777">
        <w:rPr>
          <w:color w:val="000000" w:themeColor="text1"/>
          <w:sz w:val="24"/>
        </w:rPr>
        <w:t xml:space="preserve"> </w:t>
      </w:r>
      <w:r w:rsidR="005017FE">
        <w:rPr>
          <w:color w:val="000000" w:themeColor="text1"/>
          <w:sz w:val="24"/>
        </w:rPr>
        <w:t>unless:</w:t>
      </w:r>
    </w:p>
    <w:p w14:paraId="41EAC9EC" w14:textId="77777777" w:rsidR="00DC0E00" w:rsidRDefault="00DC0E00" w:rsidP="001F714C">
      <w:pPr>
        <w:pStyle w:val="ListParagraph"/>
        <w:shd w:val="clear" w:color="auto" w:fill="FFFFFF"/>
        <w:ind w:left="357"/>
        <w:contextualSpacing w:val="0"/>
        <w:textAlignment w:val="baseline"/>
        <w:rPr>
          <w:color w:val="000000" w:themeColor="text1"/>
          <w:sz w:val="24"/>
        </w:rPr>
      </w:pPr>
    </w:p>
    <w:p w14:paraId="6751341B" w14:textId="77777777" w:rsidR="005017FE" w:rsidRPr="001F714C" w:rsidRDefault="005017FE" w:rsidP="001F714C">
      <w:pPr>
        <w:pStyle w:val="ListParagraph"/>
        <w:numPr>
          <w:ilvl w:val="0"/>
          <w:numId w:val="31"/>
        </w:numPr>
        <w:shd w:val="clear" w:color="auto" w:fill="FFFFFF"/>
        <w:ind w:left="357" w:hanging="357"/>
        <w:contextualSpacing w:val="0"/>
        <w:textAlignment w:val="baseline"/>
        <w:rPr>
          <w:color w:val="000000" w:themeColor="text1"/>
          <w:sz w:val="24"/>
        </w:rPr>
      </w:pPr>
      <w:r w:rsidRPr="001F714C">
        <w:rPr>
          <w:color w:val="000000" w:themeColor="text1"/>
          <w:sz w:val="24"/>
        </w:rPr>
        <w:t>a national broadcaster has the right to televise the event on any of its broadcasting services; or</w:t>
      </w:r>
    </w:p>
    <w:p w14:paraId="3148D3B0" w14:textId="77777777" w:rsidR="00A10FEB" w:rsidRDefault="00A10FEB" w:rsidP="001F714C">
      <w:pPr>
        <w:pStyle w:val="ListParagraph"/>
        <w:shd w:val="clear" w:color="auto" w:fill="FFFFFF"/>
        <w:ind w:left="357"/>
        <w:contextualSpacing w:val="0"/>
        <w:textAlignment w:val="baseline"/>
        <w:rPr>
          <w:color w:val="000000" w:themeColor="text1"/>
          <w:sz w:val="24"/>
        </w:rPr>
      </w:pPr>
    </w:p>
    <w:p w14:paraId="51EDE5A5" w14:textId="77777777" w:rsidR="005017FE" w:rsidRPr="001F714C" w:rsidRDefault="005017FE" w:rsidP="001F714C">
      <w:pPr>
        <w:pStyle w:val="ListParagraph"/>
        <w:numPr>
          <w:ilvl w:val="0"/>
          <w:numId w:val="31"/>
        </w:numPr>
        <w:shd w:val="clear" w:color="auto" w:fill="FFFFFF"/>
        <w:ind w:left="357" w:hanging="357"/>
        <w:contextualSpacing w:val="0"/>
        <w:textAlignment w:val="baseline"/>
        <w:rPr>
          <w:color w:val="000000" w:themeColor="text1"/>
          <w:sz w:val="24"/>
        </w:rPr>
      </w:pPr>
      <w:r w:rsidRPr="001F714C">
        <w:rPr>
          <w:color w:val="000000" w:themeColor="text1"/>
          <w:sz w:val="24"/>
        </w:rPr>
        <w:t>commercial television broadcasting licensees (excluding licensees of certain types of commercial television broadcasting licences) whose television services cover more than 50 per cent of the Australian population have a right to televise the event.</w:t>
      </w:r>
    </w:p>
    <w:p w14:paraId="2E8FDB8F" w14:textId="77777777" w:rsidR="00A10FEB" w:rsidRDefault="00A10FEB" w:rsidP="005357C1">
      <w:pPr>
        <w:rPr>
          <w:color w:val="000000" w:themeColor="text1"/>
          <w:sz w:val="24"/>
        </w:rPr>
      </w:pPr>
    </w:p>
    <w:p w14:paraId="5FE6D703" w14:textId="77777777" w:rsidR="00A10FEB" w:rsidRDefault="00D55C28" w:rsidP="00DC0E00">
      <w:pPr>
        <w:rPr>
          <w:color w:val="000000" w:themeColor="text1"/>
          <w:sz w:val="24"/>
        </w:rPr>
      </w:pPr>
      <w:r>
        <w:rPr>
          <w:color w:val="000000" w:themeColor="text1"/>
          <w:sz w:val="24"/>
        </w:rPr>
        <w:t xml:space="preserve">The 2024 reforms introduced a new </w:t>
      </w:r>
      <w:r w:rsidR="00E470DD">
        <w:rPr>
          <w:color w:val="000000" w:themeColor="text1"/>
          <w:sz w:val="24"/>
        </w:rPr>
        <w:t xml:space="preserve">anti-siphoning </w:t>
      </w:r>
      <w:r>
        <w:rPr>
          <w:color w:val="000000" w:themeColor="text1"/>
          <w:sz w:val="24"/>
        </w:rPr>
        <w:t xml:space="preserve">scheme </w:t>
      </w:r>
      <w:r w:rsidR="00E470DD">
        <w:rPr>
          <w:color w:val="000000" w:themeColor="text1"/>
          <w:sz w:val="24"/>
        </w:rPr>
        <w:t xml:space="preserve">that </w:t>
      </w:r>
      <w:r>
        <w:rPr>
          <w:color w:val="000000" w:themeColor="text1"/>
          <w:sz w:val="24"/>
        </w:rPr>
        <w:t>retained the capacity for the Minister to make a list</w:t>
      </w:r>
      <w:r w:rsidR="0075282B">
        <w:rPr>
          <w:color w:val="000000" w:themeColor="text1"/>
          <w:sz w:val="24"/>
        </w:rPr>
        <w:t xml:space="preserve"> and</w:t>
      </w:r>
      <w:r>
        <w:rPr>
          <w:color w:val="000000" w:themeColor="text1"/>
          <w:sz w:val="24"/>
        </w:rPr>
        <w:t xml:space="preserve"> modernised the scheme to incorporate online services.</w:t>
      </w:r>
      <w:r w:rsidR="00E470DD">
        <w:rPr>
          <w:color w:val="000000" w:themeColor="text1"/>
          <w:sz w:val="24"/>
        </w:rPr>
        <w:t xml:space="preserve"> </w:t>
      </w:r>
    </w:p>
    <w:p w14:paraId="35D374AB" w14:textId="77777777" w:rsidR="008622AF" w:rsidRPr="001F714C" w:rsidRDefault="00FF2EA0" w:rsidP="001F714C">
      <w:pPr>
        <w:rPr>
          <w:color w:val="000000" w:themeColor="text1"/>
          <w:sz w:val="24"/>
          <w:szCs w:val="24"/>
        </w:rPr>
      </w:pPr>
      <w:r w:rsidRPr="00156A60">
        <w:rPr>
          <w:color w:val="000000" w:themeColor="text1"/>
          <w:sz w:val="24"/>
          <w:szCs w:val="24"/>
        </w:rPr>
        <w:lastRenderedPageBreak/>
        <w:t xml:space="preserve">The new scheme </w:t>
      </w:r>
      <w:r w:rsidR="003949BC">
        <w:rPr>
          <w:color w:val="000000" w:themeColor="text1"/>
          <w:sz w:val="24"/>
          <w:szCs w:val="24"/>
        </w:rPr>
        <w:t xml:space="preserve">– established in Part 10B of the Act – </w:t>
      </w:r>
      <w:r w:rsidR="00FB3F35">
        <w:rPr>
          <w:color w:val="000000" w:themeColor="text1"/>
          <w:sz w:val="24"/>
          <w:szCs w:val="24"/>
        </w:rPr>
        <w:t>prevent</w:t>
      </w:r>
      <w:r w:rsidR="00D55C28">
        <w:rPr>
          <w:color w:val="000000" w:themeColor="text1"/>
          <w:sz w:val="24"/>
          <w:szCs w:val="24"/>
        </w:rPr>
        <w:t>s</w:t>
      </w:r>
      <w:r w:rsidR="00FB3F35">
        <w:rPr>
          <w:color w:val="000000" w:themeColor="text1"/>
          <w:sz w:val="24"/>
          <w:szCs w:val="24"/>
        </w:rPr>
        <w:t xml:space="preserve"> the providers of </w:t>
      </w:r>
      <w:r w:rsidRPr="00156A60">
        <w:rPr>
          <w:color w:val="000000" w:themeColor="text1"/>
          <w:sz w:val="24"/>
          <w:szCs w:val="24"/>
        </w:rPr>
        <w:t xml:space="preserve">media content services (including, but not limited to, </w:t>
      </w:r>
      <w:r>
        <w:rPr>
          <w:color w:val="000000" w:themeColor="text1"/>
          <w:sz w:val="24"/>
          <w:szCs w:val="24"/>
        </w:rPr>
        <w:t xml:space="preserve">subscription television broadcasting licensees and </w:t>
      </w:r>
      <w:r w:rsidRPr="00156A60">
        <w:rPr>
          <w:color w:val="000000" w:themeColor="text1"/>
          <w:sz w:val="24"/>
          <w:szCs w:val="24"/>
        </w:rPr>
        <w:t xml:space="preserve">streaming services) from acquiring </w:t>
      </w:r>
      <w:r w:rsidR="00FB3F35">
        <w:rPr>
          <w:color w:val="000000" w:themeColor="text1"/>
          <w:sz w:val="24"/>
          <w:szCs w:val="24"/>
        </w:rPr>
        <w:t>the</w:t>
      </w:r>
      <w:r w:rsidR="00D55C28">
        <w:rPr>
          <w:color w:val="000000" w:themeColor="text1"/>
          <w:sz w:val="24"/>
          <w:szCs w:val="24"/>
        </w:rPr>
        <w:t xml:space="preserve"> </w:t>
      </w:r>
      <w:r w:rsidRPr="00156A60">
        <w:rPr>
          <w:color w:val="000000" w:themeColor="text1"/>
          <w:sz w:val="24"/>
          <w:szCs w:val="24"/>
        </w:rPr>
        <w:t>right to televise</w:t>
      </w:r>
      <w:r w:rsidR="00FB3F35">
        <w:rPr>
          <w:color w:val="000000" w:themeColor="text1"/>
          <w:sz w:val="24"/>
          <w:szCs w:val="24"/>
        </w:rPr>
        <w:t xml:space="preserve"> </w:t>
      </w:r>
      <w:r w:rsidRPr="00156A60">
        <w:rPr>
          <w:color w:val="000000" w:themeColor="text1"/>
          <w:sz w:val="24"/>
          <w:szCs w:val="24"/>
        </w:rPr>
        <w:t xml:space="preserve">or otherwise provide coverage of </w:t>
      </w:r>
      <w:r w:rsidR="00FB3F35">
        <w:rPr>
          <w:color w:val="000000" w:themeColor="text1"/>
          <w:sz w:val="24"/>
          <w:szCs w:val="24"/>
        </w:rPr>
        <w:t xml:space="preserve">the whole or a part of </w:t>
      </w:r>
      <w:r w:rsidRPr="00156A60">
        <w:rPr>
          <w:color w:val="000000" w:themeColor="text1"/>
          <w:sz w:val="24"/>
          <w:szCs w:val="24"/>
        </w:rPr>
        <w:t>a listed event to</w:t>
      </w:r>
      <w:r w:rsidR="00FB3F35">
        <w:rPr>
          <w:color w:val="000000" w:themeColor="text1"/>
          <w:sz w:val="24"/>
          <w:szCs w:val="24"/>
        </w:rPr>
        <w:t xml:space="preserve"> end-users</w:t>
      </w:r>
      <w:r w:rsidRPr="00156A60">
        <w:rPr>
          <w:color w:val="000000" w:themeColor="text1"/>
          <w:sz w:val="24"/>
          <w:szCs w:val="24"/>
        </w:rPr>
        <w:t xml:space="preserve"> in Australia</w:t>
      </w:r>
      <w:r w:rsidR="00FB3F35">
        <w:rPr>
          <w:color w:val="000000" w:themeColor="text1"/>
          <w:sz w:val="24"/>
          <w:szCs w:val="24"/>
        </w:rPr>
        <w:t xml:space="preserve"> unless</w:t>
      </w:r>
      <w:r w:rsidR="00E470DD">
        <w:rPr>
          <w:color w:val="000000" w:themeColor="text1"/>
          <w:sz w:val="24"/>
          <w:szCs w:val="24"/>
        </w:rPr>
        <w:t xml:space="preserve"> </w:t>
      </w:r>
      <w:r w:rsidRPr="00156A60">
        <w:rPr>
          <w:color w:val="000000" w:themeColor="text1"/>
          <w:sz w:val="24"/>
          <w:szCs w:val="24"/>
        </w:rPr>
        <w:t xml:space="preserve">a free-to-air broadcaster has </w:t>
      </w:r>
      <w:r w:rsidR="00FB3F35">
        <w:rPr>
          <w:color w:val="000000" w:themeColor="text1"/>
          <w:sz w:val="24"/>
          <w:szCs w:val="24"/>
        </w:rPr>
        <w:t>the</w:t>
      </w:r>
      <w:r w:rsidR="00E470DD">
        <w:rPr>
          <w:color w:val="000000" w:themeColor="text1"/>
          <w:sz w:val="24"/>
          <w:szCs w:val="24"/>
        </w:rPr>
        <w:t xml:space="preserve"> </w:t>
      </w:r>
      <w:r w:rsidRPr="00156A60">
        <w:rPr>
          <w:color w:val="000000" w:themeColor="text1"/>
          <w:sz w:val="24"/>
          <w:szCs w:val="24"/>
        </w:rPr>
        <w:t xml:space="preserve">right to televise the event on a broadcasting service. </w:t>
      </w:r>
      <w:r w:rsidR="00A10FEB">
        <w:rPr>
          <w:color w:val="000000" w:themeColor="text1"/>
          <w:sz w:val="24"/>
          <w:szCs w:val="24"/>
        </w:rPr>
        <w:t>E</w:t>
      </w:r>
      <w:r w:rsidR="008622AF" w:rsidRPr="001F714C">
        <w:rPr>
          <w:color w:val="000000" w:themeColor="text1"/>
          <w:sz w:val="24"/>
          <w:szCs w:val="24"/>
        </w:rPr>
        <w:t xml:space="preserve">vents are automatically removed from the </w:t>
      </w:r>
      <w:r w:rsidR="008622AF" w:rsidRPr="00C67877">
        <w:rPr>
          <w:color w:val="000000" w:themeColor="text1"/>
          <w:sz w:val="24"/>
          <w:szCs w:val="24"/>
        </w:rPr>
        <w:t xml:space="preserve">list </w:t>
      </w:r>
      <w:r w:rsidR="00B9141C" w:rsidRPr="00C67877">
        <w:rPr>
          <w:color w:val="000000" w:themeColor="text1"/>
          <w:sz w:val="24"/>
          <w:szCs w:val="24"/>
        </w:rPr>
        <w:t xml:space="preserve">4,368 hours (i.e. 26 weeks) </w:t>
      </w:r>
      <w:r w:rsidR="008622AF" w:rsidRPr="00C67877">
        <w:rPr>
          <w:color w:val="000000" w:themeColor="text1"/>
          <w:sz w:val="24"/>
          <w:szCs w:val="24"/>
        </w:rPr>
        <w:t>prior</w:t>
      </w:r>
      <w:r w:rsidR="008622AF" w:rsidRPr="001F714C">
        <w:rPr>
          <w:color w:val="000000" w:themeColor="text1"/>
          <w:sz w:val="24"/>
          <w:szCs w:val="24"/>
        </w:rPr>
        <w:t xml:space="preserve"> to their commencement.</w:t>
      </w:r>
    </w:p>
    <w:p w14:paraId="0C2F9127" w14:textId="77777777" w:rsidR="00DC2584" w:rsidRPr="00E5141A" w:rsidRDefault="00DC2584" w:rsidP="0011175C">
      <w:pPr>
        <w:rPr>
          <w:color w:val="000000" w:themeColor="text1"/>
          <w:sz w:val="24"/>
        </w:rPr>
      </w:pPr>
    </w:p>
    <w:p w14:paraId="17E02E28" w14:textId="77777777" w:rsidR="005658F1" w:rsidRPr="001F714C" w:rsidRDefault="00AB6D52" w:rsidP="001F714C">
      <w:pPr>
        <w:rPr>
          <w:color w:val="000000" w:themeColor="text1"/>
          <w:sz w:val="24"/>
          <w:szCs w:val="24"/>
        </w:rPr>
      </w:pPr>
      <w:r w:rsidRPr="005357C1">
        <w:rPr>
          <w:color w:val="000000" w:themeColor="text1"/>
          <w:sz w:val="24"/>
          <w:szCs w:val="24"/>
        </w:rPr>
        <w:t xml:space="preserve">The </w:t>
      </w:r>
      <w:r w:rsidR="003949BC" w:rsidRPr="005357C1">
        <w:rPr>
          <w:color w:val="000000" w:themeColor="text1"/>
          <w:sz w:val="24"/>
          <w:szCs w:val="24"/>
        </w:rPr>
        <w:t>I</w:t>
      </w:r>
      <w:r w:rsidR="003949BC" w:rsidRPr="0075282B">
        <w:rPr>
          <w:color w:val="000000" w:themeColor="text1"/>
          <w:sz w:val="24"/>
          <w:szCs w:val="24"/>
        </w:rPr>
        <w:t xml:space="preserve">nstrument has been designed to </w:t>
      </w:r>
      <w:r w:rsidR="003949BC" w:rsidRPr="001F714C">
        <w:rPr>
          <w:color w:val="000000" w:themeColor="text1"/>
          <w:sz w:val="24"/>
          <w:szCs w:val="24"/>
        </w:rPr>
        <w:t>better reflect the modern media landscape and moderately broaden</w:t>
      </w:r>
      <w:r w:rsidR="00A10FEB">
        <w:rPr>
          <w:color w:val="000000" w:themeColor="text1"/>
          <w:sz w:val="24"/>
          <w:szCs w:val="24"/>
        </w:rPr>
        <w:t>s</w:t>
      </w:r>
      <w:r w:rsidR="003949BC" w:rsidRPr="001F714C">
        <w:rPr>
          <w:color w:val="000000" w:themeColor="text1"/>
          <w:sz w:val="24"/>
          <w:szCs w:val="24"/>
        </w:rPr>
        <w:t xml:space="preserve"> the composition of nationally important and culturally significant events</w:t>
      </w:r>
      <w:r w:rsidR="00A10FEB">
        <w:rPr>
          <w:color w:val="000000" w:themeColor="text1"/>
          <w:sz w:val="24"/>
          <w:szCs w:val="24"/>
        </w:rPr>
        <w:t xml:space="preserve">. </w:t>
      </w:r>
      <w:r w:rsidR="005658F1" w:rsidRPr="001F714C">
        <w:rPr>
          <w:color w:val="000000" w:themeColor="text1"/>
          <w:sz w:val="24"/>
          <w:szCs w:val="24"/>
        </w:rPr>
        <w:t>Th</w:t>
      </w:r>
      <w:r w:rsidR="00021C5D">
        <w:rPr>
          <w:color w:val="000000" w:themeColor="text1"/>
          <w:sz w:val="24"/>
          <w:szCs w:val="24"/>
        </w:rPr>
        <w:t xml:space="preserve">e composition of the Instrument also </w:t>
      </w:r>
      <w:r w:rsidR="005658F1" w:rsidRPr="001F714C">
        <w:rPr>
          <w:color w:val="000000" w:themeColor="text1"/>
          <w:sz w:val="24"/>
          <w:szCs w:val="24"/>
        </w:rPr>
        <w:t xml:space="preserve">seeks to reflect the increased national prominence of women’s sports events and Para-sports, which have traditionally not been listed under the scheme. </w:t>
      </w:r>
    </w:p>
    <w:p w14:paraId="0E5775B9" w14:textId="77777777" w:rsidR="003949BC" w:rsidRDefault="003949BC" w:rsidP="005357C1">
      <w:pPr>
        <w:rPr>
          <w:color w:val="000000" w:themeColor="text1"/>
          <w:sz w:val="24"/>
          <w:szCs w:val="24"/>
        </w:rPr>
      </w:pPr>
    </w:p>
    <w:p w14:paraId="4C4BEEBB" w14:textId="77777777" w:rsidR="00DC0E00" w:rsidRDefault="005658F1" w:rsidP="005658F1">
      <w:pPr>
        <w:rPr>
          <w:color w:val="000000"/>
          <w:sz w:val="24"/>
          <w:szCs w:val="24"/>
          <w:lang w:val="en-GB"/>
        </w:rPr>
      </w:pPr>
      <w:r w:rsidRPr="00D05090">
        <w:rPr>
          <w:color w:val="000000"/>
          <w:sz w:val="24"/>
          <w:szCs w:val="24"/>
          <w:lang w:val="en-GB"/>
        </w:rPr>
        <w:t xml:space="preserve">The </w:t>
      </w:r>
      <w:r>
        <w:rPr>
          <w:color w:val="000000" w:themeColor="text1"/>
          <w:sz w:val="24"/>
          <w:szCs w:val="24"/>
        </w:rPr>
        <w:t>Instrument</w:t>
      </w:r>
      <w:r w:rsidRPr="00D24F72">
        <w:rPr>
          <w:color w:val="000000" w:themeColor="text1"/>
          <w:sz w:val="24"/>
          <w:szCs w:val="24"/>
        </w:rPr>
        <w:t xml:space="preserve"> </w:t>
      </w:r>
      <w:r w:rsidR="00B9141C" w:rsidRPr="00C67877">
        <w:rPr>
          <w:color w:val="000000"/>
          <w:sz w:val="24"/>
          <w:szCs w:val="24"/>
          <w:lang w:val="en-GB"/>
        </w:rPr>
        <w:t>maintains</w:t>
      </w:r>
      <w:r w:rsidRPr="00C67877">
        <w:rPr>
          <w:color w:val="000000"/>
          <w:sz w:val="24"/>
          <w:szCs w:val="24"/>
          <w:lang w:val="en-GB"/>
        </w:rPr>
        <w:t xml:space="preserve"> the composition of </w:t>
      </w:r>
      <w:r w:rsidR="00B9141C" w:rsidRPr="00C67877">
        <w:rPr>
          <w:color w:val="000000"/>
          <w:sz w:val="24"/>
          <w:szCs w:val="24"/>
          <w:lang w:val="en-GB"/>
        </w:rPr>
        <w:t xml:space="preserve">events in </w:t>
      </w:r>
      <w:r w:rsidRPr="00C67877">
        <w:rPr>
          <w:color w:val="000000"/>
          <w:sz w:val="24"/>
          <w:szCs w:val="24"/>
          <w:lang w:val="en-GB"/>
        </w:rPr>
        <w:t>the 2023</w:t>
      </w:r>
      <w:r>
        <w:rPr>
          <w:color w:val="000000"/>
          <w:sz w:val="24"/>
          <w:szCs w:val="24"/>
          <w:lang w:val="en-GB"/>
        </w:rPr>
        <w:t xml:space="preserve"> Instrument, and also includes a number of additional events: </w:t>
      </w:r>
    </w:p>
    <w:p w14:paraId="18126270" w14:textId="77777777" w:rsidR="00DC0E00" w:rsidRPr="001F714C" w:rsidRDefault="00DC0E00" w:rsidP="005357C1">
      <w:pPr>
        <w:rPr>
          <w:color w:val="000000"/>
          <w:sz w:val="24"/>
          <w:szCs w:val="24"/>
          <w:lang w:val="en-GB"/>
        </w:rPr>
      </w:pPr>
    </w:p>
    <w:p w14:paraId="145728C0" w14:textId="77777777" w:rsidR="002A7F3E" w:rsidRPr="0011175C" w:rsidRDefault="002A7F3E" w:rsidP="001F714C">
      <w:pPr>
        <w:pStyle w:val="ListParagraph"/>
        <w:numPr>
          <w:ilvl w:val="0"/>
          <w:numId w:val="26"/>
        </w:numPr>
        <w:ind w:left="357" w:hanging="357"/>
        <w:contextualSpacing w:val="0"/>
        <w:rPr>
          <w:color w:val="000000" w:themeColor="text1"/>
          <w:sz w:val="24"/>
          <w:szCs w:val="24"/>
        </w:rPr>
      </w:pPr>
      <w:r w:rsidRPr="0011175C">
        <w:rPr>
          <w:color w:val="000000" w:themeColor="text1"/>
          <w:sz w:val="24"/>
          <w:szCs w:val="24"/>
        </w:rPr>
        <w:t>all events held as part of the Summer Paralympic Games;</w:t>
      </w:r>
    </w:p>
    <w:p w14:paraId="6EC2FADB" w14:textId="77777777" w:rsidR="00DC0E00" w:rsidRDefault="00DC0E00" w:rsidP="001F714C">
      <w:pPr>
        <w:pStyle w:val="ListParagraph"/>
        <w:ind w:left="357"/>
        <w:contextualSpacing w:val="0"/>
        <w:rPr>
          <w:color w:val="000000" w:themeColor="text1"/>
          <w:sz w:val="24"/>
          <w:szCs w:val="24"/>
        </w:rPr>
      </w:pPr>
    </w:p>
    <w:p w14:paraId="491E8ABC" w14:textId="77777777" w:rsidR="002A7F3E" w:rsidRDefault="002A7F3E" w:rsidP="00DC0E00">
      <w:pPr>
        <w:pStyle w:val="ListParagraph"/>
        <w:numPr>
          <w:ilvl w:val="0"/>
          <w:numId w:val="26"/>
        </w:numPr>
        <w:ind w:left="357" w:hanging="357"/>
        <w:contextualSpacing w:val="0"/>
        <w:rPr>
          <w:color w:val="000000" w:themeColor="text1"/>
          <w:sz w:val="24"/>
          <w:szCs w:val="24"/>
        </w:rPr>
      </w:pPr>
      <w:r w:rsidRPr="0011175C">
        <w:rPr>
          <w:color w:val="000000" w:themeColor="text1"/>
          <w:sz w:val="24"/>
          <w:szCs w:val="24"/>
        </w:rPr>
        <w:t>the finals series of the A</w:t>
      </w:r>
      <w:r w:rsidR="00537084">
        <w:rPr>
          <w:color w:val="000000" w:themeColor="text1"/>
          <w:sz w:val="24"/>
          <w:szCs w:val="24"/>
        </w:rPr>
        <w:t xml:space="preserve">ustralian Football League </w:t>
      </w:r>
      <w:r w:rsidR="00B9141C" w:rsidRPr="0011175C">
        <w:rPr>
          <w:color w:val="000000" w:themeColor="text1"/>
          <w:sz w:val="24"/>
          <w:szCs w:val="24"/>
        </w:rPr>
        <w:t xml:space="preserve">Women’s </w:t>
      </w:r>
      <w:r w:rsidRPr="0011175C">
        <w:rPr>
          <w:color w:val="000000" w:themeColor="text1"/>
          <w:sz w:val="24"/>
          <w:szCs w:val="24"/>
        </w:rPr>
        <w:t>Premiership;</w:t>
      </w:r>
    </w:p>
    <w:p w14:paraId="33BD2CC8" w14:textId="77777777" w:rsidR="00DC0E00" w:rsidRPr="001F714C" w:rsidRDefault="00DC0E00" w:rsidP="001F714C">
      <w:pPr>
        <w:rPr>
          <w:color w:val="000000" w:themeColor="text1"/>
          <w:sz w:val="24"/>
          <w:szCs w:val="24"/>
        </w:rPr>
      </w:pPr>
    </w:p>
    <w:p w14:paraId="7B6BD05D" w14:textId="77777777" w:rsidR="002A7F3E" w:rsidRDefault="002A7F3E" w:rsidP="00DC0E00">
      <w:pPr>
        <w:pStyle w:val="ListParagraph"/>
        <w:numPr>
          <w:ilvl w:val="0"/>
          <w:numId w:val="26"/>
        </w:numPr>
        <w:ind w:left="357" w:hanging="357"/>
        <w:contextualSpacing w:val="0"/>
        <w:rPr>
          <w:color w:val="000000" w:themeColor="text1"/>
          <w:sz w:val="24"/>
          <w:szCs w:val="24"/>
        </w:rPr>
      </w:pPr>
      <w:r w:rsidRPr="001F714C">
        <w:rPr>
          <w:color w:val="000000" w:themeColor="text1"/>
          <w:sz w:val="24"/>
          <w:szCs w:val="24"/>
        </w:rPr>
        <w:t xml:space="preserve">the finals series of the </w:t>
      </w:r>
      <w:r w:rsidR="00537084">
        <w:rPr>
          <w:color w:val="000000" w:themeColor="text1"/>
          <w:sz w:val="24"/>
          <w:szCs w:val="24"/>
        </w:rPr>
        <w:t xml:space="preserve">National Rugby League </w:t>
      </w:r>
      <w:r w:rsidR="00B9141C" w:rsidRPr="001F714C">
        <w:rPr>
          <w:color w:val="000000" w:themeColor="text1"/>
          <w:sz w:val="24"/>
          <w:szCs w:val="24"/>
        </w:rPr>
        <w:t>Women</w:t>
      </w:r>
      <w:r w:rsidR="00B9141C">
        <w:rPr>
          <w:color w:val="000000" w:themeColor="text1"/>
          <w:sz w:val="24"/>
          <w:szCs w:val="24"/>
        </w:rPr>
        <w:t xml:space="preserve">’s (NRLW) </w:t>
      </w:r>
      <w:r w:rsidRPr="001F714C">
        <w:rPr>
          <w:color w:val="000000" w:themeColor="text1"/>
          <w:sz w:val="24"/>
          <w:szCs w:val="24"/>
        </w:rPr>
        <w:t>Premiership;</w:t>
      </w:r>
    </w:p>
    <w:p w14:paraId="72258C93" w14:textId="77777777" w:rsidR="00DC0E00" w:rsidRPr="001F714C" w:rsidRDefault="00DC0E00" w:rsidP="001F714C">
      <w:pPr>
        <w:rPr>
          <w:color w:val="000000" w:themeColor="text1"/>
          <w:sz w:val="24"/>
          <w:szCs w:val="24"/>
        </w:rPr>
      </w:pPr>
    </w:p>
    <w:p w14:paraId="258EC8EF" w14:textId="77777777" w:rsidR="002A7F3E" w:rsidRDefault="002A7F3E" w:rsidP="00DC0E00">
      <w:pPr>
        <w:pStyle w:val="ListParagraph"/>
        <w:numPr>
          <w:ilvl w:val="0"/>
          <w:numId w:val="26"/>
        </w:numPr>
        <w:ind w:left="357" w:hanging="357"/>
        <w:contextualSpacing w:val="0"/>
        <w:rPr>
          <w:color w:val="000000" w:themeColor="text1"/>
          <w:sz w:val="24"/>
          <w:szCs w:val="24"/>
        </w:rPr>
      </w:pPr>
      <w:r w:rsidRPr="0011175C">
        <w:rPr>
          <w:color w:val="000000" w:themeColor="text1"/>
          <w:sz w:val="24"/>
          <w:szCs w:val="24"/>
        </w:rPr>
        <w:t>the NRL</w:t>
      </w:r>
      <w:r w:rsidR="00B9141C">
        <w:rPr>
          <w:color w:val="000000" w:themeColor="text1"/>
          <w:sz w:val="24"/>
          <w:szCs w:val="24"/>
        </w:rPr>
        <w:t>W</w:t>
      </w:r>
      <w:r w:rsidRPr="0011175C">
        <w:rPr>
          <w:color w:val="000000" w:themeColor="text1"/>
          <w:sz w:val="24"/>
          <w:szCs w:val="24"/>
        </w:rPr>
        <w:t xml:space="preserve"> State of Origin Series; and</w:t>
      </w:r>
    </w:p>
    <w:p w14:paraId="71BF3118" w14:textId="77777777" w:rsidR="00DC0E00" w:rsidRPr="001F714C" w:rsidRDefault="00DC0E00" w:rsidP="001F714C">
      <w:pPr>
        <w:rPr>
          <w:color w:val="000000" w:themeColor="text1"/>
          <w:sz w:val="24"/>
          <w:szCs w:val="24"/>
        </w:rPr>
      </w:pPr>
    </w:p>
    <w:p w14:paraId="4ECB4F5E" w14:textId="77777777" w:rsidR="00854281" w:rsidRDefault="002A7F3E" w:rsidP="001F714C">
      <w:pPr>
        <w:pStyle w:val="ListParagraph"/>
        <w:numPr>
          <w:ilvl w:val="0"/>
          <w:numId w:val="26"/>
        </w:numPr>
        <w:ind w:left="357" w:hanging="357"/>
        <w:contextualSpacing w:val="0"/>
        <w:rPr>
          <w:color w:val="000000" w:themeColor="text1"/>
          <w:sz w:val="24"/>
          <w:szCs w:val="24"/>
        </w:rPr>
      </w:pPr>
      <w:r w:rsidRPr="0011175C">
        <w:rPr>
          <w:color w:val="000000" w:themeColor="text1"/>
          <w:sz w:val="24"/>
          <w:szCs w:val="24"/>
        </w:rPr>
        <w:t xml:space="preserve">the complete Women’s Ashes </w:t>
      </w:r>
      <w:r w:rsidR="00537084">
        <w:rPr>
          <w:color w:val="000000" w:themeColor="text1"/>
          <w:sz w:val="24"/>
          <w:szCs w:val="24"/>
        </w:rPr>
        <w:t xml:space="preserve">cricket </w:t>
      </w:r>
      <w:r w:rsidRPr="0011175C">
        <w:rPr>
          <w:color w:val="000000" w:themeColor="text1"/>
          <w:sz w:val="24"/>
          <w:szCs w:val="24"/>
        </w:rPr>
        <w:t xml:space="preserve">series played in the United Kingdom. </w:t>
      </w:r>
    </w:p>
    <w:p w14:paraId="68B0A77B" w14:textId="77777777" w:rsidR="001F6A53" w:rsidRDefault="001F6A53" w:rsidP="005357C1">
      <w:pPr>
        <w:rPr>
          <w:color w:val="000000" w:themeColor="text1"/>
          <w:sz w:val="24"/>
          <w:szCs w:val="24"/>
        </w:rPr>
      </w:pPr>
    </w:p>
    <w:p w14:paraId="5C160DD2" w14:textId="77777777" w:rsidR="005658F1" w:rsidRDefault="005658F1" w:rsidP="005658F1">
      <w:pPr>
        <w:rPr>
          <w:color w:val="000000"/>
          <w:sz w:val="24"/>
          <w:szCs w:val="24"/>
          <w:lang w:val="en-GB"/>
        </w:rPr>
      </w:pPr>
      <w:r w:rsidRPr="001F714C">
        <w:rPr>
          <w:color w:val="000000"/>
          <w:sz w:val="24"/>
          <w:szCs w:val="24"/>
          <w:lang w:val="en-GB"/>
        </w:rPr>
        <w:t xml:space="preserve">The </w:t>
      </w:r>
      <w:r w:rsidR="00021C5D">
        <w:rPr>
          <w:color w:val="000000"/>
          <w:sz w:val="24"/>
          <w:szCs w:val="24"/>
          <w:lang w:val="en-GB"/>
        </w:rPr>
        <w:t>Instrument</w:t>
      </w:r>
      <w:r w:rsidRPr="001F714C">
        <w:rPr>
          <w:color w:val="000000"/>
          <w:sz w:val="24"/>
          <w:szCs w:val="24"/>
          <w:lang w:val="en-GB"/>
        </w:rPr>
        <w:t xml:space="preserve"> also includes international rugby league, rugby union, cricket and soccer</w:t>
      </w:r>
      <w:r w:rsidR="00537084">
        <w:rPr>
          <w:color w:val="000000"/>
          <w:sz w:val="24"/>
          <w:szCs w:val="24"/>
          <w:lang w:val="en-GB"/>
        </w:rPr>
        <w:t xml:space="preserve"> </w:t>
      </w:r>
      <w:proofErr w:type="gramStart"/>
      <w:r w:rsidRPr="001F714C">
        <w:rPr>
          <w:color w:val="000000"/>
          <w:sz w:val="24"/>
          <w:szCs w:val="24"/>
          <w:lang w:val="en-GB"/>
        </w:rPr>
        <w:t>matches</w:t>
      </w:r>
      <w:proofErr w:type="gramEnd"/>
      <w:r w:rsidRPr="001F714C">
        <w:rPr>
          <w:color w:val="000000"/>
          <w:sz w:val="24"/>
          <w:szCs w:val="24"/>
          <w:lang w:val="en-GB"/>
        </w:rPr>
        <w:t xml:space="preserve"> that involve a senior Australian representative team, irrespective of gender, and irrespective of whether these matches are standalone fixtures or played as part of a world cup tournament.</w:t>
      </w:r>
    </w:p>
    <w:p w14:paraId="551D1FF5" w14:textId="77777777" w:rsidR="007E7AA7" w:rsidRDefault="007E7AA7" w:rsidP="005658F1">
      <w:pPr>
        <w:rPr>
          <w:color w:val="000000"/>
          <w:sz w:val="24"/>
          <w:szCs w:val="24"/>
          <w:lang w:val="en-GB"/>
        </w:rPr>
      </w:pPr>
    </w:p>
    <w:p w14:paraId="595FDEB5" w14:textId="77777777" w:rsidR="007E7AA7" w:rsidRDefault="007E7AA7" w:rsidP="007E7AA7">
      <w:pPr>
        <w:shd w:val="clear" w:color="auto" w:fill="FFFFFF"/>
        <w:rPr>
          <w:color w:val="000000" w:themeColor="text1"/>
          <w:sz w:val="24"/>
          <w:szCs w:val="24"/>
        </w:rPr>
      </w:pPr>
      <w:r w:rsidRPr="00D05090">
        <w:rPr>
          <w:color w:val="000000"/>
          <w:sz w:val="24"/>
          <w:szCs w:val="24"/>
          <w:lang w:val="en-GB"/>
        </w:rPr>
        <w:t xml:space="preserve">The </w:t>
      </w:r>
      <w:r>
        <w:rPr>
          <w:color w:val="000000" w:themeColor="text1"/>
          <w:sz w:val="24"/>
          <w:szCs w:val="24"/>
        </w:rPr>
        <w:t>Instrument</w:t>
      </w:r>
      <w:r w:rsidRPr="00D24F72">
        <w:rPr>
          <w:color w:val="000000" w:themeColor="text1"/>
          <w:sz w:val="24"/>
          <w:szCs w:val="24"/>
        </w:rPr>
        <w:t xml:space="preserve"> </w:t>
      </w:r>
      <w:r>
        <w:rPr>
          <w:color w:val="000000" w:themeColor="text1"/>
          <w:sz w:val="24"/>
          <w:szCs w:val="24"/>
        </w:rPr>
        <w:t xml:space="preserve">is identical in substance to exposure draft of the list published by the Government on 29 November 2023 to aid the Parliament’s consideration of the </w:t>
      </w:r>
      <w:r w:rsidRPr="003217D0">
        <w:rPr>
          <w:color w:val="000000" w:themeColor="text1"/>
          <w:sz w:val="24"/>
          <w:szCs w:val="24"/>
        </w:rPr>
        <w:t>Communications Legislation Amendment (Prominence and Anti-siphoning) Bill 202</w:t>
      </w:r>
      <w:r>
        <w:rPr>
          <w:color w:val="000000" w:themeColor="text1"/>
          <w:sz w:val="24"/>
          <w:szCs w:val="24"/>
        </w:rPr>
        <w:t xml:space="preserve">4 (the Bill), which introduced </w:t>
      </w:r>
      <w:r w:rsidR="00537084">
        <w:rPr>
          <w:color w:val="000000" w:themeColor="text1"/>
          <w:sz w:val="24"/>
          <w:szCs w:val="24"/>
        </w:rPr>
        <w:t xml:space="preserve">the 2024 </w:t>
      </w:r>
      <w:r>
        <w:rPr>
          <w:color w:val="000000" w:themeColor="text1"/>
          <w:sz w:val="24"/>
          <w:szCs w:val="24"/>
        </w:rPr>
        <w:t xml:space="preserve">reforms. </w:t>
      </w:r>
    </w:p>
    <w:p w14:paraId="4DEFA463" w14:textId="77777777" w:rsidR="005658F1" w:rsidRDefault="005658F1" w:rsidP="005658F1">
      <w:pPr>
        <w:rPr>
          <w:color w:val="000000" w:themeColor="text1"/>
          <w:sz w:val="24"/>
          <w:szCs w:val="24"/>
        </w:rPr>
      </w:pPr>
    </w:p>
    <w:bookmarkEnd w:id="2"/>
    <w:p w14:paraId="7D82539C" w14:textId="77777777" w:rsidR="001A1ED0" w:rsidRPr="00534DF3" w:rsidRDefault="001A1ED0" w:rsidP="001C0BCA">
      <w:pPr>
        <w:rPr>
          <w:bCs/>
          <w:color w:val="000000" w:themeColor="text1"/>
          <w:sz w:val="24"/>
          <w:szCs w:val="24"/>
          <w:u w:val="single"/>
        </w:rPr>
      </w:pPr>
      <w:r w:rsidRPr="00534DF3">
        <w:rPr>
          <w:color w:val="000000" w:themeColor="text1"/>
          <w:sz w:val="24"/>
          <w:szCs w:val="24"/>
          <w:u w:val="single"/>
        </w:rPr>
        <w:t>Consultation</w:t>
      </w:r>
    </w:p>
    <w:p w14:paraId="0BCE8C39" w14:textId="77777777" w:rsidR="001A1ED0" w:rsidRPr="00534DF3" w:rsidRDefault="001A1ED0" w:rsidP="001A1ED0">
      <w:pPr>
        <w:ind w:right="91"/>
        <w:rPr>
          <w:color w:val="000000" w:themeColor="text1"/>
          <w:sz w:val="24"/>
          <w:szCs w:val="24"/>
        </w:rPr>
      </w:pPr>
    </w:p>
    <w:p w14:paraId="0DE626A0" w14:textId="77777777" w:rsidR="001D6559" w:rsidRDefault="00534DF3" w:rsidP="00916D51">
      <w:pPr>
        <w:rPr>
          <w:color w:val="000000"/>
          <w:sz w:val="24"/>
          <w:szCs w:val="24"/>
          <w:lang w:val="en-GB"/>
        </w:rPr>
      </w:pPr>
      <w:r w:rsidRPr="001F714C">
        <w:rPr>
          <w:color w:val="000000"/>
          <w:sz w:val="24"/>
          <w:szCs w:val="24"/>
          <w:lang w:val="en-GB"/>
        </w:rPr>
        <w:t xml:space="preserve">The </w:t>
      </w:r>
      <w:r w:rsidR="00021C5D">
        <w:rPr>
          <w:color w:val="000000"/>
          <w:sz w:val="24"/>
          <w:szCs w:val="24"/>
          <w:lang w:val="en-GB"/>
        </w:rPr>
        <w:t>design</w:t>
      </w:r>
      <w:r w:rsidR="00021C5D" w:rsidRPr="001F714C">
        <w:rPr>
          <w:color w:val="000000"/>
          <w:sz w:val="24"/>
          <w:szCs w:val="24"/>
          <w:lang w:val="en-GB"/>
        </w:rPr>
        <w:t xml:space="preserve"> </w:t>
      </w:r>
      <w:r w:rsidRPr="001F714C">
        <w:rPr>
          <w:color w:val="000000"/>
          <w:sz w:val="24"/>
          <w:szCs w:val="24"/>
          <w:lang w:val="en-GB"/>
        </w:rPr>
        <w:t xml:space="preserve">of the </w:t>
      </w:r>
      <w:r w:rsidR="005658F1" w:rsidRPr="001F714C">
        <w:rPr>
          <w:color w:val="000000"/>
          <w:sz w:val="24"/>
          <w:szCs w:val="24"/>
          <w:lang w:val="en-GB"/>
        </w:rPr>
        <w:t>Instrument has been informed by extensive public and stakeholder consultation</w:t>
      </w:r>
      <w:r w:rsidR="001D6559">
        <w:rPr>
          <w:color w:val="000000"/>
          <w:sz w:val="24"/>
          <w:szCs w:val="24"/>
          <w:lang w:val="en-GB"/>
        </w:rPr>
        <w:t xml:space="preserve"> between 2022 and 2024</w:t>
      </w:r>
      <w:r w:rsidR="005658F1" w:rsidRPr="001F714C">
        <w:rPr>
          <w:color w:val="000000"/>
          <w:sz w:val="24"/>
          <w:szCs w:val="24"/>
          <w:lang w:val="en-GB"/>
        </w:rPr>
        <w:t xml:space="preserve">. </w:t>
      </w:r>
    </w:p>
    <w:p w14:paraId="51647947" w14:textId="77777777" w:rsidR="001D6559" w:rsidRDefault="001D6559" w:rsidP="00916D51">
      <w:pPr>
        <w:rPr>
          <w:color w:val="000000"/>
          <w:sz w:val="24"/>
          <w:szCs w:val="24"/>
          <w:lang w:val="en-GB"/>
        </w:rPr>
      </w:pPr>
    </w:p>
    <w:p w14:paraId="168D78A1" w14:textId="77777777" w:rsidR="005658F1" w:rsidRPr="001F714C" w:rsidRDefault="005658F1" w:rsidP="001F714C">
      <w:pPr>
        <w:rPr>
          <w:color w:val="000000"/>
          <w:sz w:val="24"/>
          <w:szCs w:val="24"/>
          <w:lang w:val="en-GB"/>
        </w:rPr>
      </w:pPr>
      <w:r w:rsidRPr="001F714C">
        <w:rPr>
          <w:color w:val="000000"/>
          <w:sz w:val="24"/>
          <w:szCs w:val="24"/>
          <w:lang w:val="en-GB"/>
        </w:rPr>
        <w:t xml:space="preserve">The Government undertook a review of the scheme and list in 2022 and 2023, in line with its 2022 election commitment. This review </w:t>
      </w:r>
      <w:r w:rsidR="0058226D" w:rsidRPr="001F714C">
        <w:rPr>
          <w:color w:val="000000"/>
          <w:sz w:val="24"/>
          <w:szCs w:val="24"/>
          <w:lang w:val="en-GB"/>
        </w:rPr>
        <w:t>was</w:t>
      </w:r>
      <w:r w:rsidRPr="001F714C">
        <w:rPr>
          <w:color w:val="000000"/>
          <w:sz w:val="24"/>
          <w:szCs w:val="24"/>
          <w:lang w:val="en-GB"/>
        </w:rPr>
        <w:t xml:space="preserve"> supported by two phases of consultation. </w:t>
      </w:r>
    </w:p>
    <w:p w14:paraId="4C59782D" w14:textId="77777777" w:rsidR="005658F1" w:rsidRDefault="005658F1" w:rsidP="005357C1">
      <w:pPr>
        <w:ind w:right="91"/>
        <w:rPr>
          <w:color w:val="000000" w:themeColor="text1"/>
          <w:sz w:val="24"/>
          <w:szCs w:val="24"/>
          <w:shd w:val="clear" w:color="auto" w:fill="FFFFFF"/>
        </w:rPr>
      </w:pPr>
    </w:p>
    <w:p w14:paraId="1F643F53" w14:textId="77777777" w:rsidR="00916D51" w:rsidRDefault="005658F1" w:rsidP="001F714C">
      <w:pPr>
        <w:pStyle w:val="ListParagraph"/>
        <w:numPr>
          <w:ilvl w:val="0"/>
          <w:numId w:val="32"/>
        </w:numPr>
        <w:suppressAutoHyphens/>
        <w:contextualSpacing w:val="0"/>
        <w:rPr>
          <w:sz w:val="24"/>
          <w:szCs w:val="24"/>
        </w:rPr>
      </w:pPr>
      <w:r w:rsidRPr="001F714C">
        <w:rPr>
          <w:sz w:val="24"/>
          <w:szCs w:val="24"/>
        </w:rPr>
        <w:t>The first phase involved the release of a public consultation paper and targeted stakeholder roundtables in November 2022 with</w:t>
      </w:r>
      <w:r w:rsidR="00021C5D">
        <w:rPr>
          <w:sz w:val="24"/>
          <w:szCs w:val="24"/>
        </w:rPr>
        <w:t xml:space="preserve"> </w:t>
      </w:r>
      <w:r w:rsidRPr="001F714C">
        <w:rPr>
          <w:sz w:val="24"/>
          <w:szCs w:val="24"/>
        </w:rPr>
        <w:t>free-to-air broadcasters</w:t>
      </w:r>
      <w:r w:rsidR="00021C5D">
        <w:rPr>
          <w:sz w:val="24"/>
          <w:szCs w:val="24"/>
        </w:rPr>
        <w:t xml:space="preserve">, </w:t>
      </w:r>
      <w:r w:rsidRPr="001F714C">
        <w:rPr>
          <w:sz w:val="24"/>
          <w:szCs w:val="24"/>
        </w:rPr>
        <w:t>subscription television broadcasters</w:t>
      </w:r>
      <w:r w:rsidR="00021C5D">
        <w:rPr>
          <w:sz w:val="24"/>
          <w:szCs w:val="24"/>
        </w:rPr>
        <w:t xml:space="preserve">, </w:t>
      </w:r>
      <w:r w:rsidRPr="001F714C">
        <w:rPr>
          <w:sz w:val="24"/>
          <w:szCs w:val="24"/>
        </w:rPr>
        <w:t>streaming services</w:t>
      </w:r>
      <w:r w:rsidR="00021C5D">
        <w:rPr>
          <w:sz w:val="24"/>
          <w:szCs w:val="24"/>
        </w:rPr>
        <w:t xml:space="preserve"> </w:t>
      </w:r>
      <w:r w:rsidRPr="001F714C">
        <w:rPr>
          <w:sz w:val="24"/>
          <w:szCs w:val="24"/>
        </w:rPr>
        <w:t>and sporting organisations. The consultation paper was published on 11 October and the submission period closed on 6 December 2022.</w:t>
      </w:r>
      <w:r w:rsidR="00DC0E00">
        <w:rPr>
          <w:sz w:val="24"/>
          <w:szCs w:val="24"/>
        </w:rPr>
        <w:t xml:space="preserve"> The composition of the list was a key issue considered in the paper and the associated </w:t>
      </w:r>
      <w:r w:rsidR="00021C5D">
        <w:rPr>
          <w:sz w:val="24"/>
          <w:szCs w:val="24"/>
        </w:rPr>
        <w:t xml:space="preserve">consultation </w:t>
      </w:r>
      <w:r w:rsidR="00DC0E00">
        <w:rPr>
          <w:sz w:val="24"/>
          <w:szCs w:val="24"/>
        </w:rPr>
        <w:t xml:space="preserve">process. </w:t>
      </w:r>
    </w:p>
    <w:p w14:paraId="63DE18FC" w14:textId="77777777" w:rsidR="00916D51" w:rsidRDefault="00916D51" w:rsidP="001F714C">
      <w:pPr>
        <w:pStyle w:val="ListParagraph"/>
        <w:suppressAutoHyphens/>
        <w:ind w:left="360"/>
        <w:contextualSpacing w:val="0"/>
        <w:rPr>
          <w:sz w:val="24"/>
          <w:szCs w:val="24"/>
        </w:rPr>
      </w:pPr>
    </w:p>
    <w:p w14:paraId="5A716079" w14:textId="77777777" w:rsidR="005658F1" w:rsidRDefault="005658F1" w:rsidP="001F714C">
      <w:pPr>
        <w:pStyle w:val="ListParagraph"/>
        <w:numPr>
          <w:ilvl w:val="0"/>
          <w:numId w:val="32"/>
        </w:numPr>
        <w:suppressAutoHyphens/>
        <w:contextualSpacing w:val="0"/>
        <w:rPr>
          <w:sz w:val="24"/>
          <w:szCs w:val="24"/>
        </w:rPr>
      </w:pPr>
      <w:r w:rsidRPr="001F714C">
        <w:rPr>
          <w:sz w:val="24"/>
          <w:szCs w:val="24"/>
        </w:rPr>
        <w:lastRenderedPageBreak/>
        <w:t>The second phase of consultation, informed by the views provided to the first consultation, involved the release of a proposals paper</w:t>
      </w:r>
      <w:r w:rsidR="001D6559">
        <w:rPr>
          <w:sz w:val="24"/>
          <w:szCs w:val="24"/>
        </w:rPr>
        <w:t xml:space="preserve">. The proposals paper </w:t>
      </w:r>
      <w:r w:rsidRPr="001F714C">
        <w:rPr>
          <w:sz w:val="24"/>
          <w:szCs w:val="24"/>
        </w:rPr>
        <w:t>detail</w:t>
      </w:r>
      <w:r w:rsidR="00A807D6">
        <w:rPr>
          <w:sz w:val="24"/>
          <w:szCs w:val="24"/>
        </w:rPr>
        <w:t>ed</w:t>
      </w:r>
      <w:r w:rsidRPr="001F714C">
        <w:rPr>
          <w:sz w:val="24"/>
          <w:szCs w:val="24"/>
        </w:rPr>
        <w:t xml:space="preserve"> three specific models for reform of the scheme and three options for reform of the list</w:t>
      </w:r>
      <w:r w:rsidR="00537084">
        <w:rPr>
          <w:sz w:val="24"/>
          <w:szCs w:val="24"/>
        </w:rPr>
        <w:t xml:space="preserve"> (including the list of events that comprise the Instrument)</w:t>
      </w:r>
      <w:r w:rsidRPr="001F714C">
        <w:rPr>
          <w:sz w:val="24"/>
          <w:szCs w:val="24"/>
        </w:rPr>
        <w:t>. This paper was published on 19 August 2023 and the submissions period closed on 17</w:t>
      </w:r>
      <w:r w:rsidR="001D6559">
        <w:rPr>
          <w:sz w:val="24"/>
          <w:szCs w:val="24"/>
        </w:rPr>
        <w:t> </w:t>
      </w:r>
      <w:r w:rsidRPr="001F714C">
        <w:rPr>
          <w:sz w:val="24"/>
          <w:szCs w:val="24"/>
        </w:rPr>
        <w:t>September 2023.</w:t>
      </w:r>
    </w:p>
    <w:p w14:paraId="4A8EF57F" w14:textId="77777777" w:rsidR="00916D51" w:rsidRDefault="00916D51" w:rsidP="00916D51">
      <w:pPr>
        <w:suppressAutoHyphens/>
        <w:rPr>
          <w:sz w:val="24"/>
          <w:szCs w:val="24"/>
        </w:rPr>
      </w:pPr>
    </w:p>
    <w:p w14:paraId="696CE66C" w14:textId="77777777" w:rsidR="00DC0E00" w:rsidRDefault="001D6559" w:rsidP="00916D51">
      <w:pPr>
        <w:suppressAutoHyphens/>
        <w:rPr>
          <w:sz w:val="24"/>
          <w:szCs w:val="24"/>
        </w:rPr>
      </w:pPr>
      <w:r>
        <w:rPr>
          <w:sz w:val="24"/>
          <w:szCs w:val="24"/>
        </w:rPr>
        <w:t>On 29 November 2023, t</w:t>
      </w:r>
      <w:r w:rsidR="00916D51">
        <w:rPr>
          <w:sz w:val="24"/>
          <w:szCs w:val="24"/>
        </w:rPr>
        <w:t xml:space="preserve">he Government released an exposure draft of the Instrument to support Parliamentary </w:t>
      </w:r>
      <w:r w:rsidR="00C06915">
        <w:rPr>
          <w:sz w:val="24"/>
          <w:szCs w:val="24"/>
        </w:rPr>
        <w:t xml:space="preserve">and stakeholder </w:t>
      </w:r>
      <w:r w:rsidR="00916D51">
        <w:rPr>
          <w:sz w:val="24"/>
          <w:szCs w:val="24"/>
        </w:rPr>
        <w:t xml:space="preserve">consideration of the </w:t>
      </w:r>
      <w:r w:rsidR="00916D51" w:rsidRPr="001F714C">
        <w:rPr>
          <w:sz w:val="24"/>
          <w:szCs w:val="24"/>
        </w:rPr>
        <w:t>Bill.</w:t>
      </w:r>
      <w:r w:rsidR="00916D51">
        <w:rPr>
          <w:sz w:val="24"/>
          <w:szCs w:val="24"/>
        </w:rPr>
        <w:t xml:space="preserve"> On 30</w:t>
      </w:r>
      <w:r>
        <w:rPr>
          <w:sz w:val="24"/>
          <w:szCs w:val="24"/>
        </w:rPr>
        <w:t> </w:t>
      </w:r>
      <w:r w:rsidR="00916D51">
        <w:rPr>
          <w:sz w:val="24"/>
          <w:szCs w:val="24"/>
        </w:rPr>
        <w:t xml:space="preserve">November 2023, </w:t>
      </w:r>
      <w:r w:rsidR="00916D51" w:rsidRPr="001F714C">
        <w:rPr>
          <w:sz w:val="24"/>
          <w:szCs w:val="24"/>
        </w:rPr>
        <w:t>the Senate referred the Bill to the Environment and Communications Legislation Committee for inquiry and report</w:t>
      </w:r>
      <w:r w:rsidR="00916D51">
        <w:rPr>
          <w:sz w:val="24"/>
          <w:szCs w:val="24"/>
        </w:rPr>
        <w:t>.</w:t>
      </w:r>
      <w:r w:rsidR="00DC0E00">
        <w:rPr>
          <w:sz w:val="24"/>
          <w:szCs w:val="24"/>
        </w:rPr>
        <w:t xml:space="preserve"> </w:t>
      </w:r>
      <w:r w:rsidR="00C06915">
        <w:rPr>
          <w:sz w:val="24"/>
          <w:szCs w:val="24"/>
        </w:rPr>
        <w:t xml:space="preserve">A number of </w:t>
      </w:r>
      <w:r w:rsidR="00DC0E00">
        <w:rPr>
          <w:sz w:val="24"/>
          <w:szCs w:val="24"/>
        </w:rPr>
        <w:t xml:space="preserve">submissions to the inquiry provided comments on the exposure draft of the list. </w:t>
      </w:r>
    </w:p>
    <w:p w14:paraId="11D09C8C" w14:textId="77777777" w:rsidR="00DC0E00" w:rsidRDefault="00DC0E00" w:rsidP="00916D51">
      <w:pPr>
        <w:suppressAutoHyphens/>
        <w:rPr>
          <w:sz w:val="24"/>
          <w:szCs w:val="24"/>
        </w:rPr>
      </w:pPr>
    </w:p>
    <w:p w14:paraId="0B125C23" w14:textId="77777777" w:rsidR="00916D51" w:rsidRDefault="00DC0E00" w:rsidP="00916D51">
      <w:pPr>
        <w:suppressAutoHyphens/>
        <w:rPr>
          <w:sz w:val="24"/>
          <w:szCs w:val="24"/>
        </w:rPr>
      </w:pPr>
      <w:r>
        <w:rPr>
          <w:sz w:val="24"/>
          <w:szCs w:val="24"/>
        </w:rPr>
        <w:t xml:space="preserve">The views </w:t>
      </w:r>
      <w:r w:rsidR="00C06915">
        <w:rPr>
          <w:sz w:val="24"/>
          <w:szCs w:val="24"/>
        </w:rPr>
        <w:t xml:space="preserve">expressed by </w:t>
      </w:r>
      <w:r w:rsidR="00021C5D">
        <w:rPr>
          <w:sz w:val="24"/>
          <w:szCs w:val="24"/>
        </w:rPr>
        <w:t xml:space="preserve">the individuals and organisations </w:t>
      </w:r>
      <w:r w:rsidR="002A5550">
        <w:rPr>
          <w:sz w:val="24"/>
          <w:szCs w:val="24"/>
        </w:rPr>
        <w:t>through</w:t>
      </w:r>
      <w:r w:rsidR="00021C5D">
        <w:rPr>
          <w:sz w:val="24"/>
          <w:szCs w:val="24"/>
        </w:rPr>
        <w:t xml:space="preserve"> the review and </w:t>
      </w:r>
      <w:r w:rsidR="0008363D">
        <w:rPr>
          <w:sz w:val="24"/>
          <w:szCs w:val="24"/>
        </w:rPr>
        <w:t xml:space="preserve">inquiry processes </w:t>
      </w:r>
      <w:r w:rsidR="00C06915">
        <w:rPr>
          <w:sz w:val="24"/>
          <w:szCs w:val="24"/>
        </w:rPr>
        <w:t xml:space="preserve">were integral to the design of the Instrument. </w:t>
      </w:r>
      <w:r w:rsidR="00A807D6">
        <w:rPr>
          <w:sz w:val="24"/>
          <w:szCs w:val="24"/>
        </w:rPr>
        <w:t xml:space="preserve">These views were </w:t>
      </w:r>
      <w:r w:rsidR="00C06915">
        <w:rPr>
          <w:sz w:val="24"/>
          <w:szCs w:val="24"/>
        </w:rPr>
        <w:t xml:space="preserve">detailed </w:t>
      </w:r>
      <w:r w:rsidR="00A807D6">
        <w:rPr>
          <w:sz w:val="24"/>
          <w:szCs w:val="24"/>
        </w:rPr>
        <w:t>in the Explanatory Memorandum to the Bill</w:t>
      </w:r>
      <w:r w:rsidR="00C06915">
        <w:rPr>
          <w:sz w:val="24"/>
          <w:szCs w:val="24"/>
        </w:rPr>
        <w:t>, including in the associated Impact Analysis which assessed</w:t>
      </w:r>
      <w:r w:rsidR="00A807D6">
        <w:rPr>
          <w:sz w:val="24"/>
          <w:szCs w:val="24"/>
        </w:rPr>
        <w:t xml:space="preserve"> </w:t>
      </w:r>
      <w:r w:rsidR="00C06915">
        <w:rPr>
          <w:sz w:val="24"/>
          <w:szCs w:val="24"/>
        </w:rPr>
        <w:t xml:space="preserve">the list in the form included in the Instrument. The report of the Parliamentary Committee inquiry also detailed the views and positions of stakeholders with respect to the events in the list.     </w:t>
      </w:r>
      <w:r>
        <w:rPr>
          <w:sz w:val="24"/>
          <w:szCs w:val="24"/>
        </w:rPr>
        <w:t xml:space="preserve"> </w:t>
      </w:r>
      <w:r w:rsidR="00916D51">
        <w:rPr>
          <w:sz w:val="24"/>
          <w:szCs w:val="24"/>
        </w:rPr>
        <w:t xml:space="preserve"> </w:t>
      </w:r>
    </w:p>
    <w:p w14:paraId="5A6563CF" w14:textId="77777777" w:rsidR="00503257" w:rsidRPr="00763898" w:rsidRDefault="00503257" w:rsidP="00763898">
      <w:pPr>
        <w:ind w:right="91"/>
        <w:rPr>
          <w:color w:val="000000" w:themeColor="text1"/>
          <w:sz w:val="24"/>
          <w:szCs w:val="24"/>
          <w:shd w:val="clear" w:color="auto" w:fill="FFFFFF"/>
        </w:rPr>
      </w:pPr>
    </w:p>
    <w:p w14:paraId="7EB2E5C5" w14:textId="77777777" w:rsidR="008D1DB0" w:rsidRPr="00203CB7" w:rsidRDefault="002374A8" w:rsidP="001C0BCA">
      <w:pPr>
        <w:rPr>
          <w:color w:val="000000" w:themeColor="text1"/>
          <w:sz w:val="24"/>
          <w:szCs w:val="24"/>
          <w:u w:val="single"/>
        </w:rPr>
      </w:pPr>
      <w:r w:rsidRPr="00203CB7">
        <w:rPr>
          <w:color w:val="000000" w:themeColor="text1"/>
          <w:sz w:val="24"/>
          <w:szCs w:val="24"/>
          <w:u w:val="single"/>
        </w:rPr>
        <w:t xml:space="preserve">Regulatory </w:t>
      </w:r>
      <w:r w:rsidR="00EB6FBD" w:rsidRPr="00203CB7">
        <w:rPr>
          <w:color w:val="000000" w:themeColor="text1"/>
          <w:sz w:val="24"/>
          <w:szCs w:val="24"/>
          <w:u w:val="single"/>
        </w:rPr>
        <w:t>impact analysis</w:t>
      </w:r>
    </w:p>
    <w:p w14:paraId="3025B426" w14:textId="77777777" w:rsidR="001C0BCA" w:rsidRPr="00203CB7" w:rsidRDefault="001C0BCA" w:rsidP="001C0BCA">
      <w:pPr>
        <w:ind w:right="91"/>
        <w:rPr>
          <w:color w:val="000000" w:themeColor="text1"/>
          <w:sz w:val="24"/>
          <w:szCs w:val="24"/>
        </w:rPr>
      </w:pPr>
      <w:bookmarkStart w:id="5" w:name="_Hlk129775427"/>
    </w:p>
    <w:bookmarkEnd w:id="5"/>
    <w:p w14:paraId="317CD9C4" w14:textId="77777777" w:rsidR="00EB6FBD" w:rsidRDefault="001209FC" w:rsidP="00EB6FBD">
      <w:pPr>
        <w:autoSpaceDE w:val="0"/>
        <w:autoSpaceDN w:val="0"/>
        <w:spacing w:line="300" w:lineRule="exact"/>
        <w:rPr>
          <w:color w:val="000000"/>
          <w:sz w:val="24"/>
          <w:szCs w:val="24"/>
        </w:rPr>
      </w:pPr>
      <w:r w:rsidRPr="00203CB7">
        <w:rPr>
          <w:rFonts w:eastAsiaTheme="minorHAnsi"/>
          <w:color w:val="000000"/>
          <w:sz w:val="24"/>
        </w:rPr>
        <w:t xml:space="preserve">An Impact </w:t>
      </w:r>
      <w:r w:rsidRPr="00203CB7">
        <w:rPr>
          <w:color w:val="000000"/>
          <w:sz w:val="24"/>
          <w:szCs w:val="24"/>
        </w:rPr>
        <w:t>Analysis has been undertaken</w:t>
      </w:r>
      <w:r>
        <w:rPr>
          <w:color w:val="000000"/>
          <w:sz w:val="24"/>
          <w:szCs w:val="24"/>
        </w:rPr>
        <w:t>.</w:t>
      </w:r>
      <w:r w:rsidRPr="00203CB7">
        <w:rPr>
          <w:color w:val="000000"/>
          <w:sz w:val="24"/>
          <w:szCs w:val="24"/>
        </w:rPr>
        <w:t xml:space="preserve"> </w:t>
      </w:r>
      <w:r w:rsidRPr="004131AE">
        <w:rPr>
          <w:rFonts w:eastAsiaTheme="minorHAnsi"/>
          <w:color w:val="000000"/>
          <w:sz w:val="24"/>
        </w:rPr>
        <w:t xml:space="preserve">The OIA reference number is </w:t>
      </w:r>
      <w:r w:rsidR="00E5141A">
        <w:rPr>
          <w:color w:val="000000"/>
          <w:sz w:val="24"/>
          <w:szCs w:val="24"/>
        </w:rPr>
        <w:t>OIA23-05172</w:t>
      </w:r>
      <w:r>
        <w:rPr>
          <w:color w:val="000000"/>
          <w:sz w:val="24"/>
          <w:szCs w:val="24"/>
        </w:rPr>
        <w:t>.</w:t>
      </w:r>
    </w:p>
    <w:p w14:paraId="1DBB0461" w14:textId="77777777" w:rsidR="00103BD9" w:rsidRPr="00F4213D" w:rsidRDefault="00103BD9" w:rsidP="008D1DB0">
      <w:pPr>
        <w:rPr>
          <w:color w:val="000000" w:themeColor="text1"/>
          <w:sz w:val="24"/>
          <w:szCs w:val="24"/>
        </w:rPr>
      </w:pPr>
    </w:p>
    <w:p w14:paraId="2AA3BE5A" w14:textId="77777777" w:rsidR="002131AC" w:rsidRPr="00203CB7" w:rsidRDefault="002131AC" w:rsidP="007F201A">
      <w:pPr>
        <w:keepNext/>
        <w:rPr>
          <w:bCs/>
          <w:color w:val="000000" w:themeColor="text1"/>
          <w:sz w:val="24"/>
          <w:szCs w:val="24"/>
          <w:u w:val="single"/>
        </w:rPr>
      </w:pPr>
      <w:r w:rsidRPr="00203CB7">
        <w:rPr>
          <w:bCs/>
          <w:color w:val="000000" w:themeColor="text1"/>
          <w:sz w:val="24"/>
          <w:szCs w:val="24"/>
          <w:u w:val="single"/>
        </w:rPr>
        <w:t>Statement of compatibility with human rights</w:t>
      </w:r>
    </w:p>
    <w:p w14:paraId="66CA569D" w14:textId="77777777" w:rsidR="008D1DB0" w:rsidRPr="00203CB7" w:rsidRDefault="008D1DB0" w:rsidP="001C0BCA">
      <w:pPr>
        <w:ind w:right="91"/>
        <w:rPr>
          <w:color w:val="000000" w:themeColor="text1"/>
          <w:sz w:val="24"/>
          <w:szCs w:val="24"/>
        </w:rPr>
      </w:pPr>
    </w:p>
    <w:p w14:paraId="7B69AFA8" w14:textId="77777777" w:rsidR="002131AC" w:rsidRPr="00156A60" w:rsidRDefault="00B562E2" w:rsidP="007F201A">
      <w:pPr>
        <w:keepNext/>
        <w:rPr>
          <w:color w:val="000000" w:themeColor="text1"/>
          <w:sz w:val="24"/>
          <w:szCs w:val="24"/>
        </w:rPr>
      </w:pPr>
      <w:r w:rsidRPr="00203CB7">
        <w:rPr>
          <w:color w:val="000000" w:themeColor="text1"/>
          <w:sz w:val="24"/>
          <w:szCs w:val="24"/>
        </w:rPr>
        <w:t xml:space="preserve">A statement of compatibility with human rights for the purposes of Part 3 of the </w:t>
      </w:r>
      <w:r w:rsidRPr="00203CB7">
        <w:rPr>
          <w:i/>
          <w:color w:val="000000" w:themeColor="text1"/>
          <w:sz w:val="24"/>
          <w:szCs w:val="24"/>
        </w:rPr>
        <w:t>Human Rights (Parliamentary Scrutiny) Act 2011</w:t>
      </w:r>
      <w:r w:rsidRPr="00203CB7">
        <w:rPr>
          <w:color w:val="000000" w:themeColor="text1"/>
          <w:sz w:val="24"/>
          <w:szCs w:val="24"/>
        </w:rPr>
        <w:t xml:space="preserve"> is set out in </w:t>
      </w:r>
      <w:r w:rsidRPr="00203CB7">
        <w:rPr>
          <w:b/>
          <w:color w:val="000000" w:themeColor="text1"/>
          <w:sz w:val="24"/>
          <w:szCs w:val="24"/>
          <w:u w:val="single"/>
        </w:rPr>
        <w:t xml:space="preserve">Attachment </w:t>
      </w:r>
      <w:r w:rsidR="00D46917" w:rsidRPr="00203CB7">
        <w:rPr>
          <w:b/>
          <w:color w:val="000000" w:themeColor="text1"/>
          <w:sz w:val="24"/>
          <w:szCs w:val="24"/>
          <w:u w:val="single"/>
        </w:rPr>
        <w:t>B</w:t>
      </w:r>
      <w:r w:rsidRPr="00203CB7">
        <w:rPr>
          <w:color w:val="000000" w:themeColor="text1"/>
          <w:sz w:val="24"/>
          <w:szCs w:val="24"/>
        </w:rPr>
        <w:t>.</w:t>
      </w:r>
    </w:p>
    <w:p w14:paraId="2084AC15" w14:textId="77777777" w:rsidR="008D1DB0" w:rsidRPr="00156A60" w:rsidRDefault="008D1DB0" w:rsidP="008D1DB0">
      <w:pPr>
        <w:rPr>
          <w:color w:val="000000" w:themeColor="text1"/>
          <w:sz w:val="24"/>
          <w:szCs w:val="24"/>
        </w:rPr>
      </w:pPr>
    </w:p>
    <w:p w14:paraId="1CCA5269" w14:textId="77777777" w:rsidR="006B6586" w:rsidRPr="00156A60" w:rsidRDefault="006B6586" w:rsidP="00DB46FC">
      <w:pPr>
        <w:rPr>
          <w:color w:val="000000" w:themeColor="text1"/>
          <w:sz w:val="24"/>
          <w:szCs w:val="24"/>
        </w:rPr>
      </w:pPr>
    </w:p>
    <w:bookmarkEnd w:id="3"/>
    <w:p w14:paraId="58AA9684" w14:textId="77777777" w:rsidR="00D56985" w:rsidRPr="00581F8B" w:rsidRDefault="00D56985">
      <w:pPr>
        <w:spacing w:after="200" w:line="276" w:lineRule="auto"/>
        <w:rPr>
          <w:color w:val="000000" w:themeColor="text1"/>
          <w:sz w:val="24"/>
          <w:szCs w:val="24"/>
        </w:rPr>
        <w:sectPr w:rsidR="00D56985" w:rsidRPr="00581F8B" w:rsidSect="001F714C">
          <w:headerReference w:type="even" r:id="rId12"/>
          <w:headerReference w:type="default" r:id="rId13"/>
          <w:footerReference w:type="even" r:id="rId14"/>
          <w:footerReference w:type="default" r:id="rId15"/>
          <w:footerReference w:type="first" r:id="rId16"/>
          <w:pgSz w:w="11906" w:h="16838" w:code="9"/>
          <w:pgMar w:top="993" w:right="1440" w:bottom="1135" w:left="1440" w:header="0" w:footer="224" w:gutter="0"/>
          <w:cols w:space="708"/>
          <w:titlePg/>
          <w:docGrid w:linePitch="360"/>
        </w:sectPr>
      </w:pPr>
    </w:p>
    <w:p w14:paraId="235D24D0" w14:textId="77777777" w:rsidR="00404192" w:rsidRPr="00203CB7" w:rsidRDefault="00D27EDF" w:rsidP="00332EB8">
      <w:pPr>
        <w:keepNext/>
        <w:keepLines/>
        <w:spacing w:after="160"/>
        <w:ind w:right="91"/>
        <w:contextualSpacing/>
        <w:jc w:val="right"/>
        <w:rPr>
          <w:b/>
          <w:color w:val="000000" w:themeColor="text1"/>
          <w:sz w:val="28"/>
          <w:szCs w:val="28"/>
        </w:rPr>
      </w:pPr>
      <w:r w:rsidRPr="00203CB7">
        <w:rPr>
          <w:b/>
          <w:color w:val="000000" w:themeColor="text1"/>
          <w:sz w:val="28"/>
          <w:szCs w:val="28"/>
        </w:rPr>
        <w:lastRenderedPageBreak/>
        <w:t>ATTACHMENT A</w:t>
      </w:r>
    </w:p>
    <w:p w14:paraId="475A17C1" w14:textId="77777777" w:rsidR="009125C6" w:rsidRPr="001F714C" w:rsidRDefault="009125C6" w:rsidP="00332EB8">
      <w:pPr>
        <w:keepNext/>
        <w:keepLines/>
        <w:ind w:right="91"/>
        <w:contextualSpacing/>
        <w:rPr>
          <w:b/>
          <w:color w:val="000000" w:themeColor="text1"/>
          <w:sz w:val="24"/>
          <w:szCs w:val="24"/>
        </w:rPr>
      </w:pPr>
    </w:p>
    <w:p w14:paraId="664E18EF" w14:textId="77777777" w:rsidR="00DF4962" w:rsidRDefault="009125C6" w:rsidP="00332EB8">
      <w:pPr>
        <w:keepNext/>
        <w:keepLines/>
        <w:ind w:right="91"/>
        <w:contextualSpacing/>
        <w:rPr>
          <w:b/>
          <w:color w:val="000000" w:themeColor="text1"/>
          <w:sz w:val="28"/>
          <w:szCs w:val="28"/>
        </w:rPr>
      </w:pPr>
      <w:r w:rsidRPr="009125C6">
        <w:rPr>
          <w:b/>
          <w:color w:val="000000" w:themeColor="text1"/>
          <w:sz w:val="28"/>
          <w:szCs w:val="28"/>
        </w:rPr>
        <w:t>Broadcasting Services (Anti-Siphoning List) Instrument 2024</w:t>
      </w:r>
    </w:p>
    <w:p w14:paraId="5D1F7026" w14:textId="77777777" w:rsidR="009125C6" w:rsidRPr="00203CB7" w:rsidRDefault="009125C6" w:rsidP="00332EB8">
      <w:pPr>
        <w:keepNext/>
        <w:keepLines/>
        <w:ind w:right="91"/>
        <w:contextualSpacing/>
        <w:rPr>
          <w:color w:val="000000" w:themeColor="text1"/>
          <w:sz w:val="24"/>
          <w:szCs w:val="24"/>
        </w:rPr>
      </w:pPr>
    </w:p>
    <w:p w14:paraId="1A1E4E27" w14:textId="77777777" w:rsidR="0029249F" w:rsidRPr="00203CB7" w:rsidRDefault="0029249F" w:rsidP="00332EB8">
      <w:pPr>
        <w:keepNext/>
        <w:keepLines/>
        <w:ind w:right="91"/>
        <w:contextualSpacing/>
        <w:rPr>
          <w:color w:val="000000" w:themeColor="text1"/>
          <w:sz w:val="24"/>
          <w:szCs w:val="24"/>
        </w:rPr>
      </w:pPr>
      <w:r w:rsidRPr="00203CB7">
        <w:rPr>
          <w:color w:val="000000" w:themeColor="text1"/>
          <w:sz w:val="24"/>
          <w:szCs w:val="24"/>
          <w:u w:val="single"/>
        </w:rPr>
        <w:t>Section 1</w:t>
      </w:r>
      <w:r w:rsidRPr="00203CB7">
        <w:rPr>
          <w:color w:val="000000" w:themeColor="text1"/>
          <w:sz w:val="24"/>
          <w:szCs w:val="24"/>
        </w:rPr>
        <w:t xml:space="preserve"> provides that the name of the instrument is the </w:t>
      </w:r>
      <w:r w:rsidR="00203CB7" w:rsidRPr="00203CB7">
        <w:rPr>
          <w:i/>
          <w:color w:val="000000" w:themeColor="text1"/>
          <w:sz w:val="24"/>
          <w:szCs w:val="24"/>
        </w:rPr>
        <w:t xml:space="preserve">Broadcasting Services (Anti-Siphoning List) Instrument </w:t>
      </w:r>
      <w:r w:rsidR="0049701F">
        <w:rPr>
          <w:i/>
          <w:color w:val="000000" w:themeColor="text1"/>
          <w:sz w:val="24"/>
          <w:szCs w:val="24"/>
        </w:rPr>
        <w:t>2024</w:t>
      </w:r>
      <w:r w:rsidRPr="00203CB7">
        <w:rPr>
          <w:color w:val="000000" w:themeColor="text1"/>
          <w:sz w:val="24"/>
          <w:szCs w:val="24"/>
        </w:rPr>
        <w:t xml:space="preserve"> </w:t>
      </w:r>
      <w:r w:rsidRPr="00203CB7">
        <w:rPr>
          <w:iCs/>
          <w:color w:val="000000" w:themeColor="text1"/>
          <w:sz w:val="24"/>
          <w:szCs w:val="24"/>
        </w:rPr>
        <w:t xml:space="preserve">(the </w:t>
      </w:r>
      <w:r w:rsidR="00203CB7" w:rsidRPr="00203CB7">
        <w:rPr>
          <w:iCs/>
          <w:color w:val="000000" w:themeColor="text1"/>
          <w:sz w:val="24"/>
          <w:szCs w:val="24"/>
        </w:rPr>
        <w:t>Instrument</w:t>
      </w:r>
      <w:r w:rsidRPr="00203CB7">
        <w:rPr>
          <w:iCs/>
          <w:color w:val="000000" w:themeColor="text1"/>
          <w:sz w:val="24"/>
          <w:szCs w:val="24"/>
        </w:rPr>
        <w:t>).</w:t>
      </w:r>
    </w:p>
    <w:p w14:paraId="17A8FAAC" w14:textId="77777777" w:rsidR="0029249F" w:rsidRPr="00203CB7" w:rsidRDefault="0029249F" w:rsidP="00332EB8">
      <w:pPr>
        <w:keepNext/>
        <w:keepLines/>
        <w:contextualSpacing/>
        <w:rPr>
          <w:color w:val="000000" w:themeColor="text1"/>
          <w:sz w:val="24"/>
          <w:szCs w:val="24"/>
        </w:rPr>
      </w:pPr>
    </w:p>
    <w:p w14:paraId="48A55D6B" w14:textId="77777777" w:rsidR="0029249F" w:rsidRDefault="0029249F" w:rsidP="00332EB8">
      <w:pPr>
        <w:keepNext/>
        <w:keepLines/>
        <w:contextualSpacing/>
        <w:rPr>
          <w:color w:val="000000" w:themeColor="text1"/>
          <w:sz w:val="24"/>
          <w:szCs w:val="24"/>
        </w:rPr>
      </w:pPr>
      <w:r w:rsidRPr="00203CB7">
        <w:rPr>
          <w:color w:val="000000" w:themeColor="text1"/>
          <w:sz w:val="24"/>
          <w:szCs w:val="24"/>
          <w:u w:val="single"/>
        </w:rPr>
        <w:t>Section 2</w:t>
      </w:r>
      <w:r w:rsidRPr="00203CB7">
        <w:rPr>
          <w:color w:val="000000" w:themeColor="text1"/>
          <w:sz w:val="24"/>
          <w:szCs w:val="24"/>
        </w:rPr>
        <w:t xml:space="preserve"> provides that the </w:t>
      </w:r>
      <w:r w:rsidR="00203CB7" w:rsidRPr="00203CB7">
        <w:rPr>
          <w:color w:val="000000" w:themeColor="text1"/>
          <w:sz w:val="24"/>
          <w:szCs w:val="24"/>
        </w:rPr>
        <w:t xml:space="preserve">Instrument commences at the same time as Schedule 2 to the </w:t>
      </w:r>
      <w:r w:rsidR="00203CB7" w:rsidRPr="00D4056E">
        <w:rPr>
          <w:i/>
          <w:color w:val="000000" w:themeColor="text1"/>
          <w:sz w:val="24"/>
          <w:szCs w:val="24"/>
        </w:rPr>
        <w:t>Communications Legislation Amendment (Prominence and Anti-siphoning) Act 2024</w:t>
      </w:r>
      <w:r w:rsidR="001B2EBD">
        <w:rPr>
          <w:i/>
          <w:color w:val="000000" w:themeColor="text1"/>
          <w:sz w:val="24"/>
          <w:szCs w:val="24"/>
        </w:rPr>
        <w:t>.</w:t>
      </w:r>
      <w:r w:rsidR="00203CB7" w:rsidRPr="00203CB7">
        <w:rPr>
          <w:color w:val="000000" w:themeColor="text1"/>
          <w:sz w:val="24"/>
          <w:szCs w:val="24"/>
        </w:rPr>
        <w:t xml:space="preserve"> </w:t>
      </w:r>
    </w:p>
    <w:p w14:paraId="0AFDAFE9" w14:textId="77777777" w:rsidR="00203CB7" w:rsidRDefault="00203CB7" w:rsidP="00332EB8">
      <w:pPr>
        <w:keepNext/>
        <w:keepLines/>
        <w:contextualSpacing/>
        <w:rPr>
          <w:color w:val="000000" w:themeColor="text1"/>
          <w:sz w:val="24"/>
          <w:szCs w:val="24"/>
        </w:rPr>
      </w:pPr>
    </w:p>
    <w:p w14:paraId="41522F8C" w14:textId="77777777" w:rsidR="00203CB7" w:rsidRPr="00203CB7" w:rsidRDefault="00203CB7" w:rsidP="00332EB8">
      <w:pPr>
        <w:keepNext/>
        <w:keepLines/>
        <w:contextualSpacing/>
        <w:rPr>
          <w:color w:val="000000" w:themeColor="text1"/>
          <w:sz w:val="24"/>
          <w:szCs w:val="24"/>
        </w:rPr>
      </w:pPr>
      <w:r>
        <w:rPr>
          <w:color w:val="000000" w:themeColor="text1"/>
          <w:sz w:val="24"/>
          <w:szCs w:val="24"/>
        </w:rPr>
        <w:t>The note at the end of section 2 provides that the Instrument</w:t>
      </w:r>
      <w:r w:rsidRPr="00203CB7">
        <w:rPr>
          <w:color w:val="000000" w:themeColor="text1"/>
          <w:sz w:val="24"/>
          <w:szCs w:val="24"/>
        </w:rPr>
        <w:t xml:space="preserve"> replaces any instruments previously made under subsection 115(1) of the </w:t>
      </w:r>
      <w:r w:rsidRPr="00203CB7">
        <w:rPr>
          <w:i/>
          <w:color w:val="000000" w:themeColor="text1"/>
          <w:sz w:val="24"/>
          <w:szCs w:val="24"/>
        </w:rPr>
        <w:t>Broadcasting Services Act 1992</w:t>
      </w:r>
      <w:r w:rsidRPr="00203CB7">
        <w:rPr>
          <w:color w:val="000000" w:themeColor="text1"/>
          <w:sz w:val="24"/>
          <w:szCs w:val="24"/>
        </w:rPr>
        <w:t xml:space="preserve"> as in force immediately before the commencement of </w:t>
      </w:r>
      <w:r>
        <w:rPr>
          <w:color w:val="000000" w:themeColor="text1"/>
          <w:sz w:val="24"/>
          <w:szCs w:val="24"/>
        </w:rPr>
        <w:t>the</w:t>
      </w:r>
      <w:r w:rsidRPr="00203CB7">
        <w:rPr>
          <w:color w:val="000000" w:themeColor="text1"/>
          <w:sz w:val="24"/>
          <w:szCs w:val="24"/>
        </w:rPr>
        <w:t xml:space="preserve"> </w:t>
      </w:r>
      <w:r>
        <w:rPr>
          <w:color w:val="000000" w:themeColor="text1"/>
          <w:sz w:val="24"/>
          <w:szCs w:val="24"/>
        </w:rPr>
        <w:t>I</w:t>
      </w:r>
      <w:r w:rsidRPr="00203CB7">
        <w:rPr>
          <w:color w:val="000000" w:themeColor="text1"/>
          <w:sz w:val="24"/>
          <w:szCs w:val="24"/>
        </w:rPr>
        <w:t>nstrument. Those instruments will be impliedly repealed.</w:t>
      </w:r>
      <w:r>
        <w:rPr>
          <w:color w:val="000000" w:themeColor="text1"/>
          <w:sz w:val="24"/>
          <w:szCs w:val="24"/>
        </w:rPr>
        <w:t xml:space="preserve"> The effect of this will be to repeal the </w:t>
      </w:r>
      <w:r w:rsidRPr="00622464">
        <w:rPr>
          <w:i/>
          <w:color w:val="000000"/>
          <w:sz w:val="24"/>
          <w:szCs w:val="24"/>
          <w:lang w:val="en-GB"/>
        </w:rPr>
        <w:t>Broadcasting Services (Events) Notice 2023</w:t>
      </w:r>
      <w:r w:rsidRPr="00D4056E">
        <w:rPr>
          <w:color w:val="000000"/>
          <w:sz w:val="24"/>
          <w:szCs w:val="24"/>
          <w:lang w:val="en-GB"/>
        </w:rPr>
        <w:t>.</w:t>
      </w:r>
    </w:p>
    <w:p w14:paraId="08F6E6A7" w14:textId="77777777" w:rsidR="0014543A" w:rsidRPr="00D4056E" w:rsidRDefault="0014543A" w:rsidP="00332EB8">
      <w:pPr>
        <w:keepNext/>
        <w:keepLines/>
        <w:ind w:right="91"/>
        <w:contextualSpacing/>
        <w:rPr>
          <w:color w:val="000000" w:themeColor="text1"/>
          <w:sz w:val="24"/>
          <w:szCs w:val="24"/>
        </w:rPr>
      </w:pPr>
    </w:p>
    <w:p w14:paraId="02FB5184" w14:textId="77777777" w:rsidR="0029249F" w:rsidRPr="00D4056E" w:rsidRDefault="0029249F" w:rsidP="00332EB8">
      <w:pPr>
        <w:keepNext/>
        <w:keepLines/>
        <w:ind w:right="91"/>
        <w:contextualSpacing/>
        <w:rPr>
          <w:color w:val="000000" w:themeColor="text1"/>
          <w:sz w:val="24"/>
          <w:szCs w:val="24"/>
        </w:rPr>
      </w:pPr>
      <w:r w:rsidRPr="00D4056E">
        <w:rPr>
          <w:color w:val="000000" w:themeColor="text1"/>
          <w:sz w:val="24"/>
          <w:szCs w:val="24"/>
          <w:u w:val="single"/>
        </w:rPr>
        <w:t>Section 3</w:t>
      </w:r>
      <w:r w:rsidRPr="00D4056E">
        <w:rPr>
          <w:color w:val="000000" w:themeColor="text1"/>
          <w:sz w:val="24"/>
          <w:szCs w:val="24"/>
        </w:rPr>
        <w:t xml:space="preserve"> provides that the source of authority for making the</w:t>
      </w:r>
      <w:r w:rsidRPr="00D4056E">
        <w:rPr>
          <w:iCs/>
          <w:color w:val="000000" w:themeColor="text1"/>
          <w:sz w:val="24"/>
          <w:szCs w:val="24"/>
        </w:rPr>
        <w:t xml:space="preserve"> </w:t>
      </w:r>
      <w:r w:rsidR="00D4056E" w:rsidRPr="00D4056E">
        <w:rPr>
          <w:iCs/>
          <w:color w:val="000000" w:themeColor="text1"/>
          <w:sz w:val="24"/>
          <w:szCs w:val="24"/>
        </w:rPr>
        <w:t>Instrument</w:t>
      </w:r>
      <w:r w:rsidRPr="00D4056E">
        <w:rPr>
          <w:iCs/>
          <w:color w:val="000000" w:themeColor="text1"/>
          <w:sz w:val="24"/>
          <w:szCs w:val="24"/>
        </w:rPr>
        <w:t xml:space="preserve"> </w:t>
      </w:r>
      <w:r w:rsidRPr="00D4056E">
        <w:rPr>
          <w:color w:val="000000" w:themeColor="text1"/>
          <w:sz w:val="24"/>
          <w:szCs w:val="24"/>
        </w:rPr>
        <w:t xml:space="preserve">is subsection </w:t>
      </w:r>
      <w:r w:rsidR="00D4056E" w:rsidRPr="00D4056E">
        <w:rPr>
          <w:color w:val="000000" w:themeColor="text1"/>
          <w:sz w:val="24"/>
          <w:szCs w:val="24"/>
        </w:rPr>
        <w:t>146</w:t>
      </w:r>
      <w:proofErr w:type="gramStart"/>
      <w:r w:rsidR="00D4056E" w:rsidRPr="00D4056E">
        <w:rPr>
          <w:color w:val="000000" w:themeColor="text1"/>
          <w:sz w:val="24"/>
          <w:szCs w:val="24"/>
        </w:rPr>
        <w:t>V(</w:t>
      </w:r>
      <w:proofErr w:type="gramEnd"/>
      <w:r w:rsidR="00D4056E" w:rsidRPr="00D4056E">
        <w:rPr>
          <w:color w:val="000000" w:themeColor="text1"/>
          <w:sz w:val="24"/>
          <w:szCs w:val="24"/>
        </w:rPr>
        <w:t>1)</w:t>
      </w:r>
      <w:r w:rsidRPr="00D4056E">
        <w:rPr>
          <w:color w:val="000000" w:themeColor="text1"/>
          <w:sz w:val="24"/>
          <w:szCs w:val="24"/>
        </w:rPr>
        <w:t xml:space="preserve"> of the </w:t>
      </w:r>
      <w:r w:rsidRPr="00D4056E">
        <w:rPr>
          <w:i/>
          <w:color w:val="000000" w:themeColor="text1"/>
          <w:sz w:val="24"/>
          <w:szCs w:val="24"/>
        </w:rPr>
        <w:t>Broadcasting Services Act 1992</w:t>
      </w:r>
      <w:r w:rsidRPr="00D4056E">
        <w:rPr>
          <w:color w:val="000000" w:themeColor="text1"/>
          <w:sz w:val="24"/>
          <w:szCs w:val="24"/>
        </w:rPr>
        <w:t>.</w:t>
      </w:r>
    </w:p>
    <w:p w14:paraId="7E72D4F2" w14:textId="77777777" w:rsidR="0029249F" w:rsidRPr="00D4056E" w:rsidRDefault="0029249F" w:rsidP="00332EB8">
      <w:pPr>
        <w:keepNext/>
        <w:keepLines/>
        <w:ind w:right="91"/>
        <w:contextualSpacing/>
        <w:rPr>
          <w:color w:val="000000" w:themeColor="text1"/>
          <w:sz w:val="24"/>
          <w:szCs w:val="24"/>
        </w:rPr>
      </w:pPr>
    </w:p>
    <w:p w14:paraId="16603743" w14:textId="77777777" w:rsidR="0029249F" w:rsidRPr="00D4056E" w:rsidRDefault="0029249F" w:rsidP="00332EB8">
      <w:pPr>
        <w:keepNext/>
        <w:keepLines/>
        <w:ind w:right="91"/>
        <w:contextualSpacing/>
        <w:rPr>
          <w:color w:val="000000" w:themeColor="text1"/>
          <w:sz w:val="24"/>
          <w:szCs w:val="24"/>
        </w:rPr>
      </w:pPr>
      <w:r w:rsidRPr="00D4056E">
        <w:rPr>
          <w:color w:val="000000" w:themeColor="text1"/>
          <w:sz w:val="24"/>
          <w:szCs w:val="24"/>
          <w:u w:val="single"/>
        </w:rPr>
        <w:t>Section 4</w:t>
      </w:r>
      <w:r w:rsidRPr="00D4056E">
        <w:rPr>
          <w:color w:val="000000" w:themeColor="text1"/>
          <w:sz w:val="24"/>
          <w:szCs w:val="24"/>
        </w:rPr>
        <w:t xml:space="preserve"> sets out relevant definitions for the </w:t>
      </w:r>
      <w:r w:rsidR="00D4056E" w:rsidRPr="00D4056E">
        <w:rPr>
          <w:color w:val="000000" w:themeColor="text1"/>
          <w:sz w:val="24"/>
          <w:szCs w:val="24"/>
        </w:rPr>
        <w:t>Instrument</w:t>
      </w:r>
      <w:r w:rsidRPr="00D4056E">
        <w:rPr>
          <w:color w:val="000000" w:themeColor="text1"/>
          <w:sz w:val="24"/>
          <w:szCs w:val="24"/>
        </w:rPr>
        <w:t xml:space="preserve">. </w:t>
      </w:r>
      <w:r w:rsidR="00D46917" w:rsidRPr="00D4056E">
        <w:rPr>
          <w:color w:val="000000" w:themeColor="text1"/>
          <w:sz w:val="24"/>
          <w:szCs w:val="24"/>
        </w:rPr>
        <w:t>O</w:t>
      </w:r>
      <w:r w:rsidRPr="00D4056E">
        <w:rPr>
          <w:color w:val="000000" w:themeColor="text1"/>
          <w:sz w:val="24"/>
          <w:szCs w:val="24"/>
        </w:rPr>
        <w:t xml:space="preserve">nly </w:t>
      </w:r>
      <w:r w:rsidR="00D46917" w:rsidRPr="00D4056E">
        <w:rPr>
          <w:color w:val="000000" w:themeColor="text1"/>
          <w:sz w:val="24"/>
          <w:szCs w:val="24"/>
        </w:rPr>
        <w:t xml:space="preserve">one </w:t>
      </w:r>
      <w:r w:rsidRPr="00D4056E">
        <w:rPr>
          <w:color w:val="000000" w:themeColor="text1"/>
          <w:sz w:val="24"/>
          <w:szCs w:val="24"/>
        </w:rPr>
        <w:t xml:space="preserve">definition is set out </w:t>
      </w:r>
      <w:r w:rsidR="009A5AC3" w:rsidRPr="00D4056E">
        <w:rPr>
          <w:color w:val="000000" w:themeColor="text1"/>
          <w:sz w:val="24"/>
          <w:szCs w:val="24"/>
        </w:rPr>
        <w:t>–</w:t>
      </w:r>
      <w:r w:rsidRPr="00D4056E">
        <w:rPr>
          <w:color w:val="000000" w:themeColor="text1"/>
          <w:sz w:val="24"/>
          <w:szCs w:val="24"/>
        </w:rPr>
        <w:t xml:space="preserve"> the term ‘</w:t>
      </w:r>
      <w:r w:rsidRPr="00D4056E">
        <w:rPr>
          <w:i/>
          <w:color w:val="000000" w:themeColor="text1"/>
          <w:sz w:val="24"/>
          <w:szCs w:val="24"/>
        </w:rPr>
        <w:t>Act’</w:t>
      </w:r>
      <w:r w:rsidRPr="00D4056E">
        <w:rPr>
          <w:color w:val="000000" w:themeColor="text1"/>
          <w:sz w:val="24"/>
          <w:szCs w:val="24"/>
        </w:rPr>
        <w:t xml:space="preserve"> is defined to mean the </w:t>
      </w:r>
      <w:r w:rsidRPr="00D4056E">
        <w:rPr>
          <w:i/>
          <w:color w:val="000000" w:themeColor="text1"/>
          <w:sz w:val="24"/>
          <w:szCs w:val="24"/>
        </w:rPr>
        <w:t>Broadcasting Services Act 1992</w:t>
      </w:r>
      <w:r w:rsidRPr="00D4056E">
        <w:rPr>
          <w:color w:val="000000" w:themeColor="text1"/>
          <w:sz w:val="24"/>
          <w:szCs w:val="24"/>
        </w:rPr>
        <w:t>.</w:t>
      </w:r>
    </w:p>
    <w:p w14:paraId="0434CCC0" w14:textId="77777777" w:rsidR="003C4BF8" w:rsidRPr="00D4056E" w:rsidRDefault="003C4BF8" w:rsidP="00332EB8">
      <w:pPr>
        <w:keepNext/>
        <w:keepLines/>
        <w:ind w:right="91"/>
        <w:contextualSpacing/>
        <w:rPr>
          <w:color w:val="000000" w:themeColor="text1"/>
          <w:sz w:val="24"/>
          <w:szCs w:val="24"/>
        </w:rPr>
      </w:pPr>
    </w:p>
    <w:p w14:paraId="789F9932" w14:textId="77777777" w:rsidR="009A5AC3" w:rsidRPr="00D4056E" w:rsidRDefault="0029249F" w:rsidP="00332EB8">
      <w:pPr>
        <w:keepNext/>
        <w:keepLines/>
        <w:ind w:right="91"/>
        <w:contextualSpacing/>
        <w:rPr>
          <w:color w:val="000000" w:themeColor="text1"/>
          <w:sz w:val="24"/>
          <w:szCs w:val="24"/>
        </w:rPr>
      </w:pPr>
      <w:r w:rsidRPr="00D4056E">
        <w:rPr>
          <w:color w:val="000000" w:themeColor="text1"/>
          <w:sz w:val="24"/>
          <w:szCs w:val="24"/>
          <w:u w:val="single"/>
        </w:rPr>
        <w:t xml:space="preserve">Section </w:t>
      </w:r>
      <w:r w:rsidR="00D4056E">
        <w:rPr>
          <w:color w:val="000000" w:themeColor="text1"/>
          <w:sz w:val="24"/>
          <w:szCs w:val="24"/>
          <w:u w:val="single"/>
        </w:rPr>
        <w:t>5</w:t>
      </w:r>
      <w:r w:rsidR="00A63CAD" w:rsidRPr="00D4056E">
        <w:rPr>
          <w:color w:val="000000" w:themeColor="text1"/>
          <w:sz w:val="24"/>
          <w:szCs w:val="24"/>
        </w:rPr>
        <w:t xml:space="preserve"> provides that</w:t>
      </w:r>
      <w:r w:rsidR="0014543A" w:rsidRPr="00D4056E">
        <w:rPr>
          <w:color w:val="000000" w:themeColor="text1"/>
          <w:sz w:val="24"/>
          <w:szCs w:val="24"/>
        </w:rPr>
        <w:t xml:space="preserve">, </w:t>
      </w:r>
      <w:r w:rsidR="00A63CAD" w:rsidRPr="00D4056E">
        <w:rPr>
          <w:color w:val="000000" w:themeColor="text1"/>
          <w:sz w:val="24"/>
          <w:szCs w:val="24"/>
        </w:rPr>
        <w:t xml:space="preserve">for </w:t>
      </w:r>
      <w:r w:rsidR="0059350E" w:rsidRPr="00D4056E">
        <w:rPr>
          <w:color w:val="000000" w:themeColor="text1"/>
          <w:sz w:val="24"/>
          <w:szCs w:val="24"/>
        </w:rPr>
        <w:t xml:space="preserve">the purpose of subsection </w:t>
      </w:r>
      <w:r w:rsidR="00D4056E" w:rsidRPr="00D4056E">
        <w:rPr>
          <w:color w:val="000000" w:themeColor="text1"/>
          <w:sz w:val="24"/>
          <w:szCs w:val="24"/>
        </w:rPr>
        <w:t>146</w:t>
      </w:r>
      <w:proofErr w:type="gramStart"/>
      <w:r w:rsidR="00D4056E" w:rsidRPr="00D4056E">
        <w:rPr>
          <w:color w:val="000000" w:themeColor="text1"/>
          <w:sz w:val="24"/>
          <w:szCs w:val="24"/>
        </w:rPr>
        <w:t>V(</w:t>
      </w:r>
      <w:proofErr w:type="gramEnd"/>
      <w:r w:rsidR="00D4056E" w:rsidRPr="00D4056E">
        <w:rPr>
          <w:color w:val="000000" w:themeColor="text1"/>
          <w:sz w:val="24"/>
          <w:szCs w:val="24"/>
        </w:rPr>
        <w:t>1)</w:t>
      </w:r>
      <w:r w:rsidR="0059350E" w:rsidRPr="00D4056E">
        <w:rPr>
          <w:color w:val="000000" w:themeColor="text1"/>
          <w:sz w:val="24"/>
          <w:szCs w:val="24"/>
        </w:rPr>
        <w:t xml:space="preserve"> of the Act, </w:t>
      </w:r>
      <w:r w:rsidRPr="00D4056E">
        <w:rPr>
          <w:color w:val="000000" w:themeColor="text1"/>
          <w:sz w:val="24"/>
          <w:szCs w:val="24"/>
        </w:rPr>
        <w:t>each event</w:t>
      </w:r>
      <w:r w:rsidR="00D4056E">
        <w:rPr>
          <w:color w:val="000000" w:themeColor="text1"/>
          <w:sz w:val="24"/>
          <w:szCs w:val="24"/>
        </w:rPr>
        <w:t>,</w:t>
      </w:r>
      <w:r w:rsidRPr="00D4056E">
        <w:rPr>
          <w:color w:val="000000" w:themeColor="text1"/>
          <w:sz w:val="24"/>
          <w:szCs w:val="24"/>
        </w:rPr>
        <w:t xml:space="preserve"> </w:t>
      </w:r>
      <w:r w:rsidR="00D4056E" w:rsidRPr="00D4056E">
        <w:rPr>
          <w:color w:val="000000" w:themeColor="text1"/>
          <w:sz w:val="24"/>
          <w:szCs w:val="24"/>
        </w:rPr>
        <w:t>or event of a kind</w:t>
      </w:r>
      <w:r w:rsidR="001C2A87">
        <w:rPr>
          <w:color w:val="000000" w:themeColor="text1"/>
          <w:sz w:val="24"/>
          <w:szCs w:val="24"/>
        </w:rPr>
        <w:t xml:space="preserve">, </w:t>
      </w:r>
      <w:r w:rsidR="00D4056E">
        <w:rPr>
          <w:color w:val="000000" w:themeColor="text1"/>
          <w:sz w:val="24"/>
          <w:szCs w:val="24"/>
        </w:rPr>
        <w:t>mentioned</w:t>
      </w:r>
      <w:r w:rsidRPr="00D4056E">
        <w:rPr>
          <w:color w:val="000000" w:themeColor="text1"/>
          <w:sz w:val="24"/>
          <w:szCs w:val="24"/>
        </w:rPr>
        <w:t xml:space="preserve"> in Schedule 1 to th</w:t>
      </w:r>
      <w:r w:rsidR="001C2A87">
        <w:rPr>
          <w:color w:val="000000" w:themeColor="text1"/>
          <w:sz w:val="24"/>
          <w:szCs w:val="24"/>
        </w:rPr>
        <w:t>e</w:t>
      </w:r>
      <w:r w:rsidRPr="00D4056E">
        <w:rPr>
          <w:color w:val="000000" w:themeColor="text1"/>
          <w:sz w:val="24"/>
          <w:szCs w:val="24"/>
        </w:rPr>
        <w:t xml:space="preserve"> </w:t>
      </w:r>
      <w:r w:rsidR="00D4056E">
        <w:rPr>
          <w:color w:val="000000" w:themeColor="text1"/>
          <w:sz w:val="24"/>
          <w:szCs w:val="24"/>
        </w:rPr>
        <w:t>Instrument</w:t>
      </w:r>
      <w:r w:rsidR="001C2A87">
        <w:rPr>
          <w:color w:val="000000" w:themeColor="text1"/>
          <w:sz w:val="24"/>
          <w:szCs w:val="24"/>
        </w:rPr>
        <w:t xml:space="preserve"> </w:t>
      </w:r>
      <w:r w:rsidRPr="00D4056E">
        <w:rPr>
          <w:color w:val="000000" w:themeColor="text1"/>
          <w:sz w:val="24"/>
          <w:szCs w:val="24"/>
        </w:rPr>
        <w:t xml:space="preserve">is </w:t>
      </w:r>
      <w:r w:rsidR="001C2A87">
        <w:rPr>
          <w:color w:val="000000" w:themeColor="text1"/>
          <w:sz w:val="24"/>
          <w:szCs w:val="24"/>
        </w:rPr>
        <w:t xml:space="preserve">specified as </w:t>
      </w:r>
      <w:r w:rsidRPr="00D4056E">
        <w:rPr>
          <w:color w:val="000000" w:themeColor="text1"/>
          <w:sz w:val="24"/>
          <w:szCs w:val="24"/>
        </w:rPr>
        <w:t>an event</w:t>
      </w:r>
      <w:r w:rsidR="001C2A87">
        <w:rPr>
          <w:color w:val="000000" w:themeColor="text1"/>
          <w:sz w:val="24"/>
          <w:szCs w:val="24"/>
        </w:rPr>
        <w:t xml:space="preserve">, or event of a kind, </w:t>
      </w:r>
      <w:r w:rsidRPr="00D4056E">
        <w:rPr>
          <w:color w:val="000000" w:themeColor="text1"/>
          <w:sz w:val="24"/>
          <w:szCs w:val="24"/>
        </w:rPr>
        <w:t xml:space="preserve">the televising of which should, in the Minister’s opinion, be available free to the general public. </w:t>
      </w:r>
    </w:p>
    <w:p w14:paraId="1DC4FCE4" w14:textId="77777777" w:rsidR="00A63CAD" w:rsidRPr="00F4213D" w:rsidRDefault="00A63CAD" w:rsidP="00332EB8">
      <w:pPr>
        <w:keepNext/>
        <w:keepLines/>
        <w:contextualSpacing/>
      </w:pPr>
    </w:p>
    <w:p w14:paraId="292675B2" w14:textId="77777777" w:rsidR="00D4056E" w:rsidRPr="00F4213D" w:rsidRDefault="007C7310" w:rsidP="00332EB8">
      <w:pPr>
        <w:keepNext/>
        <w:keepLines/>
        <w:ind w:right="91"/>
        <w:contextualSpacing/>
        <w:rPr>
          <w:b/>
          <w:color w:val="000000" w:themeColor="text1"/>
          <w:sz w:val="24"/>
          <w:szCs w:val="24"/>
        </w:rPr>
      </w:pPr>
      <w:r>
        <w:rPr>
          <w:b/>
          <w:color w:val="000000" w:themeColor="text1"/>
          <w:sz w:val="24"/>
          <w:szCs w:val="24"/>
        </w:rPr>
        <w:t>Schedule 1 - Events</w:t>
      </w:r>
    </w:p>
    <w:p w14:paraId="437DF05A" w14:textId="54224628" w:rsidR="00D4056E" w:rsidRPr="00F4213D" w:rsidRDefault="00D4056E" w:rsidP="00332EB8">
      <w:pPr>
        <w:keepNext/>
        <w:keepLines/>
        <w:ind w:right="91"/>
        <w:contextualSpacing/>
        <w:rPr>
          <w:color w:val="000000" w:themeColor="text1"/>
          <w:sz w:val="24"/>
          <w:szCs w:val="24"/>
        </w:rPr>
      </w:pPr>
    </w:p>
    <w:p w14:paraId="517A797F" w14:textId="77777777" w:rsidR="00D4056E" w:rsidRDefault="001E18F2" w:rsidP="00332EB8">
      <w:pPr>
        <w:keepNext/>
        <w:keepLines/>
        <w:ind w:right="91"/>
        <w:contextualSpacing/>
        <w:rPr>
          <w:color w:val="000000" w:themeColor="text1"/>
          <w:sz w:val="24"/>
          <w:szCs w:val="24"/>
        </w:rPr>
      </w:pPr>
      <w:r w:rsidRPr="00DD7E17">
        <w:rPr>
          <w:color w:val="000000" w:themeColor="text1"/>
          <w:sz w:val="24"/>
          <w:szCs w:val="24"/>
          <w:u w:val="single"/>
        </w:rPr>
        <w:t>Clause 1</w:t>
      </w:r>
      <w:r w:rsidRPr="00DD7E17">
        <w:rPr>
          <w:color w:val="000000" w:themeColor="text1"/>
          <w:sz w:val="24"/>
          <w:szCs w:val="24"/>
        </w:rPr>
        <w:t xml:space="preserve"> </w:t>
      </w:r>
      <w:r w:rsidR="00CF136A" w:rsidRPr="00DD7E17">
        <w:rPr>
          <w:color w:val="000000" w:themeColor="text1"/>
          <w:sz w:val="24"/>
          <w:szCs w:val="24"/>
        </w:rPr>
        <w:t>sets out how the events on this schedule are to be interpreted</w:t>
      </w:r>
      <w:r w:rsidR="00DD7E17">
        <w:rPr>
          <w:color w:val="000000" w:themeColor="text1"/>
          <w:sz w:val="24"/>
          <w:szCs w:val="24"/>
        </w:rPr>
        <w:t>.</w:t>
      </w:r>
      <w:r w:rsidR="00332EB8">
        <w:rPr>
          <w:color w:val="000000" w:themeColor="text1"/>
          <w:sz w:val="24"/>
          <w:szCs w:val="24"/>
        </w:rPr>
        <w:t xml:space="preserve"> This clause is intended to ensure that there is reasonable consistency </w:t>
      </w:r>
      <w:r w:rsidR="001C2A87">
        <w:rPr>
          <w:color w:val="000000" w:themeColor="text1"/>
          <w:sz w:val="24"/>
          <w:szCs w:val="24"/>
        </w:rPr>
        <w:t xml:space="preserve">and continuity as </w:t>
      </w:r>
      <w:r w:rsidR="00332EB8">
        <w:rPr>
          <w:color w:val="000000" w:themeColor="text1"/>
          <w:sz w:val="24"/>
          <w:szCs w:val="24"/>
        </w:rPr>
        <w:t>to how events and associated organising bodies are identified and understood to enable the effective operation of the anti-siphoning scheme.</w:t>
      </w:r>
    </w:p>
    <w:p w14:paraId="6293DDF1" w14:textId="77777777" w:rsidR="00DD7E17" w:rsidRDefault="00DD7E17" w:rsidP="00332EB8">
      <w:pPr>
        <w:keepNext/>
        <w:keepLines/>
        <w:ind w:right="91"/>
        <w:contextualSpacing/>
        <w:rPr>
          <w:color w:val="000000" w:themeColor="text1"/>
          <w:sz w:val="24"/>
          <w:szCs w:val="24"/>
        </w:rPr>
      </w:pPr>
    </w:p>
    <w:p w14:paraId="5DB65A77" w14:textId="77777777" w:rsidR="00DD7E17" w:rsidRDefault="00DD7E17" w:rsidP="00332EB8">
      <w:pPr>
        <w:keepNext/>
        <w:keepLines/>
        <w:ind w:right="91"/>
        <w:contextualSpacing/>
        <w:rPr>
          <w:color w:val="000000" w:themeColor="text1"/>
          <w:sz w:val="24"/>
          <w:szCs w:val="24"/>
        </w:rPr>
      </w:pPr>
      <w:r>
        <w:rPr>
          <w:color w:val="000000" w:themeColor="text1"/>
          <w:sz w:val="24"/>
          <w:szCs w:val="24"/>
        </w:rPr>
        <w:t xml:space="preserve">Subclause 1(2) provides that a </w:t>
      </w:r>
      <w:r w:rsidRPr="00DD7E17">
        <w:rPr>
          <w:color w:val="000000" w:themeColor="text1"/>
          <w:sz w:val="24"/>
          <w:szCs w:val="24"/>
        </w:rPr>
        <w:t>reference to an event, or an event of a kind, is a reference to that event, or kind of event, held from time to time.</w:t>
      </w:r>
    </w:p>
    <w:p w14:paraId="37B960FF" w14:textId="77777777" w:rsidR="00DD7E17" w:rsidRDefault="00DD7E17" w:rsidP="00332EB8">
      <w:pPr>
        <w:keepNext/>
        <w:keepLines/>
        <w:ind w:right="91"/>
        <w:contextualSpacing/>
        <w:rPr>
          <w:color w:val="000000" w:themeColor="text1"/>
          <w:sz w:val="24"/>
          <w:szCs w:val="24"/>
        </w:rPr>
      </w:pPr>
    </w:p>
    <w:p w14:paraId="5DCAE157" w14:textId="77777777" w:rsidR="00DD7E17" w:rsidRDefault="00DD7E17" w:rsidP="00332EB8">
      <w:pPr>
        <w:keepNext/>
        <w:keepLines/>
        <w:ind w:right="91"/>
        <w:contextualSpacing/>
        <w:rPr>
          <w:color w:val="000000" w:themeColor="text1"/>
          <w:sz w:val="24"/>
          <w:szCs w:val="24"/>
        </w:rPr>
      </w:pPr>
      <w:r>
        <w:rPr>
          <w:color w:val="000000" w:themeColor="text1"/>
          <w:sz w:val="24"/>
          <w:szCs w:val="24"/>
        </w:rPr>
        <w:t xml:space="preserve">Subclause 1(3) provides that a reference to a named sporting competition </w:t>
      </w:r>
      <w:r w:rsidR="00BC6F27">
        <w:rPr>
          <w:color w:val="000000" w:themeColor="text1"/>
          <w:sz w:val="24"/>
          <w:szCs w:val="24"/>
        </w:rPr>
        <w:t>should be interpreted to include reference to:</w:t>
      </w:r>
    </w:p>
    <w:p w14:paraId="4B33A41E" w14:textId="77777777" w:rsidR="00BC6F27" w:rsidRDefault="00BC6F27" w:rsidP="001F714C">
      <w:pPr>
        <w:pStyle w:val="ListParagraph"/>
        <w:keepNext/>
        <w:keepLines/>
        <w:numPr>
          <w:ilvl w:val="0"/>
          <w:numId w:val="27"/>
        </w:numPr>
        <w:spacing w:before="120"/>
        <w:ind w:left="357" w:right="91" w:hanging="357"/>
        <w:contextualSpacing w:val="0"/>
        <w:rPr>
          <w:color w:val="000000" w:themeColor="text1"/>
          <w:sz w:val="24"/>
          <w:szCs w:val="24"/>
        </w:rPr>
      </w:pPr>
      <w:r>
        <w:rPr>
          <w:color w:val="000000" w:themeColor="text1"/>
          <w:sz w:val="24"/>
          <w:szCs w:val="24"/>
        </w:rPr>
        <w:t xml:space="preserve">each event of a </w:t>
      </w:r>
      <w:r w:rsidR="00B11634">
        <w:rPr>
          <w:color w:val="000000" w:themeColor="text1"/>
          <w:sz w:val="24"/>
          <w:szCs w:val="24"/>
        </w:rPr>
        <w:t xml:space="preserve">sporting </w:t>
      </w:r>
      <w:r>
        <w:rPr>
          <w:color w:val="000000" w:themeColor="text1"/>
          <w:sz w:val="24"/>
          <w:szCs w:val="24"/>
        </w:rPr>
        <w:t xml:space="preserve">competition, where </w:t>
      </w:r>
      <w:r w:rsidR="00B11634">
        <w:rPr>
          <w:color w:val="000000" w:themeColor="text1"/>
          <w:sz w:val="24"/>
          <w:szCs w:val="24"/>
        </w:rPr>
        <w:t>the competition</w:t>
      </w:r>
      <w:r>
        <w:rPr>
          <w:color w:val="000000" w:themeColor="text1"/>
          <w:sz w:val="24"/>
          <w:szCs w:val="24"/>
        </w:rPr>
        <w:t xml:space="preserve"> consists of more than one event (for example, </w:t>
      </w:r>
      <w:r w:rsidR="00B11634">
        <w:rPr>
          <w:color w:val="000000" w:themeColor="text1"/>
          <w:sz w:val="24"/>
          <w:szCs w:val="24"/>
        </w:rPr>
        <w:t xml:space="preserve">a </w:t>
      </w:r>
      <w:r w:rsidRPr="00BC6F27">
        <w:rPr>
          <w:color w:val="000000" w:themeColor="text1"/>
          <w:sz w:val="24"/>
          <w:szCs w:val="24"/>
        </w:rPr>
        <w:t>multi-event tournament</w:t>
      </w:r>
      <w:r w:rsidR="00B11634">
        <w:rPr>
          <w:color w:val="000000" w:themeColor="text1"/>
          <w:sz w:val="24"/>
          <w:szCs w:val="24"/>
        </w:rPr>
        <w:t>,</w:t>
      </w:r>
      <w:r w:rsidRPr="00BC6F27">
        <w:rPr>
          <w:color w:val="000000" w:themeColor="text1"/>
          <w:sz w:val="24"/>
          <w:szCs w:val="24"/>
        </w:rPr>
        <w:t xml:space="preserve"> an annual competition</w:t>
      </w:r>
      <w:r w:rsidR="00B11634">
        <w:rPr>
          <w:color w:val="000000" w:themeColor="text1"/>
          <w:sz w:val="24"/>
          <w:szCs w:val="24"/>
        </w:rPr>
        <w:t xml:space="preserve">, or </w:t>
      </w:r>
      <w:r w:rsidRPr="00BC6F27">
        <w:rPr>
          <w:color w:val="000000" w:themeColor="text1"/>
          <w:sz w:val="24"/>
          <w:szCs w:val="24"/>
        </w:rPr>
        <w:t>the competition series of a sporting league or association</w:t>
      </w:r>
      <w:r>
        <w:rPr>
          <w:color w:val="000000" w:themeColor="text1"/>
          <w:sz w:val="24"/>
          <w:szCs w:val="24"/>
        </w:rPr>
        <w:t>)</w:t>
      </w:r>
      <w:r w:rsidR="0058668F">
        <w:rPr>
          <w:color w:val="000000" w:themeColor="text1"/>
          <w:sz w:val="24"/>
          <w:szCs w:val="24"/>
        </w:rPr>
        <w:t>;</w:t>
      </w:r>
    </w:p>
    <w:p w14:paraId="172BE0C0" w14:textId="77777777" w:rsidR="0058668F" w:rsidRDefault="0058668F" w:rsidP="001F714C">
      <w:pPr>
        <w:pStyle w:val="ListParagraph"/>
        <w:keepNext/>
        <w:keepLines/>
        <w:numPr>
          <w:ilvl w:val="0"/>
          <w:numId w:val="27"/>
        </w:numPr>
        <w:spacing w:before="120"/>
        <w:ind w:left="357" w:right="91" w:hanging="357"/>
        <w:contextualSpacing w:val="0"/>
        <w:rPr>
          <w:color w:val="000000" w:themeColor="text1"/>
          <w:sz w:val="24"/>
          <w:szCs w:val="24"/>
        </w:rPr>
      </w:pPr>
      <w:r>
        <w:rPr>
          <w:color w:val="000000" w:themeColor="text1"/>
          <w:sz w:val="24"/>
          <w:szCs w:val="24"/>
        </w:rPr>
        <w:t xml:space="preserve">a </w:t>
      </w:r>
      <w:r w:rsidRPr="0058668F">
        <w:rPr>
          <w:color w:val="000000" w:themeColor="text1"/>
          <w:sz w:val="24"/>
          <w:szCs w:val="24"/>
        </w:rPr>
        <w:t xml:space="preserve">sporting competition as held from time to time, irrespective of any other name by which </w:t>
      </w:r>
      <w:r w:rsidR="00B11634">
        <w:rPr>
          <w:color w:val="000000" w:themeColor="text1"/>
          <w:sz w:val="24"/>
          <w:szCs w:val="24"/>
        </w:rPr>
        <w:t>the competition</w:t>
      </w:r>
      <w:r w:rsidRPr="0058668F">
        <w:rPr>
          <w:color w:val="000000" w:themeColor="text1"/>
          <w:sz w:val="24"/>
          <w:szCs w:val="24"/>
        </w:rPr>
        <w:t xml:space="preserve"> is also known</w:t>
      </w:r>
      <w:r w:rsidR="00B11634">
        <w:rPr>
          <w:color w:val="000000" w:themeColor="text1"/>
          <w:sz w:val="24"/>
          <w:szCs w:val="24"/>
        </w:rPr>
        <w:t>,</w:t>
      </w:r>
      <w:r w:rsidRPr="0058668F">
        <w:rPr>
          <w:color w:val="000000" w:themeColor="text1"/>
          <w:sz w:val="24"/>
          <w:szCs w:val="24"/>
        </w:rPr>
        <w:t xml:space="preserve"> or any change in its name</w:t>
      </w:r>
      <w:r>
        <w:rPr>
          <w:color w:val="000000" w:themeColor="text1"/>
          <w:sz w:val="24"/>
          <w:szCs w:val="24"/>
        </w:rPr>
        <w:t>;</w:t>
      </w:r>
    </w:p>
    <w:p w14:paraId="0959F507" w14:textId="77777777" w:rsidR="0058668F" w:rsidRDefault="0058668F" w:rsidP="001F714C">
      <w:pPr>
        <w:pStyle w:val="ListParagraph"/>
        <w:keepNext/>
        <w:keepLines/>
        <w:numPr>
          <w:ilvl w:val="0"/>
          <w:numId w:val="27"/>
        </w:numPr>
        <w:spacing w:before="120"/>
        <w:ind w:left="357" w:right="91" w:hanging="357"/>
        <w:contextualSpacing w:val="0"/>
        <w:rPr>
          <w:color w:val="000000" w:themeColor="text1"/>
          <w:sz w:val="24"/>
          <w:szCs w:val="24"/>
        </w:rPr>
      </w:pPr>
      <w:r>
        <w:rPr>
          <w:color w:val="000000" w:themeColor="text1"/>
          <w:sz w:val="24"/>
          <w:szCs w:val="24"/>
        </w:rPr>
        <w:t>each sporting competition, where a competition referenced has been restructured or rebranded into two or more competitions;</w:t>
      </w:r>
    </w:p>
    <w:p w14:paraId="5B19C7C3" w14:textId="77777777" w:rsidR="0058668F" w:rsidRDefault="0058668F" w:rsidP="001F714C">
      <w:pPr>
        <w:pStyle w:val="ListParagraph"/>
        <w:keepNext/>
        <w:keepLines/>
        <w:numPr>
          <w:ilvl w:val="0"/>
          <w:numId w:val="27"/>
        </w:numPr>
        <w:spacing w:before="120"/>
        <w:ind w:left="357" w:right="91" w:hanging="357"/>
        <w:contextualSpacing w:val="0"/>
        <w:rPr>
          <w:color w:val="000000" w:themeColor="text1"/>
          <w:sz w:val="24"/>
          <w:szCs w:val="24"/>
        </w:rPr>
      </w:pPr>
      <w:r>
        <w:rPr>
          <w:color w:val="000000" w:themeColor="text1"/>
          <w:sz w:val="24"/>
          <w:szCs w:val="24"/>
        </w:rPr>
        <w:t xml:space="preserve">each of the events in an expanded </w:t>
      </w:r>
      <w:r w:rsidR="00B11634">
        <w:rPr>
          <w:color w:val="000000" w:themeColor="text1"/>
          <w:sz w:val="24"/>
          <w:szCs w:val="24"/>
        </w:rPr>
        <w:t xml:space="preserve">sporting </w:t>
      </w:r>
      <w:r>
        <w:rPr>
          <w:color w:val="000000" w:themeColor="text1"/>
          <w:sz w:val="24"/>
          <w:szCs w:val="24"/>
        </w:rPr>
        <w:t>competition, where the competition has expanded to include further sport</w:t>
      </w:r>
      <w:r w:rsidR="00C35F28">
        <w:rPr>
          <w:color w:val="000000" w:themeColor="text1"/>
          <w:sz w:val="24"/>
          <w:szCs w:val="24"/>
        </w:rPr>
        <w:t>s</w:t>
      </w:r>
      <w:r>
        <w:rPr>
          <w:color w:val="000000" w:themeColor="text1"/>
          <w:sz w:val="24"/>
          <w:szCs w:val="24"/>
        </w:rPr>
        <w:t>;</w:t>
      </w:r>
    </w:p>
    <w:p w14:paraId="071162DA" w14:textId="77777777" w:rsidR="00332EB8" w:rsidRDefault="0058668F" w:rsidP="001F714C">
      <w:pPr>
        <w:pStyle w:val="ListParagraph"/>
        <w:keepNext/>
        <w:keepLines/>
        <w:numPr>
          <w:ilvl w:val="0"/>
          <w:numId w:val="27"/>
        </w:numPr>
        <w:spacing w:before="120"/>
        <w:ind w:left="357" w:right="91" w:hanging="357"/>
        <w:contextualSpacing w:val="0"/>
        <w:rPr>
          <w:color w:val="000000" w:themeColor="text1"/>
          <w:sz w:val="24"/>
          <w:szCs w:val="24"/>
        </w:rPr>
      </w:pPr>
      <w:r>
        <w:rPr>
          <w:color w:val="000000" w:themeColor="text1"/>
          <w:sz w:val="24"/>
          <w:szCs w:val="24"/>
        </w:rPr>
        <w:t xml:space="preserve">each of the events in an expanded </w:t>
      </w:r>
      <w:r w:rsidR="00C35F28">
        <w:rPr>
          <w:color w:val="000000" w:themeColor="text1"/>
          <w:sz w:val="24"/>
          <w:szCs w:val="24"/>
        </w:rPr>
        <w:t xml:space="preserve">sporting </w:t>
      </w:r>
      <w:r>
        <w:rPr>
          <w:color w:val="000000" w:themeColor="text1"/>
          <w:sz w:val="24"/>
          <w:szCs w:val="24"/>
        </w:rPr>
        <w:t>competition, where previous</w:t>
      </w:r>
      <w:r w:rsidR="00C35F28">
        <w:rPr>
          <w:color w:val="000000" w:themeColor="text1"/>
          <w:sz w:val="24"/>
          <w:szCs w:val="24"/>
        </w:rPr>
        <w:t xml:space="preserve">ly the </w:t>
      </w:r>
      <w:r>
        <w:rPr>
          <w:color w:val="000000" w:themeColor="text1"/>
          <w:sz w:val="24"/>
          <w:szCs w:val="24"/>
        </w:rPr>
        <w:t xml:space="preserve">competition consisted of only men’s events or only women’s events and has since </w:t>
      </w:r>
      <w:r w:rsidR="001B2EBD">
        <w:rPr>
          <w:color w:val="000000" w:themeColor="text1"/>
          <w:sz w:val="24"/>
          <w:szCs w:val="24"/>
        </w:rPr>
        <w:t>e</w:t>
      </w:r>
      <w:r>
        <w:rPr>
          <w:color w:val="000000" w:themeColor="text1"/>
          <w:sz w:val="24"/>
          <w:szCs w:val="24"/>
        </w:rPr>
        <w:t>xpanded to include the other;</w:t>
      </w:r>
      <w:r w:rsidR="00C35F28">
        <w:rPr>
          <w:color w:val="000000" w:themeColor="text1"/>
          <w:sz w:val="24"/>
          <w:szCs w:val="24"/>
        </w:rPr>
        <w:t xml:space="preserve"> and</w:t>
      </w:r>
    </w:p>
    <w:p w14:paraId="410A04F6" w14:textId="77777777" w:rsidR="00332EB8" w:rsidRDefault="00332EB8" w:rsidP="001F714C">
      <w:pPr>
        <w:pStyle w:val="ListParagraph"/>
        <w:keepNext/>
        <w:keepLines/>
        <w:numPr>
          <w:ilvl w:val="0"/>
          <w:numId w:val="27"/>
        </w:numPr>
        <w:spacing w:before="120"/>
        <w:ind w:left="357" w:right="91" w:hanging="357"/>
        <w:contextualSpacing w:val="0"/>
        <w:rPr>
          <w:color w:val="000000" w:themeColor="text1"/>
          <w:sz w:val="24"/>
          <w:szCs w:val="24"/>
        </w:rPr>
      </w:pPr>
      <w:r>
        <w:rPr>
          <w:color w:val="000000" w:themeColor="text1"/>
          <w:sz w:val="24"/>
          <w:szCs w:val="24"/>
        </w:rPr>
        <w:lastRenderedPageBreak/>
        <w:t xml:space="preserve">the final tournament </w:t>
      </w:r>
      <w:r w:rsidR="00C35F28">
        <w:rPr>
          <w:color w:val="000000" w:themeColor="text1"/>
          <w:sz w:val="24"/>
          <w:szCs w:val="24"/>
        </w:rPr>
        <w:t>of a sporting competition</w:t>
      </w:r>
      <w:r>
        <w:rPr>
          <w:color w:val="000000" w:themeColor="text1"/>
          <w:sz w:val="24"/>
          <w:szCs w:val="24"/>
        </w:rPr>
        <w:t>, but not the qualification phase</w:t>
      </w:r>
      <w:r w:rsidR="00C35F28">
        <w:rPr>
          <w:color w:val="000000" w:themeColor="text1"/>
          <w:sz w:val="24"/>
          <w:szCs w:val="24"/>
        </w:rPr>
        <w:t xml:space="preserve"> for that competition</w:t>
      </w:r>
      <w:r>
        <w:rPr>
          <w:color w:val="000000" w:themeColor="text1"/>
          <w:sz w:val="24"/>
          <w:szCs w:val="24"/>
        </w:rPr>
        <w:t>, w</w:t>
      </w:r>
      <w:r w:rsidR="00C35F28">
        <w:rPr>
          <w:color w:val="000000" w:themeColor="text1"/>
          <w:sz w:val="24"/>
          <w:szCs w:val="24"/>
        </w:rPr>
        <w:t>he</w:t>
      </w:r>
      <w:r>
        <w:rPr>
          <w:color w:val="000000" w:themeColor="text1"/>
          <w:sz w:val="24"/>
          <w:szCs w:val="24"/>
        </w:rPr>
        <w:t xml:space="preserve">re a </w:t>
      </w:r>
      <w:r w:rsidR="00C35F28">
        <w:rPr>
          <w:color w:val="000000" w:themeColor="text1"/>
          <w:sz w:val="24"/>
          <w:szCs w:val="24"/>
        </w:rPr>
        <w:t xml:space="preserve">competition </w:t>
      </w:r>
      <w:r>
        <w:rPr>
          <w:color w:val="000000" w:themeColor="text1"/>
          <w:sz w:val="24"/>
          <w:szCs w:val="24"/>
        </w:rPr>
        <w:t>consists of both.</w:t>
      </w:r>
    </w:p>
    <w:p w14:paraId="386D1AF3" w14:textId="77777777" w:rsidR="0058668F" w:rsidRDefault="0058668F" w:rsidP="00332EB8">
      <w:pPr>
        <w:keepNext/>
        <w:keepLines/>
        <w:ind w:right="91"/>
        <w:rPr>
          <w:color w:val="000000" w:themeColor="text1"/>
          <w:sz w:val="24"/>
          <w:szCs w:val="24"/>
        </w:rPr>
      </w:pPr>
    </w:p>
    <w:p w14:paraId="4CAF9DFD" w14:textId="77777777" w:rsidR="00332EB8" w:rsidRPr="00332EB8" w:rsidRDefault="00332EB8" w:rsidP="00332EB8">
      <w:pPr>
        <w:keepNext/>
        <w:keepLines/>
        <w:ind w:right="91"/>
        <w:rPr>
          <w:color w:val="000000" w:themeColor="text1"/>
          <w:sz w:val="24"/>
          <w:szCs w:val="24"/>
        </w:rPr>
      </w:pPr>
      <w:r>
        <w:rPr>
          <w:color w:val="000000" w:themeColor="text1"/>
          <w:sz w:val="24"/>
          <w:szCs w:val="24"/>
        </w:rPr>
        <w:t xml:space="preserve">Subclause 1(4) provides that a </w:t>
      </w:r>
      <w:r w:rsidRPr="00332EB8">
        <w:rPr>
          <w:color w:val="000000" w:themeColor="text1"/>
          <w:sz w:val="24"/>
          <w:szCs w:val="24"/>
        </w:rPr>
        <w:t>reference to the name of a sporting body or organisation is a reference to that body or organisation irrespective of any other name by which it is also known or any change in its name from time to time.</w:t>
      </w:r>
    </w:p>
    <w:p w14:paraId="084CD838" w14:textId="77777777" w:rsidR="00DD7E17" w:rsidRDefault="00DD7E17" w:rsidP="00332EB8">
      <w:pPr>
        <w:keepNext/>
        <w:keepLines/>
        <w:ind w:right="91"/>
        <w:contextualSpacing/>
        <w:rPr>
          <w:color w:val="000000" w:themeColor="text1"/>
          <w:sz w:val="24"/>
          <w:szCs w:val="24"/>
        </w:rPr>
      </w:pPr>
    </w:p>
    <w:p w14:paraId="070F7FA4" w14:textId="77777777" w:rsidR="00DD7E17" w:rsidRPr="00DD7E17" w:rsidRDefault="00D910E2" w:rsidP="00D910E2">
      <w:pPr>
        <w:keepNext/>
        <w:ind w:right="91"/>
        <w:rPr>
          <w:color w:val="000000" w:themeColor="text1"/>
          <w:sz w:val="24"/>
          <w:szCs w:val="24"/>
        </w:rPr>
      </w:pPr>
      <w:r>
        <w:rPr>
          <w:color w:val="000000" w:themeColor="text1"/>
          <w:sz w:val="24"/>
          <w:szCs w:val="24"/>
        </w:rPr>
        <w:t xml:space="preserve">Subclause 1(5) clarifies that a reference to </w:t>
      </w:r>
      <w:r w:rsidRPr="00D910E2">
        <w:rPr>
          <w:color w:val="000000" w:themeColor="text1"/>
          <w:sz w:val="24"/>
          <w:szCs w:val="24"/>
        </w:rPr>
        <w:t>a men’s event means an event in which only men are competitors and</w:t>
      </w:r>
      <w:r>
        <w:rPr>
          <w:color w:val="000000" w:themeColor="text1"/>
          <w:sz w:val="24"/>
          <w:szCs w:val="24"/>
        </w:rPr>
        <w:t xml:space="preserve"> </w:t>
      </w:r>
      <w:r w:rsidRPr="00D910E2">
        <w:rPr>
          <w:color w:val="000000" w:themeColor="text1"/>
          <w:sz w:val="24"/>
          <w:szCs w:val="24"/>
        </w:rPr>
        <w:t>a women’s event means an event in which only women are competitors.</w:t>
      </w:r>
    </w:p>
    <w:p w14:paraId="78A058E4" w14:textId="77777777" w:rsidR="000424EC" w:rsidRPr="00DD7E17" w:rsidRDefault="000424EC" w:rsidP="00D4056E">
      <w:pPr>
        <w:keepNext/>
        <w:ind w:right="91"/>
        <w:rPr>
          <w:color w:val="000000" w:themeColor="text1"/>
          <w:sz w:val="24"/>
          <w:szCs w:val="24"/>
        </w:rPr>
      </w:pPr>
    </w:p>
    <w:p w14:paraId="3A7F2A60" w14:textId="77777777" w:rsidR="000424EC" w:rsidRPr="00DD7E17" w:rsidRDefault="000424EC" w:rsidP="00D4056E">
      <w:pPr>
        <w:keepNext/>
        <w:ind w:right="91"/>
        <w:rPr>
          <w:color w:val="000000" w:themeColor="text1"/>
          <w:sz w:val="24"/>
          <w:szCs w:val="24"/>
        </w:rPr>
      </w:pPr>
      <w:r w:rsidRPr="00DD7E17">
        <w:rPr>
          <w:color w:val="000000" w:themeColor="text1"/>
          <w:sz w:val="24"/>
          <w:szCs w:val="24"/>
        </w:rPr>
        <w:t xml:space="preserve">The following table sets out the events </w:t>
      </w:r>
      <w:r w:rsidR="00DC331C">
        <w:rPr>
          <w:color w:val="000000" w:themeColor="text1"/>
          <w:sz w:val="24"/>
          <w:szCs w:val="24"/>
        </w:rPr>
        <w:t>specified</w:t>
      </w:r>
      <w:r w:rsidR="00DC331C" w:rsidRPr="00DD7E17">
        <w:rPr>
          <w:color w:val="000000" w:themeColor="text1"/>
          <w:sz w:val="24"/>
          <w:szCs w:val="24"/>
        </w:rPr>
        <w:t xml:space="preserve"> </w:t>
      </w:r>
      <w:r w:rsidR="00C35F28">
        <w:rPr>
          <w:color w:val="000000" w:themeColor="text1"/>
          <w:sz w:val="24"/>
          <w:szCs w:val="24"/>
        </w:rPr>
        <w:t>in clauses 2 through 13</w:t>
      </w:r>
      <w:r w:rsidR="00DC331C">
        <w:rPr>
          <w:color w:val="000000" w:themeColor="text1"/>
          <w:sz w:val="24"/>
          <w:szCs w:val="24"/>
        </w:rPr>
        <w:t xml:space="preserve"> of Schedule 1 to the Instrument</w:t>
      </w:r>
      <w:r w:rsidR="001F6A53">
        <w:rPr>
          <w:color w:val="000000" w:themeColor="text1"/>
          <w:sz w:val="24"/>
          <w:szCs w:val="24"/>
        </w:rPr>
        <w:t xml:space="preserve">. </w:t>
      </w:r>
    </w:p>
    <w:p w14:paraId="3B896EFB" w14:textId="77777777" w:rsidR="00860508" w:rsidRPr="00F4213D" w:rsidRDefault="00860508" w:rsidP="0029249F">
      <w:pPr>
        <w:ind w:right="91"/>
        <w:rPr>
          <w:color w:val="000000" w:themeColor="text1"/>
          <w:sz w:val="24"/>
          <w:szCs w:val="24"/>
        </w:rPr>
      </w:pPr>
    </w:p>
    <w:tbl>
      <w:tblPr>
        <w:tblStyle w:val="TableGrid"/>
        <w:tblW w:w="5000" w:type="pct"/>
        <w:tblLook w:val="04A0" w:firstRow="1" w:lastRow="0" w:firstColumn="1" w:lastColumn="0" w:noHBand="0" w:noVBand="1"/>
      </w:tblPr>
      <w:tblGrid>
        <w:gridCol w:w="2829"/>
        <w:gridCol w:w="6187"/>
      </w:tblGrid>
      <w:tr w:rsidR="00E922B7" w:rsidRPr="00622464" w14:paraId="3B16E298" w14:textId="77777777" w:rsidTr="001F714C">
        <w:trPr>
          <w:tblHeader/>
        </w:trPr>
        <w:tc>
          <w:tcPr>
            <w:tcW w:w="1569" w:type="pct"/>
            <w:tcBorders>
              <w:top w:val="single" w:sz="4" w:space="0" w:color="auto"/>
              <w:left w:val="single" w:sz="4" w:space="0" w:color="auto"/>
              <w:bottom w:val="single" w:sz="4" w:space="0" w:color="auto"/>
              <w:right w:val="single" w:sz="4" w:space="0" w:color="auto"/>
            </w:tcBorders>
          </w:tcPr>
          <w:p w14:paraId="22735F50" w14:textId="77777777" w:rsidR="00E922B7" w:rsidRPr="00E9766A" w:rsidRDefault="00D27EDF" w:rsidP="00EF6512">
            <w:pPr>
              <w:spacing w:before="60" w:after="60"/>
              <w:rPr>
                <w:b/>
                <w:sz w:val="24"/>
                <w:szCs w:val="24"/>
              </w:rPr>
            </w:pPr>
            <w:r w:rsidRPr="00E9766A">
              <w:rPr>
                <w:b/>
                <w:sz w:val="24"/>
                <w:szCs w:val="24"/>
              </w:rPr>
              <w:t>SPORT</w:t>
            </w:r>
          </w:p>
        </w:tc>
        <w:tc>
          <w:tcPr>
            <w:tcW w:w="3431" w:type="pct"/>
            <w:tcBorders>
              <w:top w:val="single" w:sz="4" w:space="0" w:color="auto"/>
              <w:left w:val="single" w:sz="4" w:space="0" w:color="auto"/>
              <w:bottom w:val="single" w:sz="4" w:space="0" w:color="auto"/>
              <w:right w:val="single" w:sz="4" w:space="0" w:color="auto"/>
            </w:tcBorders>
            <w:hideMark/>
          </w:tcPr>
          <w:p w14:paraId="3F1C4885" w14:textId="77777777" w:rsidR="00E922B7" w:rsidRPr="00E9766A" w:rsidRDefault="00D27EDF" w:rsidP="00EF6512">
            <w:pPr>
              <w:spacing w:before="60" w:after="60"/>
              <w:rPr>
                <w:b/>
                <w:sz w:val="24"/>
                <w:szCs w:val="24"/>
              </w:rPr>
            </w:pPr>
            <w:r w:rsidRPr="00E9766A">
              <w:rPr>
                <w:b/>
                <w:sz w:val="24"/>
                <w:szCs w:val="24"/>
              </w:rPr>
              <w:t xml:space="preserve">EVENT </w:t>
            </w:r>
          </w:p>
        </w:tc>
      </w:tr>
      <w:tr w:rsidR="00E922B7" w:rsidRPr="00622464" w14:paraId="654277AE" w14:textId="77777777" w:rsidTr="001F714C">
        <w:tc>
          <w:tcPr>
            <w:tcW w:w="1569" w:type="pct"/>
            <w:vMerge w:val="restart"/>
            <w:tcBorders>
              <w:top w:val="single" w:sz="4" w:space="0" w:color="auto"/>
              <w:left w:val="single" w:sz="4" w:space="0" w:color="auto"/>
              <w:right w:val="single" w:sz="4" w:space="0" w:color="auto"/>
            </w:tcBorders>
          </w:tcPr>
          <w:p w14:paraId="77FFB79C" w14:textId="77777777" w:rsidR="00E922B7" w:rsidRPr="001F714C" w:rsidRDefault="00C35F28" w:rsidP="00EF6512">
            <w:pPr>
              <w:spacing w:before="60" w:after="60"/>
              <w:rPr>
                <w:b/>
                <w:sz w:val="24"/>
                <w:szCs w:val="24"/>
              </w:rPr>
            </w:pPr>
            <w:r>
              <w:rPr>
                <w:b/>
                <w:sz w:val="24"/>
                <w:szCs w:val="24"/>
              </w:rPr>
              <w:t>Clause</w:t>
            </w:r>
            <w:r w:rsidR="00E922B7" w:rsidRPr="00E9766A">
              <w:rPr>
                <w:b/>
                <w:sz w:val="24"/>
                <w:szCs w:val="24"/>
              </w:rPr>
              <w:t xml:space="preserve"> </w:t>
            </w:r>
            <w:r w:rsidR="00D910E2" w:rsidRPr="00E9766A">
              <w:rPr>
                <w:b/>
                <w:sz w:val="24"/>
                <w:szCs w:val="24"/>
              </w:rPr>
              <w:t>2</w:t>
            </w:r>
            <w:r w:rsidR="00E922B7" w:rsidRPr="00E9766A">
              <w:rPr>
                <w:b/>
                <w:sz w:val="24"/>
                <w:szCs w:val="24"/>
              </w:rPr>
              <w:t xml:space="preserve"> </w:t>
            </w:r>
            <w:r w:rsidR="00D27EDF">
              <w:rPr>
                <w:b/>
                <w:sz w:val="24"/>
                <w:szCs w:val="24"/>
              </w:rPr>
              <w:t xml:space="preserve">– </w:t>
            </w:r>
            <w:r w:rsidR="00E922B7" w:rsidRPr="00E9766A">
              <w:rPr>
                <w:b/>
                <w:sz w:val="24"/>
                <w:szCs w:val="24"/>
              </w:rPr>
              <w:t>Olympic Games</w:t>
            </w:r>
          </w:p>
        </w:tc>
        <w:tc>
          <w:tcPr>
            <w:tcW w:w="3431" w:type="pct"/>
            <w:tcBorders>
              <w:top w:val="single" w:sz="4" w:space="0" w:color="auto"/>
              <w:left w:val="single" w:sz="4" w:space="0" w:color="auto"/>
              <w:bottom w:val="single" w:sz="4" w:space="0" w:color="auto"/>
              <w:right w:val="single" w:sz="4" w:space="0" w:color="auto"/>
            </w:tcBorders>
            <w:hideMark/>
          </w:tcPr>
          <w:p w14:paraId="2833C612" w14:textId="77777777" w:rsidR="00E922B7" w:rsidRPr="00E9766A" w:rsidRDefault="00E922B7" w:rsidP="00D910E2">
            <w:pPr>
              <w:pStyle w:val="ListParagraph"/>
              <w:numPr>
                <w:ilvl w:val="0"/>
                <w:numId w:val="17"/>
              </w:numPr>
              <w:spacing w:before="60" w:after="60"/>
              <w:rPr>
                <w:sz w:val="24"/>
                <w:szCs w:val="24"/>
              </w:rPr>
            </w:pPr>
            <w:r w:rsidRPr="00E9766A">
              <w:rPr>
                <w:sz w:val="24"/>
                <w:szCs w:val="24"/>
              </w:rPr>
              <w:t xml:space="preserve">Each event that is held as part of the Summer Olympic Games, including the </w:t>
            </w:r>
            <w:r w:rsidR="00D910E2" w:rsidRPr="00E9766A">
              <w:rPr>
                <w:sz w:val="24"/>
                <w:szCs w:val="24"/>
              </w:rPr>
              <w:t>o</w:t>
            </w:r>
            <w:r w:rsidRPr="00E9766A">
              <w:rPr>
                <w:sz w:val="24"/>
                <w:szCs w:val="24"/>
              </w:rPr>
              <w:t>pening</w:t>
            </w:r>
            <w:r w:rsidR="00D910E2" w:rsidRPr="00E9766A">
              <w:rPr>
                <w:sz w:val="24"/>
                <w:szCs w:val="24"/>
              </w:rPr>
              <w:t xml:space="preserve"> ceremony</w:t>
            </w:r>
            <w:r w:rsidRPr="00E9766A">
              <w:rPr>
                <w:sz w:val="24"/>
                <w:szCs w:val="24"/>
              </w:rPr>
              <w:t xml:space="preserve"> and </w:t>
            </w:r>
            <w:r w:rsidR="00D910E2" w:rsidRPr="00E9766A">
              <w:rPr>
                <w:sz w:val="24"/>
                <w:szCs w:val="24"/>
              </w:rPr>
              <w:t>c</w:t>
            </w:r>
            <w:r w:rsidRPr="00E9766A">
              <w:rPr>
                <w:sz w:val="24"/>
                <w:szCs w:val="24"/>
              </w:rPr>
              <w:t xml:space="preserve">losing </w:t>
            </w:r>
            <w:r w:rsidR="00D910E2" w:rsidRPr="00E9766A">
              <w:rPr>
                <w:sz w:val="24"/>
                <w:szCs w:val="24"/>
              </w:rPr>
              <w:t>ceremony</w:t>
            </w:r>
            <w:r w:rsidRPr="00E9766A">
              <w:rPr>
                <w:sz w:val="24"/>
                <w:szCs w:val="24"/>
              </w:rPr>
              <w:t>.</w:t>
            </w:r>
          </w:p>
        </w:tc>
      </w:tr>
      <w:tr w:rsidR="00E922B7" w:rsidRPr="00622464" w14:paraId="334D2032" w14:textId="77777777" w:rsidTr="001F714C">
        <w:tc>
          <w:tcPr>
            <w:tcW w:w="1569" w:type="pct"/>
            <w:vMerge/>
            <w:tcBorders>
              <w:left w:val="single" w:sz="4" w:space="0" w:color="auto"/>
              <w:bottom w:val="single" w:sz="4" w:space="0" w:color="auto"/>
              <w:right w:val="single" w:sz="4" w:space="0" w:color="auto"/>
            </w:tcBorders>
          </w:tcPr>
          <w:p w14:paraId="41F63191" w14:textId="77777777" w:rsidR="00E922B7" w:rsidRPr="00E9766A" w:rsidRDefault="00E922B7"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1CD85BF9" w14:textId="77777777" w:rsidR="00E922B7" w:rsidRPr="00E9766A" w:rsidRDefault="00E922B7" w:rsidP="00D910E2">
            <w:pPr>
              <w:pStyle w:val="ListParagraph"/>
              <w:numPr>
                <w:ilvl w:val="0"/>
                <w:numId w:val="17"/>
              </w:numPr>
              <w:spacing w:before="60" w:after="60"/>
              <w:rPr>
                <w:sz w:val="24"/>
                <w:szCs w:val="24"/>
              </w:rPr>
            </w:pPr>
            <w:r w:rsidRPr="00E9766A">
              <w:rPr>
                <w:sz w:val="24"/>
                <w:szCs w:val="24"/>
              </w:rPr>
              <w:t xml:space="preserve">Each event that is held as part of the Winter Olympic Games, </w:t>
            </w:r>
            <w:r w:rsidR="00D910E2" w:rsidRPr="00E9766A">
              <w:rPr>
                <w:sz w:val="24"/>
                <w:szCs w:val="24"/>
              </w:rPr>
              <w:t>including the opening ceremony and closing ceremony.</w:t>
            </w:r>
          </w:p>
        </w:tc>
      </w:tr>
      <w:tr w:rsidR="00D910E2" w:rsidRPr="00622464" w14:paraId="2439C629" w14:textId="77777777" w:rsidTr="001F714C">
        <w:tc>
          <w:tcPr>
            <w:tcW w:w="1569" w:type="pct"/>
            <w:tcBorders>
              <w:top w:val="single" w:sz="4" w:space="0" w:color="auto"/>
              <w:left w:val="single" w:sz="4" w:space="0" w:color="auto"/>
              <w:bottom w:val="single" w:sz="4" w:space="0" w:color="auto"/>
              <w:right w:val="single" w:sz="4" w:space="0" w:color="auto"/>
            </w:tcBorders>
          </w:tcPr>
          <w:p w14:paraId="30D8F59B" w14:textId="77777777" w:rsidR="00D910E2" w:rsidRPr="00E9766A" w:rsidRDefault="00C35F28" w:rsidP="00EF6512">
            <w:pPr>
              <w:spacing w:before="60" w:after="60"/>
              <w:rPr>
                <w:b/>
                <w:sz w:val="24"/>
                <w:szCs w:val="24"/>
              </w:rPr>
            </w:pPr>
            <w:r>
              <w:rPr>
                <w:b/>
                <w:sz w:val="24"/>
                <w:szCs w:val="24"/>
              </w:rPr>
              <w:t>Clause</w:t>
            </w:r>
            <w:r w:rsidRPr="00E9766A">
              <w:rPr>
                <w:b/>
                <w:sz w:val="24"/>
                <w:szCs w:val="24"/>
              </w:rPr>
              <w:t xml:space="preserve"> </w:t>
            </w:r>
            <w:r w:rsidR="00D910E2" w:rsidRPr="00E9766A">
              <w:rPr>
                <w:b/>
                <w:sz w:val="24"/>
                <w:szCs w:val="24"/>
              </w:rPr>
              <w:t>3</w:t>
            </w:r>
            <w:r w:rsidR="00D27EDF">
              <w:rPr>
                <w:b/>
                <w:sz w:val="24"/>
                <w:szCs w:val="24"/>
              </w:rPr>
              <w:t xml:space="preserve"> – </w:t>
            </w:r>
            <w:r w:rsidR="00D910E2" w:rsidRPr="00E9766A">
              <w:rPr>
                <w:b/>
                <w:sz w:val="24"/>
                <w:szCs w:val="24"/>
              </w:rPr>
              <w:t>Summer Paralympic Games</w:t>
            </w:r>
          </w:p>
        </w:tc>
        <w:tc>
          <w:tcPr>
            <w:tcW w:w="3431" w:type="pct"/>
            <w:tcBorders>
              <w:top w:val="single" w:sz="4" w:space="0" w:color="auto"/>
              <w:left w:val="single" w:sz="4" w:space="0" w:color="auto"/>
              <w:bottom w:val="single" w:sz="4" w:space="0" w:color="auto"/>
              <w:right w:val="single" w:sz="4" w:space="0" w:color="auto"/>
            </w:tcBorders>
          </w:tcPr>
          <w:p w14:paraId="0E53142D" w14:textId="77777777" w:rsidR="00D910E2" w:rsidRPr="00E9766A" w:rsidRDefault="000C479F" w:rsidP="00EF6512">
            <w:pPr>
              <w:spacing w:before="60" w:after="60"/>
              <w:rPr>
                <w:sz w:val="24"/>
                <w:szCs w:val="24"/>
              </w:rPr>
            </w:pPr>
            <w:r w:rsidRPr="00E9766A">
              <w:rPr>
                <w:sz w:val="24"/>
                <w:szCs w:val="24"/>
              </w:rPr>
              <w:t>Each event held as part of the Summer Paralympic Games, including the opening ceremony and the closing ceremony.</w:t>
            </w:r>
          </w:p>
        </w:tc>
      </w:tr>
      <w:tr w:rsidR="00E922B7" w:rsidRPr="00622464" w14:paraId="313FECED" w14:textId="77777777" w:rsidTr="001F714C">
        <w:tc>
          <w:tcPr>
            <w:tcW w:w="1569" w:type="pct"/>
            <w:tcBorders>
              <w:top w:val="single" w:sz="4" w:space="0" w:color="auto"/>
              <w:left w:val="single" w:sz="4" w:space="0" w:color="auto"/>
              <w:bottom w:val="single" w:sz="4" w:space="0" w:color="auto"/>
              <w:right w:val="single" w:sz="4" w:space="0" w:color="auto"/>
            </w:tcBorders>
          </w:tcPr>
          <w:p w14:paraId="5773D521" w14:textId="77777777" w:rsidR="00E922B7" w:rsidRPr="001F714C" w:rsidRDefault="00C35F28" w:rsidP="00EF6512">
            <w:pPr>
              <w:spacing w:before="60" w:after="60"/>
              <w:rPr>
                <w:b/>
                <w:sz w:val="24"/>
                <w:szCs w:val="24"/>
              </w:rPr>
            </w:pPr>
            <w:r>
              <w:rPr>
                <w:b/>
                <w:sz w:val="24"/>
                <w:szCs w:val="24"/>
              </w:rPr>
              <w:t>Clause</w:t>
            </w:r>
            <w:r w:rsidRPr="00E9766A">
              <w:rPr>
                <w:b/>
                <w:sz w:val="24"/>
                <w:szCs w:val="24"/>
              </w:rPr>
              <w:t xml:space="preserve"> </w:t>
            </w:r>
            <w:r w:rsidR="00E9766A">
              <w:rPr>
                <w:b/>
                <w:sz w:val="24"/>
                <w:szCs w:val="24"/>
              </w:rPr>
              <w:t>4</w:t>
            </w:r>
            <w:r w:rsidR="00D27EDF">
              <w:rPr>
                <w:b/>
                <w:sz w:val="24"/>
                <w:szCs w:val="24"/>
              </w:rPr>
              <w:t xml:space="preserve"> – </w:t>
            </w:r>
            <w:r w:rsidR="00E922B7" w:rsidRPr="00E9766A">
              <w:rPr>
                <w:b/>
                <w:sz w:val="24"/>
                <w:szCs w:val="24"/>
              </w:rPr>
              <w:t>Commonwealth Games</w:t>
            </w:r>
          </w:p>
        </w:tc>
        <w:tc>
          <w:tcPr>
            <w:tcW w:w="3431" w:type="pct"/>
            <w:tcBorders>
              <w:top w:val="single" w:sz="4" w:space="0" w:color="auto"/>
              <w:left w:val="single" w:sz="4" w:space="0" w:color="auto"/>
              <w:bottom w:val="single" w:sz="4" w:space="0" w:color="auto"/>
              <w:right w:val="single" w:sz="4" w:space="0" w:color="auto"/>
            </w:tcBorders>
            <w:hideMark/>
          </w:tcPr>
          <w:p w14:paraId="11C442B6" w14:textId="77777777" w:rsidR="00E922B7" w:rsidRPr="00E9766A" w:rsidRDefault="00E922B7" w:rsidP="00EF6512">
            <w:pPr>
              <w:spacing w:before="60" w:after="60"/>
              <w:rPr>
                <w:sz w:val="24"/>
                <w:szCs w:val="24"/>
              </w:rPr>
            </w:pPr>
            <w:r w:rsidRPr="00E9766A">
              <w:rPr>
                <w:sz w:val="24"/>
                <w:szCs w:val="24"/>
              </w:rPr>
              <w:t xml:space="preserve">Each event held as part of the Commonwealth Games, including the </w:t>
            </w:r>
            <w:r w:rsidR="00E9766A" w:rsidRPr="00E9766A">
              <w:rPr>
                <w:sz w:val="24"/>
                <w:szCs w:val="24"/>
              </w:rPr>
              <w:t>opening ceremony and the closing ceremony.</w:t>
            </w:r>
          </w:p>
        </w:tc>
      </w:tr>
      <w:tr w:rsidR="00E922B7" w:rsidRPr="00622464" w14:paraId="037BDB87" w14:textId="77777777" w:rsidTr="001F714C">
        <w:tc>
          <w:tcPr>
            <w:tcW w:w="1569" w:type="pct"/>
            <w:tcBorders>
              <w:top w:val="single" w:sz="4" w:space="0" w:color="auto"/>
              <w:left w:val="single" w:sz="4" w:space="0" w:color="auto"/>
              <w:bottom w:val="single" w:sz="4" w:space="0" w:color="auto"/>
              <w:right w:val="single" w:sz="4" w:space="0" w:color="auto"/>
            </w:tcBorders>
          </w:tcPr>
          <w:p w14:paraId="7C710B66" w14:textId="77777777" w:rsidR="00E922B7" w:rsidRPr="001F714C" w:rsidRDefault="00C35F28" w:rsidP="00EF6512">
            <w:pPr>
              <w:spacing w:before="60" w:after="60"/>
              <w:rPr>
                <w:b/>
                <w:sz w:val="24"/>
                <w:szCs w:val="24"/>
              </w:rPr>
            </w:pPr>
            <w:r>
              <w:rPr>
                <w:b/>
                <w:sz w:val="24"/>
                <w:szCs w:val="24"/>
              </w:rPr>
              <w:t>Clause</w:t>
            </w:r>
            <w:r w:rsidRPr="00E9766A">
              <w:rPr>
                <w:b/>
                <w:sz w:val="24"/>
                <w:szCs w:val="24"/>
              </w:rPr>
              <w:t xml:space="preserve"> </w:t>
            </w:r>
            <w:r w:rsidR="00E9766A" w:rsidRPr="00E9766A">
              <w:rPr>
                <w:b/>
                <w:sz w:val="24"/>
                <w:szCs w:val="24"/>
              </w:rPr>
              <w:t>5</w:t>
            </w:r>
            <w:r w:rsidR="00E922B7" w:rsidRPr="00E9766A">
              <w:rPr>
                <w:b/>
                <w:sz w:val="24"/>
                <w:szCs w:val="24"/>
              </w:rPr>
              <w:t xml:space="preserve"> </w:t>
            </w:r>
            <w:r w:rsidR="00D27EDF">
              <w:rPr>
                <w:b/>
                <w:sz w:val="24"/>
                <w:szCs w:val="24"/>
              </w:rPr>
              <w:t xml:space="preserve">– </w:t>
            </w:r>
            <w:r w:rsidR="00E922B7" w:rsidRPr="00E9766A">
              <w:rPr>
                <w:b/>
                <w:sz w:val="24"/>
                <w:szCs w:val="24"/>
              </w:rPr>
              <w:t xml:space="preserve">Horse racing  </w:t>
            </w:r>
          </w:p>
        </w:tc>
        <w:tc>
          <w:tcPr>
            <w:tcW w:w="3431" w:type="pct"/>
            <w:tcBorders>
              <w:top w:val="single" w:sz="4" w:space="0" w:color="auto"/>
              <w:left w:val="single" w:sz="4" w:space="0" w:color="auto"/>
              <w:bottom w:val="single" w:sz="4" w:space="0" w:color="auto"/>
              <w:right w:val="single" w:sz="4" w:space="0" w:color="auto"/>
            </w:tcBorders>
            <w:hideMark/>
          </w:tcPr>
          <w:p w14:paraId="17CF36F4" w14:textId="77777777" w:rsidR="00E922B7" w:rsidRPr="00E9766A" w:rsidRDefault="00E922B7" w:rsidP="00EF6512">
            <w:pPr>
              <w:spacing w:before="60" w:after="60"/>
              <w:rPr>
                <w:sz w:val="24"/>
                <w:szCs w:val="24"/>
              </w:rPr>
            </w:pPr>
            <w:r w:rsidRPr="00E9766A">
              <w:rPr>
                <w:sz w:val="24"/>
                <w:szCs w:val="24"/>
              </w:rPr>
              <w:t>Each running of the Melbourne Cup organised by the Victoria Racing Club.</w:t>
            </w:r>
          </w:p>
        </w:tc>
      </w:tr>
      <w:tr w:rsidR="00E9766A" w:rsidRPr="00622464" w14:paraId="54BE8457" w14:textId="77777777" w:rsidTr="001F714C">
        <w:trPr>
          <w:trHeight w:val="377"/>
        </w:trPr>
        <w:tc>
          <w:tcPr>
            <w:tcW w:w="1569" w:type="pct"/>
            <w:vMerge w:val="restart"/>
            <w:tcBorders>
              <w:top w:val="single" w:sz="4" w:space="0" w:color="auto"/>
              <w:left w:val="single" w:sz="4" w:space="0" w:color="auto"/>
              <w:right w:val="single" w:sz="4" w:space="0" w:color="auto"/>
            </w:tcBorders>
          </w:tcPr>
          <w:p w14:paraId="41A175F4" w14:textId="77777777" w:rsidR="00E9766A" w:rsidRPr="001F714C" w:rsidRDefault="00C35F28" w:rsidP="00EF6512">
            <w:pPr>
              <w:spacing w:before="60" w:after="60"/>
              <w:rPr>
                <w:b/>
                <w:sz w:val="24"/>
                <w:szCs w:val="24"/>
              </w:rPr>
            </w:pPr>
            <w:r>
              <w:rPr>
                <w:b/>
                <w:sz w:val="24"/>
                <w:szCs w:val="24"/>
              </w:rPr>
              <w:t>Clause</w:t>
            </w:r>
            <w:r w:rsidRPr="00E9766A">
              <w:rPr>
                <w:b/>
                <w:sz w:val="24"/>
                <w:szCs w:val="24"/>
              </w:rPr>
              <w:t xml:space="preserve"> </w:t>
            </w:r>
            <w:r w:rsidR="00E9766A" w:rsidRPr="001933EA">
              <w:rPr>
                <w:b/>
                <w:sz w:val="24"/>
                <w:szCs w:val="24"/>
              </w:rPr>
              <w:t xml:space="preserve">6 </w:t>
            </w:r>
            <w:r w:rsidR="00D27EDF">
              <w:rPr>
                <w:b/>
                <w:sz w:val="24"/>
                <w:szCs w:val="24"/>
              </w:rPr>
              <w:t xml:space="preserve">– </w:t>
            </w:r>
            <w:r w:rsidR="00E9766A" w:rsidRPr="001933EA">
              <w:rPr>
                <w:b/>
                <w:sz w:val="24"/>
                <w:szCs w:val="24"/>
              </w:rPr>
              <w:t>Australian rules football</w:t>
            </w:r>
          </w:p>
        </w:tc>
        <w:tc>
          <w:tcPr>
            <w:tcW w:w="3431" w:type="pct"/>
            <w:tcBorders>
              <w:top w:val="single" w:sz="4" w:space="0" w:color="auto"/>
              <w:left w:val="single" w:sz="4" w:space="0" w:color="auto"/>
              <w:bottom w:val="single" w:sz="4" w:space="0" w:color="auto"/>
              <w:right w:val="single" w:sz="4" w:space="0" w:color="auto"/>
            </w:tcBorders>
            <w:hideMark/>
          </w:tcPr>
          <w:p w14:paraId="6A36D60C" w14:textId="77777777" w:rsidR="00E9766A" w:rsidRPr="009D6E3A" w:rsidRDefault="00E9766A" w:rsidP="009D6E3A">
            <w:pPr>
              <w:pStyle w:val="ListParagraph"/>
              <w:numPr>
                <w:ilvl w:val="0"/>
                <w:numId w:val="30"/>
              </w:numPr>
              <w:spacing w:before="60" w:after="60"/>
              <w:rPr>
                <w:sz w:val="24"/>
                <w:szCs w:val="24"/>
              </w:rPr>
            </w:pPr>
            <w:r w:rsidRPr="009D6E3A">
              <w:rPr>
                <w:sz w:val="24"/>
                <w:szCs w:val="24"/>
              </w:rPr>
              <w:t>Each match in the Australian Football League Premiership, including the Finals Series.</w:t>
            </w:r>
          </w:p>
        </w:tc>
      </w:tr>
      <w:tr w:rsidR="00E9766A" w:rsidRPr="00622464" w14:paraId="3D186F95" w14:textId="77777777" w:rsidTr="001F714C">
        <w:trPr>
          <w:trHeight w:val="376"/>
        </w:trPr>
        <w:tc>
          <w:tcPr>
            <w:tcW w:w="1569" w:type="pct"/>
            <w:vMerge/>
            <w:tcBorders>
              <w:left w:val="single" w:sz="4" w:space="0" w:color="auto"/>
              <w:bottom w:val="single" w:sz="4" w:space="0" w:color="auto"/>
              <w:right w:val="single" w:sz="4" w:space="0" w:color="auto"/>
            </w:tcBorders>
          </w:tcPr>
          <w:p w14:paraId="2BE7F2B8" w14:textId="77777777" w:rsidR="00E9766A" w:rsidRPr="001933EA" w:rsidRDefault="00E9766A" w:rsidP="00EF6512">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7C575302" w14:textId="77777777" w:rsidR="00E9766A" w:rsidRPr="009D6E3A" w:rsidRDefault="001933EA" w:rsidP="009D6E3A">
            <w:pPr>
              <w:pStyle w:val="ListParagraph"/>
              <w:numPr>
                <w:ilvl w:val="0"/>
                <w:numId w:val="30"/>
              </w:numPr>
              <w:spacing w:before="60" w:after="60"/>
              <w:rPr>
                <w:sz w:val="24"/>
                <w:szCs w:val="24"/>
              </w:rPr>
            </w:pPr>
            <w:r w:rsidRPr="009D6E3A">
              <w:rPr>
                <w:sz w:val="24"/>
                <w:szCs w:val="24"/>
              </w:rPr>
              <w:t>Each match in the Finals Series of the Australian Football League Women’s Premiership.</w:t>
            </w:r>
          </w:p>
        </w:tc>
      </w:tr>
      <w:tr w:rsidR="00E922B7" w:rsidRPr="00622464" w14:paraId="065FAD62" w14:textId="77777777" w:rsidTr="001F714C">
        <w:tc>
          <w:tcPr>
            <w:tcW w:w="1569" w:type="pct"/>
            <w:vMerge w:val="restart"/>
            <w:tcBorders>
              <w:top w:val="single" w:sz="4" w:space="0" w:color="auto"/>
              <w:left w:val="single" w:sz="4" w:space="0" w:color="auto"/>
              <w:right w:val="single" w:sz="4" w:space="0" w:color="auto"/>
            </w:tcBorders>
          </w:tcPr>
          <w:p w14:paraId="6D7D8AB5" w14:textId="77777777" w:rsidR="00E922B7" w:rsidRPr="001F714C" w:rsidRDefault="00C35F28" w:rsidP="00EF6512">
            <w:pPr>
              <w:spacing w:before="60" w:after="60"/>
              <w:rPr>
                <w:b/>
                <w:sz w:val="24"/>
                <w:szCs w:val="24"/>
              </w:rPr>
            </w:pPr>
            <w:r>
              <w:rPr>
                <w:b/>
                <w:sz w:val="24"/>
                <w:szCs w:val="24"/>
              </w:rPr>
              <w:t>Clause</w:t>
            </w:r>
            <w:r w:rsidRPr="00E9766A">
              <w:rPr>
                <w:b/>
                <w:sz w:val="24"/>
                <w:szCs w:val="24"/>
              </w:rPr>
              <w:t xml:space="preserve"> </w:t>
            </w:r>
            <w:r w:rsidR="001933EA" w:rsidRPr="009D6E3A">
              <w:rPr>
                <w:b/>
                <w:sz w:val="24"/>
                <w:szCs w:val="24"/>
              </w:rPr>
              <w:t>7</w:t>
            </w:r>
            <w:r w:rsidR="00E922B7" w:rsidRPr="009D6E3A">
              <w:rPr>
                <w:b/>
                <w:sz w:val="24"/>
                <w:szCs w:val="24"/>
              </w:rPr>
              <w:t xml:space="preserve"> </w:t>
            </w:r>
            <w:r w:rsidR="00D27EDF">
              <w:rPr>
                <w:b/>
                <w:sz w:val="24"/>
                <w:szCs w:val="24"/>
              </w:rPr>
              <w:t xml:space="preserve">– </w:t>
            </w:r>
            <w:r w:rsidR="00E922B7" w:rsidRPr="009D6E3A">
              <w:rPr>
                <w:b/>
                <w:sz w:val="24"/>
                <w:szCs w:val="24"/>
              </w:rPr>
              <w:t>Rugby league football</w:t>
            </w:r>
          </w:p>
        </w:tc>
        <w:tc>
          <w:tcPr>
            <w:tcW w:w="3431" w:type="pct"/>
            <w:tcBorders>
              <w:top w:val="single" w:sz="4" w:space="0" w:color="auto"/>
              <w:left w:val="single" w:sz="4" w:space="0" w:color="auto"/>
              <w:bottom w:val="single" w:sz="4" w:space="0" w:color="auto"/>
              <w:right w:val="single" w:sz="4" w:space="0" w:color="auto"/>
            </w:tcBorders>
          </w:tcPr>
          <w:p w14:paraId="043F2AF5" w14:textId="77777777" w:rsidR="00E922B7" w:rsidRPr="009D6E3A" w:rsidRDefault="00E922B7" w:rsidP="00D910E2">
            <w:pPr>
              <w:pStyle w:val="ListParagraph"/>
              <w:numPr>
                <w:ilvl w:val="0"/>
                <w:numId w:val="19"/>
              </w:numPr>
              <w:spacing w:before="60" w:after="60"/>
              <w:rPr>
                <w:sz w:val="24"/>
                <w:szCs w:val="24"/>
              </w:rPr>
            </w:pPr>
            <w:r w:rsidRPr="009D6E3A">
              <w:rPr>
                <w:sz w:val="24"/>
                <w:szCs w:val="24"/>
              </w:rPr>
              <w:t>Each match in the National Rugby League Premiership competition</w:t>
            </w:r>
            <w:r w:rsidR="00605701" w:rsidRPr="009D6E3A">
              <w:rPr>
                <w:sz w:val="24"/>
                <w:szCs w:val="24"/>
              </w:rPr>
              <w:t>,</w:t>
            </w:r>
            <w:r w:rsidRPr="009D6E3A">
              <w:rPr>
                <w:sz w:val="24"/>
                <w:szCs w:val="24"/>
              </w:rPr>
              <w:t xml:space="preserve"> including the Finals Series.</w:t>
            </w:r>
          </w:p>
        </w:tc>
      </w:tr>
      <w:tr w:rsidR="001933EA" w:rsidRPr="00622464" w14:paraId="49C0746F" w14:textId="77777777" w:rsidTr="001F714C">
        <w:tc>
          <w:tcPr>
            <w:tcW w:w="1569" w:type="pct"/>
            <w:vMerge/>
            <w:tcBorders>
              <w:left w:val="single" w:sz="4" w:space="0" w:color="auto"/>
              <w:right w:val="single" w:sz="4" w:space="0" w:color="auto"/>
            </w:tcBorders>
          </w:tcPr>
          <w:p w14:paraId="1F8B3ACE" w14:textId="77777777" w:rsidR="001933EA" w:rsidRPr="009D6E3A" w:rsidRDefault="001933EA"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3B5BBF23" w14:textId="77777777" w:rsidR="001933EA" w:rsidRPr="009D6E3A" w:rsidRDefault="009D6E3A" w:rsidP="00D910E2">
            <w:pPr>
              <w:pStyle w:val="ListParagraph"/>
              <w:numPr>
                <w:ilvl w:val="0"/>
                <w:numId w:val="19"/>
              </w:numPr>
              <w:spacing w:before="60" w:after="60"/>
              <w:rPr>
                <w:sz w:val="24"/>
                <w:szCs w:val="24"/>
              </w:rPr>
            </w:pPr>
            <w:r w:rsidRPr="009D6E3A">
              <w:rPr>
                <w:sz w:val="24"/>
                <w:szCs w:val="24"/>
              </w:rPr>
              <w:t>Each match in the National Rugby League State of Origin Series.</w:t>
            </w:r>
          </w:p>
        </w:tc>
      </w:tr>
      <w:tr w:rsidR="009D6E3A" w:rsidRPr="00622464" w14:paraId="6C2ED242" w14:textId="77777777" w:rsidTr="001F714C">
        <w:tc>
          <w:tcPr>
            <w:tcW w:w="1569" w:type="pct"/>
            <w:vMerge/>
            <w:tcBorders>
              <w:left w:val="single" w:sz="4" w:space="0" w:color="auto"/>
              <w:right w:val="single" w:sz="4" w:space="0" w:color="auto"/>
            </w:tcBorders>
          </w:tcPr>
          <w:p w14:paraId="773FB48A" w14:textId="77777777" w:rsidR="009D6E3A" w:rsidRPr="009D6E3A" w:rsidRDefault="009D6E3A"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61FE19C0" w14:textId="77777777" w:rsidR="009D6E3A" w:rsidRPr="009D6E3A" w:rsidRDefault="009D6E3A" w:rsidP="009D6E3A">
            <w:pPr>
              <w:pStyle w:val="ListParagraph"/>
              <w:numPr>
                <w:ilvl w:val="0"/>
                <w:numId w:val="19"/>
              </w:numPr>
              <w:spacing w:before="60" w:after="60"/>
              <w:rPr>
                <w:sz w:val="24"/>
                <w:szCs w:val="24"/>
              </w:rPr>
            </w:pPr>
            <w:r w:rsidRPr="009D6E3A">
              <w:rPr>
                <w:sz w:val="24"/>
                <w:szCs w:val="24"/>
              </w:rPr>
              <w:t>Each match in the Finals Series of the National Rugby League Women’s Premiership.</w:t>
            </w:r>
          </w:p>
        </w:tc>
      </w:tr>
      <w:tr w:rsidR="00E922B7" w:rsidRPr="00622464" w14:paraId="76B38A95" w14:textId="77777777" w:rsidTr="001F714C">
        <w:tc>
          <w:tcPr>
            <w:tcW w:w="1569" w:type="pct"/>
            <w:vMerge/>
            <w:tcBorders>
              <w:left w:val="single" w:sz="4" w:space="0" w:color="auto"/>
              <w:right w:val="single" w:sz="4" w:space="0" w:color="auto"/>
            </w:tcBorders>
          </w:tcPr>
          <w:p w14:paraId="5B452350" w14:textId="77777777" w:rsidR="00E922B7" w:rsidRPr="009D6E3A" w:rsidRDefault="00E922B7"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06689F4A" w14:textId="77777777" w:rsidR="00E922B7" w:rsidRPr="009D6E3A" w:rsidRDefault="009D6E3A" w:rsidP="00D910E2">
            <w:pPr>
              <w:pStyle w:val="ListParagraph"/>
              <w:numPr>
                <w:ilvl w:val="0"/>
                <w:numId w:val="19"/>
              </w:numPr>
              <w:spacing w:before="60" w:after="60"/>
              <w:rPr>
                <w:sz w:val="24"/>
                <w:szCs w:val="24"/>
              </w:rPr>
            </w:pPr>
            <w:r w:rsidRPr="009D6E3A">
              <w:rPr>
                <w:sz w:val="24"/>
                <w:szCs w:val="24"/>
              </w:rPr>
              <w:t>Each match in the National Rugby League Women’s State of Origin Series.</w:t>
            </w:r>
          </w:p>
        </w:tc>
      </w:tr>
      <w:tr w:rsidR="00E922B7" w:rsidRPr="00622464" w14:paraId="46EE26C4" w14:textId="77777777" w:rsidTr="001F714C">
        <w:tc>
          <w:tcPr>
            <w:tcW w:w="1569" w:type="pct"/>
            <w:vMerge/>
            <w:tcBorders>
              <w:left w:val="single" w:sz="4" w:space="0" w:color="auto"/>
              <w:right w:val="single" w:sz="4" w:space="0" w:color="auto"/>
            </w:tcBorders>
          </w:tcPr>
          <w:p w14:paraId="60D878E1" w14:textId="77777777" w:rsidR="00E922B7" w:rsidRPr="009D6E3A" w:rsidRDefault="00E922B7"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6BA2283A" w14:textId="77777777" w:rsidR="00E922B7" w:rsidRPr="009D6E3A" w:rsidRDefault="00E922B7" w:rsidP="00D910E2">
            <w:pPr>
              <w:pStyle w:val="ListParagraph"/>
              <w:numPr>
                <w:ilvl w:val="0"/>
                <w:numId w:val="19"/>
              </w:numPr>
              <w:spacing w:before="60" w:after="60"/>
              <w:rPr>
                <w:sz w:val="24"/>
                <w:szCs w:val="24"/>
              </w:rPr>
            </w:pPr>
            <w:r w:rsidRPr="009D6E3A">
              <w:rPr>
                <w:sz w:val="24"/>
                <w:szCs w:val="24"/>
              </w:rPr>
              <w:t>Each</w:t>
            </w:r>
            <w:r w:rsidR="009D6E3A" w:rsidRPr="009D6E3A">
              <w:rPr>
                <w:sz w:val="24"/>
                <w:szCs w:val="24"/>
              </w:rPr>
              <w:t xml:space="preserve"> men’s or women’s</w:t>
            </w:r>
            <w:r w:rsidRPr="009D6E3A">
              <w:rPr>
                <w:sz w:val="24"/>
                <w:szCs w:val="24"/>
              </w:rPr>
              <w:t xml:space="preserve"> international rugby league test match that: involves the senior Australian representative team; and is played in Australia or New Zealand.</w:t>
            </w:r>
          </w:p>
        </w:tc>
      </w:tr>
      <w:tr w:rsidR="00E922B7" w:rsidRPr="00622464" w14:paraId="23A3A7E3" w14:textId="77777777" w:rsidTr="001F714C">
        <w:tc>
          <w:tcPr>
            <w:tcW w:w="1569" w:type="pct"/>
            <w:vMerge/>
            <w:tcBorders>
              <w:left w:val="single" w:sz="4" w:space="0" w:color="auto"/>
              <w:bottom w:val="single" w:sz="4" w:space="0" w:color="auto"/>
              <w:right w:val="single" w:sz="4" w:space="0" w:color="auto"/>
            </w:tcBorders>
          </w:tcPr>
          <w:p w14:paraId="3952040C" w14:textId="77777777" w:rsidR="00E922B7" w:rsidRPr="009D6E3A" w:rsidRDefault="00E922B7"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1A7207D8" w14:textId="77777777" w:rsidR="00E922B7" w:rsidRPr="009D6E3A" w:rsidRDefault="00E922B7" w:rsidP="00D910E2">
            <w:pPr>
              <w:pStyle w:val="ListParagraph"/>
              <w:numPr>
                <w:ilvl w:val="0"/>
                <w:numId w:val="19"/>
              </w:numPr>
              <w:spacing w:before="60" w:after="60"/>
              <w:rPr>
                <w:sz w:val="24"/>
                <w:szCs w:val="24"/>
              </w:rPr>
            </w:pPr>
            <w:r w:rsidRPr="009D6E3A">
              <w:rPr>
                <w:sz w:val="24"/>
                <w:szCs w:val="24"/>
              </w:rPr>
              <w:t xml:space="preserve">Each </w:t>
            </w:r>
            <w:r w:rsidR="009D6E3A" w:rsidRPr="009D6E3A">
              <w:rPr>
                <w:sz w:val="24"/>
                <w:szCs w:val="24"/>
              </w:rPr>
              <w:t xml:space="preserve">men’s or women’s </w:t>
            </w:r>
            <w:r w:rsidRPr="009D6E3A">
              <w:rPr>
                <w:sz w:val="24"/>
                <w:szCs w:val="24"/>
              </w:rPr>
              <w:t>match of the Rugby League World Cup that: involves the senior Australian representative team; and is played in Australia, New Zealand or Papua New Guinea</w:t>
            </w:r>
            <w:r w:rsidR="001B2EBD">
              <w:rPr>
                <w:sz w:val="24"/>
                <w:szCs w:val="24"/>
              </w:rPr>
              <w:t>.</w:t>
            </w:r>
          </w:p>
        </w:tc>
      </w:tr>
      <w:tr w:rsidR="00E922B7" w:rsidRPr="00622464" w14:paraId="6FF819EE" w14:textId="77777777" w:rsidTr="001F714C">
        <w:tc>
          <w:tcPr>
            <w:tcW w:w="1569" w:type="pct"/>
            <w:vMerge w:val="restart"/>
            <w:tcBorders>
              <w:top w:val="single" w:sz="4" w:space="0" w:color="auto"/>
              <w:left w:val="single" w:sz="4" w:space="0" w:color="auto"/>
              <w:right w:val="single" w:sz="4" w:space="0" w:color="auto"/>
            </w:tcBorders>
          </w:tcPr>
          <w:p w14:paraId="586C6EB4" w14:textId="77777777" w:rsidR="00E922B7" w:rsidRPr="001F714C" w:rsidRDefault="00C35F28" w:rsidP="00EF6512">
            <w:pPr>
              <w:spacing w:before="60" w:after="60"/>
              <w:rPr>
                <w:b/>
                <w:sz w:val="24"/>
                <w:szCs w:val="24"/>
              </w:rPr>
            </w:pPr>
            <w:r>
              <w:rPr>
                <w:b/>
                <w:sz w:val="24"/>
                <w:szCs w:val="24"/>
              </w:rPr>
              <w:lastRenderedPageBreak/>
              <w:t>Clause</w:t>
            </w:r>
            <w:r w:rsidRPr="00E9766A">
              <w:rPr>
                <w:b/>
                <w:sz w:val="24"/>
                <w:szCs w:val="24"/>
              </w:rPr>
              <w:t xml:space="preserve"> </w:t>
            </w:r>
            <w:r w:rsidR="009D6E3A" w:rsidRPr="003545C1">
              <w:rPr>
                <w:b/>
                <w:sz w:val="24"/>
                <w:szCs w:val="24"/>
              </w:rPr>
              <w:t>8</w:t>
            </w:r>
            <w:r w:rsidR="00E922B7" w:rsidRPr="003545C1">
              <w:rPr>
                <w:b/>
                <w:sz w:val="24"/>
                <w:szCs w:val="24"/>
              </w:rPr>
              <w:t xml:space="preserve"> </w:t>
            </w:r>
            <w:r w:rsidR="00D27EDF">
              <w:rPr>
                <w:b/>
                <w:sz w:val="24"/>
                <w:szCs w:val="24"/>
              </w:rPr>
              <w:t xml:space="preserve">– </w:t>
            </w:r>
            <w:r w:rsidR="00E922B7" w:rsidRPr="003545C1">
              <w:rPr>
                <w:b/>
                <w:sz w:val="24"/>
                <w:szCs w:val="24"/>
              </w:rPr>
              <w:t>Rugby union football</w:t>
            </w:r>
          </w:p>
        </w:tc>
        <w:tc>
          <w:tcPr>
            <w:tcW w:w="3431" w:type="pct"/>
            <w:tcBorders>
              <w:top w:val="single" w:sz="4" w:space="0" w:color="auto"/>
              <w:left w:val="single" w:sz="4" w:space="0" w:color="auto"/>
              <w:bottom w:val="single" w:sz="4" w:space="0" w:color="auto"/>
              <w:right w:val="single" w:sz="4" w:space="0" w:color="auto"/>
            </w:tcBorders>
          </w:tcPr>
          <w:p w14:paraId="52DFD4EB" w14:textId="77777777" w:rsidR="00E922B7" w:rsidRPr="003545C1" w:rsidRDefault="00E922B7" w:rsidP="00D910E2">
            <w:pPr>
              <w:pStyle w:val="ListParagraph"/>
              <w:numPr>
                <w:ilvl w:val="0"/>
                <w:numId w:val="18"/>
              </w:numPr>
              <w:spacing w:before="60" w:after="60"/>
              <w:rPr>
                <w:sz w:val="24"/>
                <w:szCs w:val="24"/>
              </w:rPr>
            </w:pPr>
            <w:r w:rsidRPr="003545C1">
              <w:rPr>
                <w:sz w:val="24"/>
                <w:szCs w:val="24"/>
              </w:rPr>
              <w:t xml:space="preserve">Each </w:t>
            </w:r>
            <w:r w:rsidR="009D6E3A" w:rsidRPr="003545C1">
              <w:rPr>
                <w:sz w:val="24"/>
                <w:szCs w:val="24"/>
              </w:rPr>
              <w:t xml:space="preserve">men’s or women’s </w:t>
            </w:r>
            <w:r w:rsidRPr="003545C1">
              <w:rPr>
                <w:sz w:val="24"/>
                <w:szCs w:val="24"/>
              </w:rPr>
              <w:t>international</w:t>
            </w:r>
            <w:r w:rsidR="009D6E3A" w:rsidRPr="003545C1">
              <w:rPr>
                <w:sz w:val="24"/>
                <w:szCs w:val="24"/>
              </w:rPr>
              <w:t xml:space="preserve"> rugby union</w:t>
            </w:r>
            <w:r w:rsidRPr="003545C1">
              <w:rPr>
                <w:sz w:val="24"/>
                <w:szCs w:val="24"/>
              </w:rPr>
              <w:t xml:space="preserve"> test match that: involves the senior Australian representative team selected by Rugby Australia; and is played in Australia or New Zealand.</w:t>
            </w:r>
          </w:p>
        </w:tc>
      </w:tr>
      <w:tr w:rsidR="00E922B7" w:rsidRPr="00622464" w14:paraId="29E4724D" w14:textId="77777777" w:rsidTr="001F714C">
        <w:tc>
          <w:tcPr>
            <w:tcW w:w="1569" w:type="pct"/>
            <w:vMerge/>
            <w:tcBorders>
              <w:left w:val="single" w:sz="4" w:space="0" w:color="auto"/>
              <w:right w:val="single" w:sz="4" w:space="0" w:color="auto"/>
            </w:tcBorders>
          </w:tcPr>
          <w:p w14:paraId="1C07A225" w14:textId="77777777" w:rsidR="00E922B7" w:rsidRPr="003545C1" w:rsidRDefault="00E922B7"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6BE42175" w14:textId="77777777" w:rsidR="00E922B7" w:rsidRPr="003545C1" w:rsidRDefault="00E922B7" w:rsidP="00D910E2">
            <w:pPr>
              <w:pStyle w:val="ListParagraph"/>
              <w:numPr>
                <w:ilvl w:val="0"/>
                <w:numId w:val="18"/>
              </w:numPr>
              <w:spacing w:before="60" w:after="60"/>
              <w:rPr>
                <w:sz w:val="24"/>
                <w:szCs w:val="24"/>
              </w:rPr>
            </w:pPr>
            <w:r w:rsidRPr="003545C1">
              <w:rPr>
                <w:sz w:val="24"/>
                <w:szCs w:val="24"/>
              </w:rPr>
              <w:t xml:space="preserve">Each </w:t>
            </w:r>
            <w:r w:rsidR="009D6E3A" w:rsidRPr="003545C1">
              <w:rPr>
                <w:sz w:val="24"/>
                <w:szCs w:val="24"/>
              </w:rPr>
              <w:t xml:space="preserve">men’s or women’s </w:t>
            </w:r>
            <w:r w:rsidRPr="003545C1">
              <w:rPr>
                <w:sz w:val="24"/>
                <w:szCs w:val="24"/>
              </w:rPr>
              <w:t>match of the Rugby World Cup tournament that involves the senior Australian representative team selected by Rugby Australia.</w:t>
            </w:r>
          </w:p>
        </w:tc>
      </w:tr>
      <w:tr w:rsidR="00E922B7" w:rsidRPr="00622464" w14:paraId="0A131B9F" w14:textId="77777777" w:rsidTr="001F714C">
        <w:tc>
          <w:tcPr>
            <w:tcW w:w="1569" w:type="pct"/>
            <w:vMerge/>
            <w:tcBorders>
              <w:left w:val="single" w:sz="4" w:space="0" w:color="auto"/>
              <w:right w:val="single" w:sz="4" w:space="0" w:color="auto"/>
            </w:tcBorders>
          </w:tcPr>
          <w:p w14:paraId="3C01C3EC" w14:textId="77777777" w:rsidR="00E922B7" w:rsidRPr="003545C1" w:rsidRDefault="00E922B7"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2AC6074F" w14:textId="77777777" w:rsidR="00E922B7" w:rsidRPr="003545C1" w:rsidRDefault="00E922B7" w:rsidP="00D910E2">
            <w:pPr>
              <w:pStyle w:val="ListParagraph"/>
              <w:numPr>
                <w:ilvl w:val="0"/>
                <w:numId w:val="18"/>
              </w:numPr>
              <w:spacing w:before="60" w:after="60"/>
              <w:rPr>
                <w:sz w:val="24"/>
                <w:szCs w:val="24"/>
              </w:rPr>
            </w:pPr>
            <w:r w:rsidRPr="003545C1">
              <w:rPr>
                <w:sz w:val="24"/>
                <w:szCs w:val="24"/>
              </w:rPr>
              <w:t xml:space="preserve">The </w:t>
            </w:r>
            <w:r w:rsidR="009D6E3A" w:rsidRPr="003545C1">
              <w:rPr>
                <w:sz w:val="24"/>
                <w:szCs w:val="24"/>
              </w:rPr>
              <w:t xml:space="preserve">men’s or women’s </w:t>
            </w:r>
            <w:r w:rsidRPr="003545C1">
              <w:rPr>
                <w:sz w:val="24"/>
                <w:szCs w:val="24"/>
              </w:rPr>
              <w:t>final</w:t>
            </w:r>
            <w:r w:rsidR="009D6E3A" w:rsidRPr="003545C1">
              <w:rPr>
                <w:sz w:val="24"/>
                <w:szCs w:val="24"/>
              </w:rPr>
              <w:t>s</w:t>
            </w:r>
            <w:r w:rsidRPr="003545C1">
              <w:rPr>
                <w:sz w:val="24"/>
                <w:szCs w:val="24"/>
              </w:rPr>
              <w:t xml:space="preserve"> of the Rugby World Cup tournament. </w:t>
            </w:r>
          </w:p>
        </w:tc>
      </w:tr>
      <w:tr w:rsidR="00ED3D84" w:rsidRPr="00622464" w14:paraId="1CD1BEEB" w14:textId="77777777" w:rsidTr="001F714C">
        <w:tc>
          <w:tcPr>
            <w:tcW w:w="1569" w:type="pct"/>
            <w:vMerge w:val="restart"/>
            <w:tcBorders>
              <w:left w:val="single" w:sz="4" w:space="0" w:color="auto"/>
              <w:right w:val="single" w:sz="4" w:space="0" w:color="auto"/>
            </w:tcBorders>
          </w:tcPr>
          <w:p w14:paraId="1A1765E6" w14:textId="77777777" w:rsidR="00ED3D84" w:rsidRPr="001F714C" w:rsidRDefault="00C35F28" w:rsidP="00367424">
            <w:pPr>
              <w:spacing w:before="60" w:after="60"/>
              <w:rPr>
                <w:b/>
                <w:sz w:val="24"/>
                <w:szCs w:val="24"/>
              </w:rPr>
            </w:pPr>
            <w:r>
              <w:rPr>
                <w:b/>
                <w:sz w:val="24"/>
                <w:szCs w:val="24"/>
              </w:rPr>
              <w:t>Clause</w:t>
            </w:r>
            <w:r w:rsidRPr="00E9766A">
              <w:rPr>
                <w:b/>
                <w:sz w:val="24"/>
                <w:szCs w:val="24"/>
              </w:rPr>
              <w:t xml:space="preserve"> </w:t>
            </w:r>
            <w:r w:rsidR="009125C6">
              <w:rPr>
                <w:b/>
                <w:sz w:val="24"/>
                <w:szCs w:val="24"/>
              </w:rPr>
              <w:t>9</w:t>
            </w:r>
            <w:r w:rsidR="00ED3D84" w:rsidRPr="00A961D8">
              <w:rPr>
                <w:b/>
                <w:sz w:val="24"/>
                <w:szCs w:val="24"/>
              </w:rPr>
              <w:t xml:space="preserve"> </w:t>
            </w:r>
            <w:r w:rsidR="00D27EDF">
              <w:rPr>
                <w:b/>
                <w:sz w:val="24"/>
                <w:szCs w:val="24"/>
              </w:rPr>
              <w:t xml:space="preserve">– </w:t>
            </w:r>
            <w:r w:rsidR="00ED3D84" w:rsidRPr="00A961D8">
              <w:rPr>
                <w:b/>
                <w:sz w:val="24"/>
                <w:szCs w:val="24"/>
              </w:rPr>
              <w:t>Cricket</w:t>
            </w:r>
          </w:p>
        </w:tc>
        <w:tc>
          <w:tcPr>
            <w:tcW w:w="3431" w:type="pct"/>
            <w:tcBorders>
              <w:top w:val="single" w:sz="4" w:space="0" w:color="auto"/>
              <w:left w:val="single" w:sz="4" w:space="0" w:color="auto"/>
              <w:bottom w:val="single" w:sz="4" w:space="0" w:color="auto"/>
              <w:right w:val="single" w:sz="4" w:space="0" w:color="auto"/>
            </w:tcBorders>
          </w:tcPr>
          <w:p w14:paraId="0EACF8CE" w14:textId="77777777" w:rsidR="00ED3D84" w:rsidRPr="00A961D8" w:rsidRDefault="00ED3D84" w:rsidP="00D910E2">
            <w:pPr>
              <w:pStyle w:val="ListParagraph"/>
              <w:numPr>
                <w:ilvl w:val="0"/>
                <w:numId w:val="20"/>
              </w:numPr>
              <w:spacing w:before="60" w:after="60"/>
              <w:rPr>
                <w:sz w:val="24"/>
                <w:szCs w:val="24"/>
              </w:rPr>
            </w:pPr>
            <w:r w:rsidRPr="00A961D8">
              <w:rPr>
                <w:sz w:val="24"/>
                <w:szCs w:val="24"/>
              </w:rPr>
              <w:t>Each</w:t>
            </w:r>
            <w:r w:rsidR="009D6E3A" w:rsidRPr="00A961D8">
              <w:rPr>
                <w:sz w:val="24"/>
                <w:szCs w:val="24"/>
              </w:rPr>
              <w:t xml:space="preserve"> men’s or women’s</w:t>
            </w:r>
            <w:r w:rsidRPr="00A961D8">
              <w:rPr>
                <w:sz w:val="24"/>
                <w:szCs w:val="24"/>
              </w:rPr>
              <w:t xml:space="preserve"> </w:t>
            </w:r>
            <w:r w:rsidR="009D6E3A" w:rsidRPr="00A961D8">
              <w:rPr>
                <w:sz w:val="24"/>
                <w:szCs w:val="24"/>
              </w:rPr>
              <w:t xml:space="preserve">cricket </w:t>
            </w:r>
            <w:r w:rsidRPr="00A961D8">
              <w:rPr>
                <w:sz w:val="24"/>
                <w:szCs w:val="24"/>
              </w:rPr>
              <w:t>test match that: involves the senior Australian representative team selected by Cricket Australia; and is played in Australia.</w:t>
            </w:r>
          </w:p>
        </w:tc>
      </w:tr>
      <w:tr w:rsidR="00ED3D84" w:rsidRPr="00622464" w14:paraId="5E3E36EC" w14:textId="77777777" w:rsidTr="001F714C">
        <w:tc>
          <w:tcPr>
            <w:tcW w:w="1569" w:type="pct"/>
            <w:vMerge/>
            <w:tcBorders>
              <w:left w:val="single" w:sz="4" w:space="0" w:color="auto"/>
              <w:right w:val="single" w:sz="4" w:space="0" w:color="auto"/>
            </w:tcBorders>
          </w:tcPr>
          <w:p w14:paraId="35960D2C" w14:textId="77777777" w:rsidR="00ED3D84" w:rsidRPr="00A961D8" w:rsidRDefault="00ED3D84"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5884159E" w14:textId="77777777" w:rsidR="00ED3D84" w:rsidRPr="00A961D8" w:rsidRDefault="00ED3D84" w:rsidP="00D910E2">
            <w:pPr>
              <w:pStyle w:val="ListParagraph"/>
              <w:numPr>
                <w:ilvl w:val="0"/>
                <w:numId w:val="20"/>
              </w:numPr>
              <w:spacing w:before="60" w:after="60"/>
              <w:rPr>
                <w:sz w:val="24"/>
                <w:szCs w:val="24"/>
              </w:rPr>
            </w:pPr>
            <w:r w:rsidRPr="00A961D8">
              <w:rPr>
                <w:sz w:val="24"/>
                <w:szCs w:val="24"/>
              </w:rPr>
              <w:t xml:space="preserve">Each </w:t>
            </w:r>
            <w:r w:rsidR="009D6E3A" w:rsidRPr="00A961D8">
              <w:rPr>
                <w:sz w:val="24"/>
                <w:szCs w:val="24"/>
              </w:rPr>
              <w:t xml:space="preserve">men’s or women’s </w:t>
            </w:r>
            <w:r w:rsidR="00E011B0" w:rsidRPr="00A961D8">
              <w:rPr>
                <w:sz w:val="24"/>
                <w:szCs w:val="24"/>
              </w:rPr>
              <w:t>cricket match</w:t>
            </w:r>
            <w:r w:rsidRPr="00A961D8">
              <w:rPr>
                <w:sz w:val="24"/>
                <w:szCs w:val="24"/>
              </w:rPr>
              <w:t xml:space="preserve"> </w:t>
            </w:r>
            <w:r w:rsidR="00E011B0" w:rsidRPr="00A961D8">
              <w:rPr>
                <w:sz w:val="24"/>
                <w:szCs w:val="24"/>
              </w:rPr>
              <w:t xml:space="preserve">of an Ashes series </w:t>
            </w:r>
            <w:r w:rsidRPr="00A961D8">
              <w:rPr>
                <w:sz w:val="24"/>
                <w:szCs w:val="24"/>
              </w:rPr>
              <w:t>that</w:t>
            </w:r>
            <w:r w:rsidR="00E011B0" w:rsidRPr="00A961D8">
              <w:rPr>
                <w:sz w:val="24"/>
                <w:szCs w:val="24"/>
              </w:rPr>
              <w:t>:</w:t>
            </w:r>
            <w:r w:rsidRPr="00A961D8">
              <w:rPr>
                <w:sz w:val="24"/>
                <w:szCs w:val="24"/>
              </w:rPr>
              <w:t xml:space="preserve"> involves both the senior Australian representative team selected by Cricket Australia; and the senior English representative team; and is played in the United Kingdom. </w:t>
            </w:r>
          </w:p>
        </w:tc>
      </w:tr>
      <w:tr w:rsidR="00ED3D84" w:rsidRPr="00622464" w14:paraId="048897D3" w14:textId="77777777" w:rsidTr="001F714C">
        <w:tc>
          <w:tcPr>
            <w:tcW w:w="1569" w:type="pct"/>
            <w:vMerge/>
            <w:tcBorders>
              <w:left w:val="single" w:sz="4" w:space="0" w:color="auto"/>
              <w:right w:val="single" w:sz="4" w:space="0" w:color="auto"/>
            </w:tcBorders>
          </w:tcPr>
          <w:p w14:paraId="13CDE47D" w14:textId="77777777" w:rsidR="00ED3D84" w:rsidRPr="00A961D8" w:rsidRDefault="00ED3D84"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5CC34056" w14:textId="77777777" w:rsidR="00ED3D84" w:rsidRPr="00A961D8" w:rsidRDefault="00ED3D84" w:rsidP="00D910E2">
            <w:pPr>
              <w:pStyle w:val="ListParagraph"/>
              <w:numPr>
                <w:ilvl w:val="0"/>
                <w:numId w:val="20"/>
              </w:numPr>
              <w:spacing w:before="60" w:after="60"/>
              <w:rPr>
                <w:sz w:val="24"/>
                <w:szCs w:val="24"/>
              </w:rPr>
            </w:pPr>
            <w:r w:rsidRPr="00A961D8">
              <w:rPr>
                <w:sz w:val="24"/>
                <w:szCs w:val="24"/>
              </w:rPr>
              <w:t>Each</w:t>
            </w:r>
            <w:r w:rsidR="00E011B0" w:rsidRPr="00A961D8">
              <w:rPr>
                <w:sz w:val="24"/>
                <w:szCs w:val="24"/>
              </w:rPr>
              <w:t xml:space="preserve"> men’s or women’s</w:t>
            </w:r>
            <w:r w:rsidRPr="00A961D8">
              <w:rPr>
                <w:sz w:val="24"/>
                <w:szCs w:val="24"/>
              </w:rPr>
              <w:t xml:space="preserve"> </w:t>
            </w:r>
            <w:r w:rsidR="00E011B0" w:rsidRPr="00A961D8">
              <w:rPr>
                <w:sz w:val="24"/>
                <w:szCs w:val="24"/>
              </w:rPr>
              <w:t xml:space="preserve">One Day International </w:t>
            </w:r>
            <w:r w:rsidRPr="00A961D8">
              <w:rPr>
                <w:sz w:val="24"/>
                <w:szCs w:val="24"/>
              </w:rPr>
              <w:t xml:space="preserve">cricket match that: involves the senior Australian representative team selected by Cricket Australia; and is played in Australia. </w:t>
            </w:r>
          </w:p>
          <w:p w14:paraId="49881489" w14:textId="77777777" w:rsidR="00E011B0" w:rsidRPr="00A961D8" w:rsidRDefault="00E011B0" w:rsidP="00E011B0">
            <w:pPr>
              <w:spacing w:before="60" w:after="60"/>
              <w:rPr>
                <w:sz w:val="24"/>
                <w:szCs w:val="24"/>
              </w:rPr>
            </w:pPr>
            <w:r w:rsidRPr="00A961D8">
              <w:rPr>
                <w:sz w:val="24"/>
                <w:szCs w:val="24"/>
              </w:rPr>
              <w:t>The note in this subclause clarifies th</w:t>
            </w:r>
            <w:r w:rsidR="0048319B">
              <w:rPr>
                <w:sz w:val="24"/>
                <w:szCs w:val="24"/>
              </w:rPr>
              <w:t xml:space="preserve">at this </w:t>
            </w:r>
            <w:r w:rsidRPr="00A961D8">
              <w:rPr>
                <w:sz w:val="24"/>
                <w:szCs w:val="24"/>
              </w:rPr>
              <w:t>covers matches played under both the One Day International and the Women’s One Day International formats.</w:t>
            </w:r>
          </w:p>
        </w:tc>
      </w:tr>
      <w:tr w:rsidR="00ED3D84" w:rsidRPr="00622464" w14:paraId="2C6A7B2A" w14:textId="77777777" w:rsidTr="001F714C">
        <w:tc>
          <w:tcPr>
            <w:tcW w:w="1569" w:type="pct"/>
            <w:vMerge/>
            <w:tcBorders>
              <w:left w:val="single" w:sz="4" w:space="0" w:color="auto"/>
              <w:right w:val="single" w:sz="4" w:space="0" w:color="auto"/>
            </w:tcBorders>
          </w:tcPr>
          <w:p w14:paraId="07353B25" w14:textId="77777777" w:rsidR="00ED3D84" w:rsidRPr="00A961D8" w:rsidRDefault="00ED3D84" w:rsidP="00EF6512">
            <w:pPr>
              <w:spacing w:before="60" w:after="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202AA47A" w14:textId="77777777" w:rsidR="00ED3D84" w:rsidRPr="00A961D8" w:rsidRDefault="00ED3D84" w:rsidP="00D910E2">
            <w:pPr>
              <w:pStyle w:val="ListParagraph"/>
              <w:numPr>
                <w:ilvl w:val="0"/>
                <w:numId w:val="20"/>
              </w:numPr>
              <w:spacing w:before="60" w:after="60"/>
            </w:pPr>
            <w:r w:rsidRPr="00A961D8">
              <w:rPr>
                <w:sz w:val="24"/>
                <w:szCs w:val="24"/>
              </w:rPr>
              <w:t>Each</w:t>
            </w:r>
            <w:r w:rsidR="003A5795" w:rsidRPr="00A961D8">
              <w:rPr>
                <w:sz w:val="24"/>
                <w:szCs w:val="24"/>
              </w:rPr>
              <w:t xml:space="preserve"> men’s or women’s</w:t>
            </w:r>
            <w:r w:rsidRPr="00A961D8">
              <w:rPr>
                <w:sz w:val="24"/>
                <w:szCs w:val="24"/>
              </w:rPr>
              <w:t xml:space="preserve"> Twenty20 (T20) </w:t>
            </w:r>
            <w:r w:rsidR="00E011B0" w:rsidRPr="00A961D8">
              <w:rPr>
                <w:sz w:val="24"/>
                <w:szCs w:val="24"/>
              </w:rPr>
              <w:t xml:space="preserve">International </w:t>
            </w:r>
            <w:r w:rsidRPr="00A961D8">
              <w:rPr>
                <w:sz w:val="24"/>
                <w:szCs w:val="24"/>
              </w:rPr>
              <w:t>cricket match that: involves the senior Australian representative team selected by Cricket Australia; and is played in Australia.</w:t>
            </w:r>
          </w:p>
          <w:p w14:paraId="1EF4B257" w14:textId="77777777" w:rsidR="003A5795" w:rsidRPr="00A961D8" w:rsidRDefault="003A5795" w:rsidP="003A5795">
            <w:pPr>
              <w:spacing w:before="60" w:after="60"/>
            </w:pPr>
            <w:r w:rsidRPr="00A961D8">
              <w:rPr>
                <w:sz w:val="24"/>
                <w:szCs w:val="24"/>
              </w:rPr>
              <w:t>The note in this subclause clarifies t</w:t>
            </w:r>
            <w:r w:rsidR="0048319B">
              <w:rPr>
                <w:sz w:val="24"/>
                <w:szCs w:val="24"/>
              </w:rPr>
              <w:t>hat t</w:t>
            </w:r>
            <w:r w:rsidRPr="00A961D8">
              <w:rPr>
                <w:sz w:val="24"/>
                <w:szCs w:val="24"/>
              </w:rPr>
              <w:t>his covers matches played under both the T20 International and the Women’s T20 International formats.</w:t>
            </w:r>
          </w:p>
        </w:tc>
      </w:tr>
      <w:tr w:rsidR="00ED3D84" w:rsidRPr="00622464" w14:paraId="3AFC9D5A" w14:textId="77777777" w:rsidTr="001F714C">
        <w:tc>
          <w:tcPr>
            <w:tcW w:w="1569" w:type="pct"/>
            <w:vMerge/>
            <w:tcBorders>
              <w:left w:val="single" w:sz="4" w:space="0" w:color="auto"/>
              <w:right w:val="single" w:sz="4" w:space="0" w:color="auto"/>
            </w:tcBorders>
          </w:tcPr>
          <w:p w14:paraId="0C03BFA5" w14:textId="77777777" w:rsidR="00ED3D84" w:rsidRPr="00A961D8" w:rsidRDefault="00ED3D84" w:rsidP="00ED3D84">
            <w:pPr>
              <w:pStyle w:val="ListParagraph"/>
              <w:spacing w:before="60" w:after="60"/>
              <w:ind w:left="3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06DBD810" w14:textId="77777777" w:rsidR="00ED3D84" w:rsidRPr="00A961D8" w:rsidRDefault="00B56038" w:rsidP="00B56038">
            <w:pPr>
              <w:pStyle w:val="ListParagraph"/>
              <w:numPr>
                <w:ilvl w:val="0"/>
                <w:numId w:val="20"/>
              </w:numPr>
              <w:spacing w:before="60" w:after="60"/>
              <w:rPr>
                <w:sz w:val="24"/>
                <w:szCs w:val="24"/>
              </w:rPr>
            </w:pPr>
            <w:r w:rsidRPr="00A961D8">
              <w:rPr>
                <w:sz w:val="24"/>
                <w:szCs w:val="24"/>
              </w:rPr>
              <w:t xml:space="preserve">Each match of the </w:t>
            </w:r>
            <w:r w:rsidR="001F0ACC" w:rsidRPr="00A961D8">
              <w:rPr>
                <w:sz w:val="24"/>
                <w:szCs w:val="24"/>
              </w:rPr>
              <w:t>International Cricket Council Men’s Cricket World Cup and the International Cricket Council Women’s Cricket World Cup,</w:t>
            </w:r>
            <w:r w:rsidRPr="00A961D8">
              <w:rPr>
                <w:sz w:val="24"/>
                <w:szCs w:val="24"/>
              </w:rPr>
              <w:t xml:space="preserve"> that: involves the senior Australian representative team selected by Cricket Australia; and is played in Australia or New Zealand.</w:t>
            </w:r>
          </w:p>
        </w:tc>
      </w:tr>
      <w:tr w:rsidR="00ED3D84" w:rsidRPr="00622464" w14:paraId="199A52B2" w14:textId="77777777" w:rsidTr="001F714C">
        <w:tc>
          <w:tcPr>
            <w:tcW w:w="1569" w:type="pct"/>
            <w:vMerge/>
            <w:tcBorders>
              <w:left w:val="single" w:sz="4" w:space="0" w:color="auto"/>
              <w:right w:val="single" w:sz="4" w:space="0" w:color="auto"/>
            </w:tcBorders>
          </w:tcPr>
          <w:p w14:paraId="082D60BD" w14:textId="77777777" w:rsidR="00ED3D84" w:rsidRPr="00A961D8" w:rsidRDefault="00ED3D84" w:rsidP="00ED3D84">
            <w:pPr>
              <w:pStyle w:val="ListParagraph"/>
              <w:spacing w:before="60" w:after="60"/>
              <w:ind w:left="3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4FE4DA5F" w14:textId="77777777" w:rsidR="00B56038" w:rsidRPr="00A961D8" w:rsidRDefault="00B56038" w:rsidP="00D910E2">
            <w:pPr>
              <w:pStyle w:val="ListParagraph"/>
              <w:numPr>
                <w:ilvl w:val="0"/>
                <w:numId w:val="20"/>
              </w:numPr>
              <w:spacing w:before="60" w:after="60"/>
              <w:rPr>
                <w:sz w:val="24"/>
                <w:szCs w:val="24"/>
              </w:rPr>
            </w:pPr>
            <w:r w:rsidRPr="00A961D8">
              <w:rPr>
                <w:sz w:val="24"/>
                <w:szCs w:val="24"/>
              </w:rPr>
              <w:t>The final of the International Cricket Council Men’s Cricket World Cup and the International Cricket Council Women’s Cricket World Cup, if the final is played in Australia or New Zealand.</w:t>
            </w:r>
          </w:p>
        </w:tc>
      </w:tr>
      <w:tr w:rsidR="00ED3D84" w:rsidRPr="00622464" w14:paraId="00083158" w14:textId="77777777" w:rsidTr="001F714C">
        <w:tc>
          <w:tcPr>
            <w:tcW w:w="1569" w:type="pct"/>
            <w:vMerge/>
            <w:tcBorders>
              <w:left w:val="single" w:sz="4" w:space="0" w:color="auto"/>
              <w:right w:val="single" w:sz="4" w:space="0" w:color="auto"/>
            </w:tcBorders>
          </w:tcPr>
          <w:p w14:paraId="50632485" w14:textId="77777777" w:rsidR="00ED3D84" w:rsidRPr="00A961D8" w:rsidRDefault="00ED3D84" w:rsidP="00ED3D84">
            <w:pPr>
              <w:pStyle w:val="ListParagraph"/>
              <w:spacing w:before="60" w:after="60"/>
              <w:ind w:left="3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067CE274" w14:textId="77777777" w:rsidR="00ED3D84" w:rsidRPr="00A961D8" w:rsidRDefault="00ED3D84" w:rsidP="00D910E2">
            <w:pPr>
              <w:pStyle w:val="ListParagraph"/>
              <w:numPr>
                <w:ilvl w:val="0"/>
                <w:numId w:val="20"/>
              </w:numPr>
              <w:spacing w:before="60" w:after="60"/>
            </w:pPr>
            <w:r w:rsidRPr="00A961D8">
              <w:rPr>
                <w:sz w:val="24"/>
                <w:szCs w:val="24"/>
              </w:rPr>
              <w:t xml:space="preserve">Each match of the International Cricket Council </w:t>
            </w:r>
            <w:r w:rsidR="003A5795" w:rsidRPr="00A961D8">
              <w:rPr>
                <w:sz w:val="24"/>
                <w:szCs w:val="24"/>
              </w:rPr>
              <w:t xml:space="preserve">Men’s </w:t>
            </w:r>
            <w:r w:rsidRPr="00A961D8">
              <w:rPr>
                <w:sz w:val="24"/>
                <w:szCs w:val="24"/>
              </w:rPr>
              <w:t xml:space="preserve">T20 World Cup </w:t>
            </w:r>
            <w:r w:rsidR="00547A86" w:rsidRPr="00A961D8">
              <w:rPr>
                <w:sz w:val="24"/>
                <w:szCs w:val="24"/>
              </w:rPr>
              <w:t xml:space="preserve">and the International Cricket Council </w:t>
            </w:r>
            <w:r w:rsidR="000D0D2C" w:rsidRPr="00A961D8">
              <w:rPr>
                <w:sz w:val="24"/>
                <w:szCs w:val="24"/>
              </w:rPr>
              <w:t>Wom</w:t>
            </w:r>
            <w:r w:rsidR="00547A86" w:rsidRPr="00A961D8">
              <w:rPr>
                <w:sz w:val="24"/>
                <w:szCs w:val="24"/>
              </w:rPr>
              <w:t xml:space="preserve">en’s T20 World Cup </w:t>
            </w:r>
            <w:r w:rsidRPr="00A961D8">
              <w:rPr>
                <w:sz w:val="24"/>
                <w:szCs w:val="24"/>
              </w:rPr>
              <w:t>that: involves the senior Australian representative team selected by Cricket Australia; and is played in Australia or New Zealand.</w:t>
            </w:r>
          </w:p>
        </w:tc>
      </w:tr>
      <w:tr w:rsidR="00ED3D84" w:rsidRPr="00622464" w14:paraId="2E9EDBFD" w14:textId="77777777" w:rsidTr="001F714C">
        <w:tc>
          <w:tcPr>
            <w:tcW w:w="1569" w:type="pct"/>
            <w:vMerge/>
            <w:tcBorders>
              <w:left w:val="single" w:sz="4" w:space="0" w:color="auto"/>
              <w:right w:val="single" w:sz="4" w:space="0" w:color="auto"/>
            </w:tcBorders>
          </w:tcPr>
          <w:p w14:paraId="5559AF18" w14:textId="77777777" w:rsidR="00ED3D84" w:rsidRPr="00A961D8" w:rsidRDefault="00ED3D84" w:rsidP="00ED3D84">
            <w:pPr>
              <w:pStyle w:val="ListParagraph"/>
              <w:spacing w:before="60" w:after="60"/>
              <w:ind w:left="360"/>
              <w:rPr>
                <w:sz w:val="24"/>
                <w:szCs w:val="24"/>
              </w:rPr>
            </w:pPr>
          </w:p>
        </w:tc>
        <w:tc>
          <w:tcPr>
            <w:tcW w:w="3431" w:type="pct"/>
            <w:tcBorders>
              <w:top w:val="single" w:sz="4" w:space="0" w:color="auto"/>
              <w:left w:val="single" w:sz="4" w:space="0" w:color="auto"/>
              <w:bottom w:val="single" w:sz="4" w:space="0" w:color="auto"/>
              <w:right w:val="single" w:sz="4" w:space="0" w:color="auto"/>
            </w:tcBorders>
          </w:tcPr>
          <w:p w14:paraId="6C9F196A" w14:textId="77777777" w:rsidR="00ED3D84" w:rsidRPr="00A961D8" w:rsidRDefault="00ED3D84" w:rsidP="00D910E2">
            <w:pPr>
              <w:pStyle w:val="ListParagraph"/>
              <w:numPr>
                <w:ilvl w:val="0"/>
                <w:numId w:val="20"/>
              </w:numPr>
              <w:spacing w:before="60" w:after="60"/>
            </w:pPr>
            <w:r w:rsidRPr="00A961D8">
              <w:rPr>
                <w:sz w:val="24"/>
                <w:szCs w:val="24"/>
              </w:rPr>
              <w:t xml:space="preserve">The final of the </w:t>
            </w:r>
            <w:r w:rsidR="000D0D2C" w:rsidRPr="00A961D8">
              <w:rPr>
                <w:sz w:val="24"/>
                <w:szCs w:val="24"/>
              </w:rPr>
              <w:t xml:space="preserve">International Cricket Council Men’s T20 World Cup and the International Cricket Council </w:t>
            </w:r>
            <w:r w:rsidR="000D0D2C" w:rsidRPr="00A961D8">
              <w:rPr>
                <w:sz w:val="24"/>
                <w:szCs w:val="24"/>
              </w:rPr>
              <w:lastRenderedPageBreak/>
              <w:t xml:space="preserve">Women’s T20 World Cup </w:t>
            </w:r>
            <w:r w:rsidRPr="00A961D8">
              <w:rPr>
                <w:sz w:val="24"/>
                <w:szCs w:val="24"/>
              </w:rPr>
              <w:t>if the final is played in Australia or New Zealand.</w:t>
            </w:r>
          </w:p>
        </w:tc>
      </w:tr>
      <w:tr w:rsidR="00D27EDF" w:rsidRPr="00622464" w14:paraId="4DCAC105" w14:textId="77777777" w:rsidTr="001F714C">
        <w:tc>
          <w:tcPr>
            <w:tcW w:w="1569" w:type="pct"/>
            <w:vMerge w:val="restart"/>
            <w:tcBorders>
              <w:left w:val="single" w:sz="4" w:space="0" w:color="auto"/>
              <w:right w:val="single" w:sz="4" w:space="0" w:color="auto"/>
            </w:tcBorders>
          </w:tcPr>
          <w:p w14:paraId="1F6A42B8" w14:textId="77777777" w:rsidR="00D27EDF" w:rsidRPr="001F714C" w:rsidRDefault="00C35F28" w:rsidP="00ED3D84">
            <w:pPr>
              <w:spacing w:before="60" w:after="60"/>
              <w:rPr>
                <w:b/>
                <w:sz w:val="24"/>
                <w:szCs w:val="24"/>
              </w:rPr>
            </w:pPr>
            <w:r>
              <w:rPr>
                <w:b/>
                <w:sz w:val="24"/>
                <w:szCs w:val="24"/>
              </w:rPr>
              <w:lastRenderedPageBreak/>
              <w:t>Clause</w:t>
            </w:r>
            <w:r w:rsidRPr="00E9766A">
              <w:rPr>
                <w:b/>
                <w:sz w:val="24"/>
                <w:szCs w:val="24"/>
              </w:rPr>
              <w:t xml:space="preserve"> </w:t>
            </w:r>
            <w:r w:rsidR="00D27EDF" w:rsidRPr="009125C6">
              <w:rPr>
                <w:b/>
                <w:sz w:val="24"/>
                <w:szCs w:val="24"/>
              </w:rPr>
              <w:t xml:space="preserve">10 </w:t>
            </w:r>
            <w:r w:rsidR="00D27EDF">
              <w:rPr>
                <w:b/>
                <w:sz w:val="24"/>
                <w:szCs w:val="24"/>
              </w:rPr>
              <w:t xml:space="preserve">– </w:t>
            </w:r>
            <w:r w:rsidR="00D27EDF" w:rsidRPr="009125C6">
              <w:rPr>
                <w:b/>
                <w:sz w:val="24"/>
                <w:szCs w:val="24"/>
              </w:rPr>
              <w:t>Soccer</w:t>
            </w:r>
          </w:p>
        </w:tc>
        <w:tc>
          <w:tcPr>
            <w:tcW w:w="3431" w:type="pct"/>
            <w:tcBorders>
              <w:top w:val="single" w:sz="4" w:space="0" w:color="auto"/>
              <w:left w:val="single" w:sz="4" w:space="0" w:color="auto"/>
              <w:bottom w:val="single" w:sz="4" w:space="0" w:color="auto"/>
              <w:right w:val="single" w:sz="4" w:space="0" w:color="auto"/>
            </w:tcBorders>
          </w:tcPr>
          <w:p w14:paraId="4A8E3D19" w14:textId="77777777" w:rsidR="00D27EDF" w:rsidRPr="009125C6" w:rsidRDefault="00D27EDF" w:rsidP="00D910E2">
            <w:pPr>
              <w:pStyle w:val="ListParagraph"/>
              <w:numPr>
                <w:ilvl w:val="0"/>
                <w:numId w:val="21"/>
              </w:numPr>
              <w:spacing w:before="60" w:after="60"/>
              <w:rPr>
                <w:sz w:val="24"/>
                <w:szCs w:val="24"/>
              </w:rPr>
            </w:pPr>
            <w:r w:rsidRPr="009125C6">
              <w:rPr>
                <w:sz w:val="24"/>
                <w:szCs w:val="24"/>
              </w:rPr>
              <w:t xml:space="preserve">Each match of the Fédération Internationale de Football Association (FIFA) World Cup tournament that involves the senior Australian representative team selected by Football Australia. </w:t>
            </w:r>
          </w:p>
        </w:tc>
      </w:tr>
      <w:tr w:rsidR="00D27EDF" w:rsidRPr="00622464" w14:paraId="0093A2DB" w14:textId="77777777" w:rsidTr="001F714C">
        <w:tc>
          <w:tcPr>
            <w:tcW w:w="1569" w:type="pct"/>
            <w:vMerge/>
            <w:tcBorders>
              <w:left w:val="single" w:sz="4" w:space="0" w:color="auto"/>
              <w:right w:val="single" w:sz="4" w:space="0" w:color="auto"/>
            </w:tcBorders>
          </w:tcPr>
          <w:p w14:paraId="765BCDF5" w14:textId="77777777" w:rsidR="00D27EDF" w:rsidRPr="009125C6" w:rsidRDefault="00D27EDF" w:rsidP="00ED3D84">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3AF9147C" w14:textId="77777777" w:rsidR="00D27EDF" w:rsidRPr="009125C6" w:rsidRDefault="00D27EDF" w:rsidP="00D910E2">
            <w:pPr>
              <w:pStyle w:val="ListParagraph"/>
              <w:numPr>
                <w:ilvl w:val="0"/>
                <w:numId w:val="21"/>
              </w:numPr>
              <w:spacing w:before="60" w:after="60"/>
              <w:rPr>
                <w:sz w:val="24"/>
                <w:szCs w:val="24"/>
              </w:rPr>
            </w:pPr>
            <w:r w:rsidRPr="009125C6">
              <w:rPr>
                <w:sz w:val="24"/>
                <w:szCs w:val="24"/>
              </w:rPr>
              <w:t>The final of the FIFA World Cup.</w:t>
            </w:r>
          </w:p>
        </w:tc>
      </w:tr>
      <w:tr w:rsidR="00D27EDF" w:rsidRPr="00622464" w14:paraId="101F121C" w14:textId="77777777" w:rsidTr="001F714C">
        <w:tc>
          <w:tcPr>
            <w:tcW w:w="1569" w:type="pct"/>
            <w:vMerge/>
            <w:tcBorders>
              <w:left w:val="single" w:sz="4" w:space="0" w:color="auto"/>
              <w:right w:val="single" w:sz="4" w:space="0" w:color="auto"/>
            </w:tcBorders>
          </w:tcPr>
          <w:p w14:paraId="3ADB5BD0" w14:textId="77777777" w:rsidR="00D27EDF" w:rsidRPr="009125C6" w:rsidRDefault="00D27EDF" w:rsidP="00ED3D84">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0C5E1382" w14:textId="77777777" w:rsidR="00D27EDF" w:rsidRPr="009125C6" w:rsidRDefault="00D27EDF" w:rsidP="00D910E2">
            <w:pPr>
              <w:pStyle w:val="ListParagraph"/>
              <w:numPr>
                <w:ilvl w:val="0"/>
                <w:numId w:val="21"/>
              </w:numPr>
              <w:spacing w:before="60" w:after="60"/>
              <w:rPr>
                <w:sz w:val="24"/>
                <w:szCs w:val="24"/>
              </w:rPr>
            </w:pPr>
            <w:r w:rsidRPr="009125C6">
              <w:rPr>
                <w:sz w:val="24"/>
                <w:szCs w:val="24"/>
              </w:rPr>
              <w:t>Each match in the FIFA World Cup Qualification tournament that: involves the senior Australian representative team selected by Football Australia; and is played in Australia.</w:t>
            </w:r>
          </w:p>
        </w:tc>
      </w:tr>
      <w:tr w:rsidR="00D27EDF" w:rsidRPr="00622464" w14:paraId="24CA3E63" w14:textId="77777777" w:rsidTr="001F714C">
        <w:tc>
          <w:tcPr>
            <w:tcW w:w="1569" w:type="pct"/>
            <w:vMerge/>
            <w:tcBorders>
              <w:left w:val="single" w:sz="4" w:space="0" w:color="auto"/>
              <w:right w:val="single" w:sz="4" w:space="0" w:color="auto"/>
            </w:tcBorders>
          </w:tcPr>
          <w:p w14:paraId="13067246" w14:textId="77777777" w:rsidR="00D27EDF" w:rsidRPr="009125C6" w:rsidRDefault="00D27EDF" w:rsidP="00A961D8">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795AA072" w14:textId="77777777" w:rsidR="00D27EDF" w:rsidRPr="009125C6" w:rsidRDefault="00D27EDF" w:rsidP="00A961D8">
            <w:pPr>
              <w:pStyle w:val="ListParagraph"/>
              <w:numPr>
                <w:ilvl w:val="0"/>
                <w:numId w:val="21"/>
              </w:numPr>
              <w:spacing w:before="60" w:after="60"/>
              <w:rPr>
                <w:sz w:val="24"/>
                <w:szCs w:val="24"/>
              </w:rPr>
            </w:pPr>
            <w:r w:rsidRPr="009125C6">
              <w:rPr>
                <w:sz w:val="24"/>
                <w:szCs w:val="24"/>
              </w:rPr>
              <w:t xml:space="preserve">Each match of the FIFA Women’s World Cup tournament that involves the senior Australian representative team selected by Football Australia. </w:t>
            </w:r>
          </w:p>
        </w:tc>
      </w:tr>
      <w:tr w:rsidR="00D27EDF" w:rsidRPr="00622464" w14:paraId="231E5F90" w14:textId="77777777" w:rsidTr="001F714C">
        <w:tc>
          <w:tcPr>
            <w:tcW w:w="1569" w:type="pct"/>
            <w:vMerge/>
            <w:tcBorders>
              <w:left w:val="single" w:sz="4" w:space="0" w:color="auto"/>
              <w:right w:val="single" w:sz="4" w:space="0" w:color="auto"/>
            </w:tcBorders>
          </w:tcPr>
          <w:p w14:paraId="7DC810F0" w14:textId="77777777" w:rsidR="00D27EDF" w:rsidRPr="009125C6" w:rsidRDefault="00D27EDF" w:rsidP="00A961D8">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7F3EB122" w14:textId="77777777" w:rsidR="00D27EDF" w:rsidRPr="009125C6" w:rsidRDefault="00D27EDF" w:rsidP="00A961D8">
            <w:pPr>
              <w:pStyle w:val="ListParagraph"/>
              <w:numPr>
                <w:ilvl w:val="0"/>
                <w:numId w:val="21"/>
              </w:numPr>
              <w:spacing w:before="60" w:after="60"/>
              <w:rPr>
                <w:sz w:val="24"/>
                <w:szCs w:val="24"/>
              </w:rPr>
            </w:pPr>
            <w:r w:rsidRPr="009125C6">
              <w:rPr>
                <w:sz w:val="24"/>
                <w:szCs w:val="24"/>
              </w:rPr>
              <w:t>The final of the FIFA Women’s World Cup.</w:t>
            </w:r>
          </w:p>
        </w:tc>
      </w:tr>
      <w:tr w:rsidR="00D27EDF" w:rsidRPr="00622464" w14:paraId="2E471031" w14:textId="77777777" w:rsidTr="001F714C">
        <w:tc>
          <w:tcPr>
            <w:tcW w:w="1569" w:type="pct"/>
            <w:vMerge/>
            <w:tcBorders>
              <w:left w:val="single" w:sz="4" w:space="0" w:color="auto"/>
              <w:right w:val="single" w:sz="4" w:space="0" w:color="auto"/>
            </w:tcBorders>
          </w:tcPr>
          <w:p w14:paraId="5F44D4AD" w14:textId="77777777" w:rsidR="00D27EDF" w:rsidRPr="009125C6" w:rsidRDefault="00D27EDF" w:rsidP="00A961D8">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6E9FE7FB" w14:textId="77777777" w:rsidR="00D27EDF" w:rsidRPr="009125C6" w:rsidRDefault="00D27EDF" w:rsidP="00A961D8">
            <w:pPr>
              <w:pStyle w:val="ListParagraph"/>
              <w:numPr>
                <w:ilvl w:val="0"/>
                <w:numId w:val="21"/>
              </w:numPr>
              <w:spacing w:before="60" w:after="60"/>
              <w:rPr>
                <w:sz w:val="24"/>
                <w:szCs w:val="24"/>
              </w:rPr>
            </w:pPr>
            <w:r w:rsidRPr="009125C6">
              <w:rPr>
                <w:sz w:val="24"/>
                <w:szCs w:val="24"/>
              </w:rPr>
              <w:t xml:space="preserve">Each women’s soccer match that: is part of the tournament by which teams may qualify for the FIFA </w:t>
            </w:r>
            <w:r w:rsidR="0048319B">
              <w:rPr>
                <w:sz w:val="24"/>
                <w:szCs w:val="24"/>
              </w:rPr>
              <w:t>W</w:t>
            </w:r>
            <w:r w:rsidRPr="009125C6">
              <w:rPr>
                <w:sz w:val="24"/>
                <w:szCs w:val="24"/>
              </w:rPr>
              <w:t>omen’s World Cup; and involves the senior Australian representative team selected by Football Australia; and is played in Australia.</w:t>
            </w:r>
          </w:p>
          <w:p w14:paraId="0793810C" w14:textId="77777777" w:rsidR="00D27EDF" w:rsidRPr="009125C6" w:rsidRDefault="00D27EDF" w:rsidP="00A961D8">
            <w:pPr>
              <w:pStyle w:val="ListParagraph"/>
              <w:spacing w:before="60" w:after="60"/>
              <w:ind w:left="360"/>
              <w:rPr>
                <w:sz w:val="24"/>
                <w:szCs w:val="24"/>
              </w:rPr>
            </w:pPr>
          </w:p>
          <w:p w14:paraId="40CA5C63" w14:textId="77777777" w:rsidR="00D27EDF" w:rsidRPr="009125C6" w:rsidRDefault="00D27EDF" w:rsidP="00A961D8">
            <w:pPr>
              <w:spacing w:before="60" w:after="60"/>
              <w:rPr>
                <w:sz w:val="24"/>
                <w:szCs w:val="24"/>
              </w:rPr>
            </w:pPr>
            <w:r w:rsidRPr="009125C6">
              <w:rPr>
                <w:sz w:val="24"/>
                <w:szCs w:val="24"/>
              </w:rPr>
              <w:t>This subclause includes the example of the 2022 AFC Women’s Asian Cup as a tournament by which teams could qualify for the 2023 FIFA Women’s World Cup.</w:t>
            </w:r>
          </w:p>
        </w:tc>
      </w:tr>
      <w:tr w:rsidR="00A961D8" w:rsidRPr="00622464" w14:paraId="5EDF2758" w14:textId="77777777" w:rsidTr="001F714C">
        <w:tc>
          <w:tcPr>
            <w:tcW w:w="1569" w:type="pct"/>
            <w:vMerge w:val="restart"/>
            <w:tcBorders>
              <w:left w:val="single" w:sz="4" w:space="0" w:color="auto"/>
              <w:right w:val="single" w:sz="4" w:space="0" w:color="auto"/>
            </w:tcBorders>
          </w:tcPr>
          <w:p w14:paraId="7744F38D" w14:textId="77777777" w:rsidR="00A961D8" w:rsidRPr="009125C6" w:rsidRDefault="00C35F28" w:rsidP="00A961D8">
            <w:pPr>
              <w:spacing w:before="60" w:after="60"/>
              <w:rPr>
                <w:b/>
                <w:sz w:val="24"/>
                <w:szCs w:val="24"/>
              </w:rPr>
            </w:pPr>
            <w:r>
              <w:rPr>
                <w:b/>
                <w:sz w:val="24"/>
                <w:szCs w:val="24"/>
              </w:rPr>
              <w:t>Clause</w:t>
            </w:r>
            <w:r w:rsidRPr="00E9766A">
              <w:rPr>
                <w:b/>
                <w:sz w:val="24"/>
                <w:szCs w:val="24"/>
              </w:rPr>
              <w:t xml:space="preserve"> </w:t>
            </w:r>
            <w:r w:rsidR="009125C6" w:rsidRPr="009125C6">
              <w:rPr>
                <w:b/>
                <w:sz w:val="24"/>
                <w:szCs w:val="24"/>
              </w:rPr>
              <w:t>11</w:t>
            </w:r>
            <w:r w:rsidR="00A961D8" w:rsidRPr="009125C6">
              <w:rPr>
                <w:b/>
                <w:sz w:val="24"/>
                <w:szCs w:val="24"/>
              </w:rPr>
              <w:t xml:space="preserve"> </w:t>
            </w:r>
            <w:r w:rsidR="00D27EDF">
              <w:rPr>
                <w:b/>
                <w:sz w:val="24"/>
                <w:szCs w:val="24"/>
              </w:rPr>
              <w:t xml:space="preserve">– </w:t>
            </w:r>
            <w:r w:rsidR="00A961D8" w:rsidRPr="009125C6">
              <w:rPr>
                <w:b/>
                <w:sz w:val="24"/>
                <w:szCs w:val="24"/>
              </w:rPr>
              <w:t>Tennis</w:t>
            </w:r>
          </w:p>
        </w:tc>
        <w:tc>
          <w:tcPr>
            <w:tcW w:w="3431" w:type="pct"/>
            <w:tcBorders>
              <w:top w:val="single" w:sz="4" w:space="0" w:color="auto"/>
              <w:left w:val="single" w:sz="4" w:space="0" w:color="auto"/>
              <w:bottom w:val="single" w:sz="4" w:space="0" w:color="auto"/>
              <w:right w:val="single" w:sz="4" w:space="0" w:color="auto"/>
            </w:tcBorders>
          </w:tcPr>
          <w:p w14:paraId="2B405A91" w14:textId="77777777" w:rsidR="00A961D8" w:rsidRPr="009125C6" w:rsidRDefault="00A961D8" w:rsidP="00A961D8">
            <w:pPr>
              <w:pStyle w:val="ListParagraph"/>
              <w:numPr>
                <w:ilvl w:val="0"/>
                <w:numId w:val="22"/>
              </w:numPr>
              <w:spacing w:before="60" w:after="60"/>
              <w:rPr>
                <w:sz w:val="24"/>
                <w:szCs w:val="24"/>
              </w:rPr>
            </w:pPr>
            <w:r w:rsidRPr="009125C6">
              <w:rPr>
                <w:sz w:val="24"/>
                <w:szCs w:val="24"/>
              </w:rPr>
              <w:t>Each match in the Australian Open.</w:t>
            </w:r>
          </w:p>
        </w:tc>
      </w:tr>
      <w:tr w:rsidR="00A961D8" w:rsidRPr="00622464" w14:paraId="126A67D5" w14:textId="77777777" w:rsidTr="001F714C">
        <w:tc>
          <w:tcPr>
            <w:tcW w:w="1569" w:type="pct"/>
            <w:vMerge/>
            <w:tcBorders>
              <w:left w:val="single" w:sz="4" w:space="0" w:color="auto"/>
              <w:right w:val="single" w:sz="4" w:space="0" w:color="auto"/>
            </w:tcBorders>
          </w:tcPr>
          <w:p w14:paraId="31F53D6D" w14:textId="77777777" w:rsidR="00A961D8" w:rsidRPr="009125C6" w:rsidRDefault="00A961D8" w:rsidP="00A961D8">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28424C00" w14:textId="77777777" w:rsidR="00A961D8" w:rsidRPr="009125C6" w:rsidRDefault="00A961D8" w:rsidP="00A961D8">
            <w:pPr>
              <w:pStyle w:val="ListParagraph"/>
              <w:numPr>
                <w:ilvl w:val="0"/>
                <w:numId w:val="22"/>
              </w:numPr>
              <w:spacing w:before="60" w:after="60"/>
              <w:rPr>
                <w:sz w:val="24"/>
                <w:szCs w:val="24"/>
              </w:rPr>
            </w:pPr>
            <w:r w:rsidRPr="009125C6">
              <w:rPr>
                <w:sz w:val="24"/>
                <w:szCs w:val="24"/>
              </w:rPr>
              <w:t>Each match in each tie of the International Tennis Federation Davis Cup World Group that: involves an Australian representative team; and is played in Australia.</w:t>
            </w:r>
          </w:p>
        </w:tc>
      </w:tr>
      <w:tr w:rsidR="00A961D8" w:rsidRPr="00622464" w14:paraId="29C7EAE2" w14:textId="77777777" w:rsidTr="001F714C">
        <w:tc>
          <w:tcPr>
            <w:tcW w:w="1569" w:type="pct"/>
            <w:vMerge/>
            <w:tcBorders>
              <w:left w:val="single" w:sz="4" w:space="0" w:color="auto"/>
              <w:right w:val="single" w:sz="4" w:space="0" w:color="auto"/>
            </w:tcBorders>
          </w:tcPr>
          <w:p w14:paraId="171E02F7" w14:textId="77777777" w:rsidR="00A961D8" w:rsidRPr="009125C6" w:rsidRDefault="00A961D8" w:rsidP="00A961D8">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75647420" w14:textId="77777777" w:rsidR="00A961D8" w:rsidRPr="009125C6" w:rsidRDefault="00A961D8" w:rsidP="00A961D8">
            <w:pPr>
              <w:pStyle w:val="ListParagraph"/>
              <w:numPr>
                <w:ilvl w:val="0"/>
                <w:numId w:val="22"/>
              </w:numPr>
              <w:spacing w:before="60" w:after="60"/>
              <w:rPr>
                <w:sz w:val="24"/>
                <w:szCs w:val="24"/>
              </w:rPr>
            </w:pPr>
            <w:r w:rsidRPr="009125C6">
              <w:rPr>
                <w:sz w:val="24"/>
                <w:szCs w:val="24"/>
              </w:rPr>
              <w:t>The final of the International Tennis Federation Davis Cup World Group, if the final involves an Australian representative team.</w:t>
            </w:r>
          </w:p>
        </w:tc>
      </w:tr>
      <w:tr w:rsidR="00A961D8" w:rsidRPr="00622464" w14:paraId="0AC84741" w14:textId="77777777" w:rsidTr="001F714C">
        <w:tc>
          <w:tcPr>
            <w:tcW w:w="1569" w:type="pct"/>
            <w:tcBorders>
              <w:left w:val="single" w:sz="4" w:space="0" w:color="auto"/>
              <w:right w:val="single" w:sz="4" w:space="0" w:color="auto"/>
            </w:tcBorders>
          </w:tcPr>
          <w:p w14:paraId="758AB24C" w14:textId="77777777" w:rsidR="00A961D8" w:rsidRPr="009125C6" w:rsidRDefault="00C35F28" w:rsidP="00A961D8">
            <w:pPr>
              <w:spacing w:before="60" w:after="60"/>
              <w:rPr>
                <w:b/>
                <w:sz w:val="24"/>
                <w:szCs w:val="24"/>
              </w:rPr>
            </w:pPr>
            <w:r>
              <w:rPr>
                <w:b/>
                <w:sz w:val="24"/>
                <w:szCs w:val="24"/>
              </w:rPr>
              <w:t>Clause</w:t>
            </w:r>
            <w:r w:rsidRPr="00E9766A">
              <w:rPr>
                <w:b/>
                <w:sz w:val="24"/>
                <w:szCs w:val="24"/>
              </w:rPr>
              <w:t xml:space="preserve"> </w:t>
            </w:r>
            <w:r w:rsidR="00A961D8" w:rsidRPr="009125C6">
              <w:rPr>
                <w:b/>
                <w:sz w:val="24"/>
                <w:szCs w:val="24"/>
              </w:rPr>
              <w:t>1</w:t>
            </w:r>
            <w:r w:rsidR="009125C6" w:rsidRPr="009125C6">
              <w:rPr>
                <w:b/>
                <w:sz w:val="24"/>
                <w:szCs w:val="24"/>
              </w:rPr>
              <w:t>2</w:t>
            </w:r>
            <w:r w:rsidR="00A961D8" w:rsidRPr="009125C6">
              <w:rPr>
                <w:b/>
                <w:sz w:val="24"/>
                <w:szCs w:val="24"/>
              </w:rPr>
              <w:t xml:space="preserve"> </w:t>
            </w:r>
            <w:r w:rsidR="00D27EDF">
              <w:rPr>
                <w:b/>
                <w:sz w:val="24"/>
                <w:szCs w:val="24"/>
              </w:rPr>
              <w:t xml:space="preserve">– </w:t>
            </w:r>
            <w:r w:rsidR="00A961D8" w:rsidRPr="009125C6">
              <w:rPr>
                <w:b/>
                <w:sz w:val="24"/>
                <w:szCs w:val="24"/>
              </w:rPr>
              <w:t>Netball</w:t>
            </w:r>
          </w:p>
        </w:tc>
        <w:tc>
          <w:tcPr>
            <w:tcW w:w="3431" w:type="pct"/>
            <w:tcBorders>
              <w:top w:val="single" w:sz="4" w:space="0" w:color="auto"/>
              <w:left w:val="single" w:sz="4" w:space="0" w:color="auto"/>
              <w:bottom w:val="single" w:sz="4" w:space="0" w:color="auto"/>
              <w:right w:val="single" w:sz="4" w:space="0" w:color="auto"/>
            </w:tcBorders>
          </w:tcPr>
          <w:p w14:paraId="64E6F169" w14:textId="77777777" w:rsidR="00A961D8" w:rsidRPr="009125C6" w:rsidRDefault="00A961D8" w:rsidP="00A961D8">
            <w:pPr>
              <w:pStyle w:val="ListParagraph"/>
              <w:numPr>
                <w:ilvl w:val="0"/>
                <w:numId w:val="23"/>
              </w:numPr>
              <w:spacing w:before="60" w:after="60"/>
              <w:rPr>
                <w:sz w:val="24"/>
                <w:szCs w:val="24"/>
              </w:rPr>
            </w:pPr>
            <w:r w:rsidRPr="009125C6">
              <w:rPr>
                <w:sz w:val="24"/>
                <w:szCs w:val="24"/>
              </w:rPr>
              <w:t>Each semi-final or final of the Netball World Cup that involves the senior Australian representative team selected by Netball Australia.</w:t>
            </w:r>
          </w:p>
        </w:tc>
      </w:tr>
      <w:tr w:rsidR="00A961D8" w:rsidRPr="00622464" w14:paraId="49666CA9" w14:textId="77777777" w:rsidTr="001F714C">
        <w:tc>
          <w:tcPr>
            <w:tcW w:w="1569" w:type="pct"/>
            <w:vMerge w:val="restart"/>
            <w:tcBorders>
              <w:left w:val="single" w:sz="4" w:space="0" w:color="auto"/>
              <w:right w:val="single" w:sz="4" w:space="0" w:color="auto"/>
            </w:tcBorders>
          </w:tcPr>
          <w:p w14:paraId="406230A0" w14:textId="77777777" w:rsidR="00A961D8" w:rsidRPr="009125C6" w:rsidRDefault="00C35F28" w:rsidP="00A961D8">
            <w:pPr>
              <w:spacing w:before="60" w:after="60"/>
              <w:rPr>
                <w:b/>
                <w:sz w:val="24"/>
                <w:szCs w:val="24"/>
              </w:rPr>
            </w:pPr>
            <w:r>
              <w:rPr>
                <w:b/>
                <w:sz w:val="24"/>
                <w:szCs w:val="24"/>
              </w:rPr>
              <w:t>Clause</w:t>
            </w:r>
            <w:r w:rsidRPr="00E9766A">
              <w:rPr>
                <w:b/>
                <w:sz w:val="24"/>
                <w:szCs w:val="24"/>
              </w:rPr>
              <w:t xml:space="preserve"> </w:t>
            </w:r>
            <w:r w:rsidR="00A961D8" w:rsidRPr="009125C6">
              <w:rPr>
                <w:b/>
                <w:sz w:val="24"/>
                <w:szCs w:val="24"/>
              </w:rPr>
              <w:t>1</w:t>
            </w:r>
            <w:r w:rsidR="009125C6" w:rsidRPr="009125C6">
              <w:rPr>
                <w:b/>
                <w:sz w:val="24"/>
                <w:szCs w:val="24"/>
              </w:rPr>
              <w:t>3</w:t>
            </w:r>
            <w:r w:rsidR="00A961D8" w:rsidRPr="009125C6">
              <w:rPr>
                <w:b/>
                <w:sz w:val="24"/>
                <w:szCs w:val="24"/>
              </w:rPr>
              <w:t xml:space="preserve"> </w:t>
            </w:r>
            <w:r w:rsidR="00D27EDF">
              <w:rPr>
                <w:b/>
                <w:sz w:val="24"/>
                <w:szCs w:val="24"/>
              </w:rPr>
              <w:t xml:space="preserve">– </w:t>
            </w:r>
            <w:r w:rsidR="00A961D8" w:rsidRPr="009125C6">
              <w:rPr>
                <w:b/>
                <w:sz w:val="24"/>
                <w:szCs w:val="24"/>
              </w:rPr>
              <w:t>Motor sports</w:t>
            </w:r>
          </w:p>
        </w:tc>
        <w:tc>
          <w:tcPr>
            <w:tcW w:w="3431" w:type="pct"/>
            <w:tcBorders>
              <w:top w:val="single" w:sz="4" w:space="0" w:color="auto"/>
              <w:left w:val="single" w:sz="4" w:space="0" w:color="auto"/>
              <w:bottom w:val="single" w:sz="4" w:space="0" w:color="auto"/>
              <w:right w:val="single" w:sz="4" w:space="0" w:color="auto"/>
            </w:tcBorders>
          </w:tcPr>
          <w:p w14:paraId="11F043D1" w14:textId="77777777" w:rsidR="00A961D8" w:rsidRPr="009125C6" w:rsidRDefault="00A961D8" w:rsidP="00A961D8">
            <w:pPr>
              <w:pStyle w:val="ListParagraph"/>
              <w:numPr>
                <w:ilvl w:val="0"/>
                <w:numId w:val="24"/>
              </w:numPr>
              <w:spacing w:before="60" w:after="60"/>
              <w:rPr>
                <w:sz w:val="24"/>
                <w:szCs w:val="24"/>
              </w:rPr>
            </w:pPr>
            <w:r w:rsidRPr="009125C6">
              <w:rPr>
                <w:sz w:val="24"/>
                <w:szCs w:val="24"/>
              </w:rPr>
              <w:t xml:space="preserve">Each race in the Fédération Internationale de </w:t>
            </w:r>
            <w:proofErr w:type="spellStart"/>
            <w:r w:rsidRPr="009125C6">
              <w:rPr>
                <w:sz w:val="24"/>
                <w:szCs w:val="24"/>
              </w:rPr>
              <w:t>l’Automobile</w:t>
            </w:r>
            <w:proofErr w:type="spellEnd"/>
            <w:r w:rsidRPr="009125C6">
              <w:rPr>
                <w:sz w:val="24"/>
                <w:szCs w:val="24"/>
              </w:rPr>
              <w:t xml:space="preserve"> Formula One World Championship (Grand Prix) held in Australia.</w:t>
            </w:r>
          </w:p>
        </w:tc>
      </w:tr>
      <w:tr w:rsidR="00A961D8" w:rsidRPr="00622464" w14:paraId="05F27DC4" w14:textId="77777777" w:rsidTr="001F714C">
        <w:tc>
          <w:tcPr>
            <w:tcW w:w="1569" w:type="pct"/>
            <w:vMerge/>
            <w:tcBorders>
              <w:left w:val="single" w:sz="4" w:space="0" w:color="auto"/>
              <w:right w:val="single" w:sz="4" w:space="0" w:color="auto"/>
            </w:tcBorders>
          </w:tcPr>
          <w:p w14:paraId="79637106" w14:textId="77777777" w:rsidR="00A961D8" w:rsidRPr="009125C6" w:rsidRDefault="00A961D8" w:rsidP="00A961D8">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76F3E704" w14:textId="77777777" w:rsidR="00A961D8" w:rsidRPr="009125C6" w:rsidRDefault="00A961D8" w:rsidP="00A961D8">
            <w:pPr>
              <w:pStyle w:val="ListParagraph"/>
              <w:numPr>
                <w:ilvl w:val="0"/>
                <w:numId w:val="24"/>
              </w:numPr>
              <w:spacing w:before="60" w:after="60"/>
              <w:rPr>
                <w:sz w:val="24"/>
                <w:szCs w:val="24"/>
              </w:rPr>
            </w:pPr>
            <w:r w:rsidRPr="009125C6">
              <w:rPr>
                <w:sz w:val="24"/>
                <w:szCs w:val="24"/>
              </w:rPr>
              <w:t xml:space="preserve">Each race in the Fédération Internationale de </w:t>
            </w:r>
            <w:proofErr w:type="spellStart"/>
            <w:r w:rsidRPr="009125C6">
              <w:rPr>
                <w:sz w:val="24"/>
                <w:szCs w:val="24"/>
              </w:rPr>
              <w:t>Motocyclisme</w:t>
            </w:r>
            <w:proofErr w:type="spellEnd"/>
            <w:r w:rsidRPr="009125C6">
              <w:rPr>
                <w:sz w:val="24"/>
                <w:szCs w:val="24"/>
              </w:rPr>
              <w:t xml:space="preserve"> MotoGP World Championship held in Australia.</w:t>
            </w:r>
          </w:p>
        </w:tc>
      </w:tr>
      <w:tr w:rsidR="00A961D8" w:rsidRPr="00622464" w14:paraId="60DEAA1E" w14:textId="77777777" w:rsidTr="001F714C">
        <w:tc>
          <w:tcPr>
            <w:tcW w:w="1569" w:type="pct"/>
            <w:vMerge/>
            <w:tcBorders>
              <w:left w:val="single" w:sz="4" w:space="0" w:color="auto"/>
              <w:bottom w:val="single" w:sz="4" w:space="0" w:color="auto"/>
              <w:right w:val="single" w:sz="4" w:space="0" w:color="auto"/>
            </w:tcBorders>
          </w:tcPr>
          <w:p w14:paraId="42CF7EAD" w14:textId="77777777" w:rsidR="00A961D8" w:rsidRPr="009125C6" w:rsidRDefault="00A961D8" w:rsidP="00A961D8">
            <w:pPr>
              <w:spacing w:before="60" w:after="60"/>
              <w:rPr>
                <w:b/>
                <w:sz w:val="24"/>
                <w:szCs w:val="24"/>
              </w:rPr>
            </w:pPr>
          </w:p>
        </w:tc>
        <w:tc>
          <w:tcPr>
            <w:tcW w:w="3431" w:type="pct"/>
            <w:tcBorders>
              <w:top w:val="single" w:sz="4" w:space="0" w:color="auto"/>
              <w:left w:val="single" w:sz="4" w:space="0" w:color="auto"/>
              <w:bottom w:val="single" w:sz="4" w:space="0" w:color="auto"/>
              <w:right w:val="single" w:sz="4" w:space="0" w:color="auto"/>
            </w:tcBorders>
          </w:tcPr>
          <w:p w14:paraId="2D3B8EB6" w14:textId="77777777" w:rsidR="00A961D8" w:rsidRPr="009125C6" w:rsidRDefault="00A961D8" w:rsidP="00A961D8">
            <w:pPr>
              <w:pStyle w:val="ListParagraph"/>
              <w:numPr>
                <w:ilvl w:val="0"/>
                <w:numId w:val="24"/>
              </w:numPr>
              <w:spacing w:before="60" w:after="60"/>
              <w:rPr>
                <w:sz w:val="24"/>
                <w:szCs w:val="24"/>
              </w:rPr>
            </w:pPr>
            <w:r w:rsidRPr="009125C6">
              <w:rPr>
                <w:sz w:val="24"/>
                <w:szCs w:val="24"/>
              </w:rPr>
              <w:t>Each Bathurst 1000 race in the Supercars Championship.</w:t>
            </w:r>
          </w:p>
        </w:tc>
      </w:tr>
    </w:tbl>
    <w:p w14:paraId="59311E1C" w14:textId="77777777" w:rsidR="009125C6" w:rsidRPr="00F4213D" w:rsidRDefault="009125C6">
      <w:pPr>
        <w:spacing w:after="200" w:line="276" w:lineRule="auto"/>
        <w:rPr>
          <w:color w:val="000000" w:themeColor="text1"/>
          <w:sz w:val="24"/>
          <w:szCs w:val="24"/>
        </w:rPr>
      </w:pPr>
    </w:p>
    <w:p w14:paraId="4C5CF083" w14:textId="77777777" w:rsidR="0048319B" w:rsidRDefault="0048319B">
      <w:pPr>
        <w:spacing w:after="200" w:line="276" w:lineRule="auto"/>
        <w:rPr>
          <w:b/>
          <w:color w:val="000000" w:themeColor="text1"/>
          <w:sz w:val="28"/>
          <w:szCs w:val="28"/>
        </w:rPr>
      </w:pPr>
      <w:bookmarkStart w:id="6" w:name="_GoBack"/>
      <w:r>
        <w:rPr>
          <w:b/>
          <w:color w:val="000000" w:themeColor="text1"/>
          <w:sz w:val="28"/>
          <w:szCs w:val="28"/>
        </w:rPr>
        <w:br w:type="page"/>
      </w:r>
    </w:p>
    <w:bookmarkEnd w:id="6"/>
    <w:p w14:paraId="2483B15A" w14:textId="77777777" w:rsidR="002C0CD5" w:rsidRPr="0011175C" w:rsidRDefault="00D27EDF" w:rsidP="00675482">
      <w:pPr>
        <w:spacing w:after="160"/>
        <w:jc w:val="right"/>
        <w:rPr>
          <w:color w:val="000000" w:themeColor="text1"/>
          <w:sz w:val="28"/>
          <w:szCs w:val="28"/>
        </w:rPr>
      </w:pPr>
      <w:r w:rsidRPr="0011175C">
        <w:rPr>
          <w:b/>
          <w:color w:val="000000" w:themeColor="text1"/>
          <w:sz w:val="28"/>
          <w:szCs w:val="28"/>
        </w:rPr>
        <w:lastRenderedPageBreak/>
        <w:t>ATTACHMENT B</w:t>
      </w:r>
    </w:p>
    <w:p w14:paraId="6B37826A" w14:textId="77777777" w:rsidR="00404192" w:rsidRPr="0011175C" w:rsidRDefault="00404192" w:rsidP="001F714C">
      <w:pPr>
        <w:jc w:val="center"/>
        <w:rPr>
          <w:color w:val="000000" w:themeColor="text1"/>
          <w:sz w:val="28"/>
          <w:szCs w:val="28"/>
        </w:rPr>
      </w:pPr>
      <w:r w:rsidRPr="0011175C">
        <w:rPr>
          <w:b/>
          <w:color w:val="000000" w:themeColor="text1"/>
          <w:sz w:val="28"/>
          <w:szCs w:val="28"/>
        </w:rPr>
        <w:t>Statement of Compatibility with Human Rights</w:t>
      </w:r>
    </w:p>
    <w:p w14:paraId="4B93099A" w14:textId="77777777" w:rsidR="006063CE" w:rsidRDefault="006063CE" w:rsidP="006063CE">
      <w:pPr>
        <w:jc w:val="center"/>
        <w:rPr>
          <w:color w:val="000000" w:themeColor="text1"/>
          <w:sz w:val="24"/>
          <w:szCs w:val="24"/>
        </w:rPr>
      </w:pPr>
    </w:p>
    <w:p w14:paraId="62E444C4" w14:textId="77777777" w:rsidR="00404192" w:rsidRPr="0011175C" w:rsidRDefault="00404192" w:rsidP="005357C1">
      <w:pPr>
        <w:jc w:val="center"/>
        <w:rPr>
          <w:color w:val="000000" w:themeColor="text1"/>
          <w:sz w:val="24"/>
          <w:szCs w:val="24"/>
        </w:rPr>
      </w:pPr>
      <w:r w:rsidRPr="0011175C">
        <w:rPr>
          <w:color w:val="000000" w:themeColor="text1"/>
          <w:sz w:val="24"/>
          <w:szCs w:val="24"/>
        </w:rPr>
        <w:t>Prepared in accordance with Part 3 of the</w:t>
      </w:r>
      <w:r w:rsidRPr="0011175C">
        <w:rPr>
          <w:i/>
          <w:color w:val="000000" w:themeColor="text1"/>
          <w:sz w:val="24"/>
          <w:szCs w:val="24"/>
        </w:rPr>
        <w:t xml:space="preserve"> Human Rights (Parliamentary Scrutiny) Act 2011</w:t>
      </w:r>
    </w:p>
    <w:p w14:paraId="6A2EFBA7" w14:textId="77777777" w:rsidR="00404192" w:rsidRPr="0011175C" w:rsidRDefault="00404192">
      <w:pPr>
        <w:jc w:val="center"/>
        <w:rPr>
          <w:color w:val="000000" w:themeColor="text1"/>
          <w:sz w:val="24"/>
          <w:szCs w:val="24"/>
        </w:rPr>
      </w:pPr>
    </w:p>
    <w:p w14:paraId="27791774" w14:textId="77777777" w:rsidR="00404192" w:rsidRDefault="009125C6">
      <w:pPr>
        <w:jc w:val="center"/>
        <w:rPr>
          <w:b/>
          <w:i/>
          <w:color w:val="000000" w:themeColor="text1"/>
          <w:sz w:val="24"/>
          <w:szCs w:val="24"/>
        </w:rPr>
      </w:pPr>
      <w:r w:rsidRPr="009125C6">
        <w:rPr>
          <w:b/>
          <w:i/>
          <w:color w:val="000000" w:themeColor="text1"/>
          <w:sz w:val="24"/>
          <w:szCs w:val="24"/>
        </w:rPr>
        <w:t>Broadcasting Services (Anti-Siphoning List) Instrument 2024</w:t>
      </w:r>
    </w:p>
    <w:p w14:paraId="6B857230" w14:textId="77777777" w:rsidR="009125C6" w:rsidRPr="0011175C" w:rsidRDefault="009125C6">
      <w:pPr>
        <w:rPr>
          <w:color w:val="000000" w:themeColor="text1"/>
          <w:sz w:val="24"/>
          <w:szCs w:val="24"/>
        </w:rPr>
      </w:pPr>
    </w:p>
    <w:p w14:paraId="797A8C5A" w14:textId="77777777" w:rsidR="00404192" w:rsidRPr="0011175C" w:rsidRDefault="00C80B31">
      <w:pPr>
        <w:rPr>
          <w:color w:val="000000" w:themeColor="text1"/>
          <w:sz w:val="24"/>
          <w:szCs w:val="24"/>
        </w:rPr>
      </w:pPr>
      <w:r w:rsidRPr="0011175C">
        <w:rPr>
          <w:color w:val="000000" w:themeColor="text1"/>
          <w:sz w:val="24"/>
          <w:szCs w:val="24"/>
        </w:rPr>
        <w:t xml:space="preserve">The </w:t>
      </w:r>
      <w:r w:rsidR="00A26E96" w:rsidRPr="00622464">
        <w:rPr>
          <w:i/>
          <w:color w:val="000000" w:themeColor="text1"/>
          <w:sz w:val="24"/>
          <w:szCs w:val="24"/>
        </w:rPr>
        <w:t>Broadcasting Services (Anti-Siphoning List) Instrument</w:t>
      </w:r>
      <w:r w:rsidR="00C5314B">
        <w:rPr>
          <w:i/>
          <w:color w:val="000000" w:themeColor="text1"/>
          <w:sz w:val="24"/>
          <w:szCs w:val="24"/>
        </w:rPr>
        <w:t xml:space="preserve"> 2024</w:t>
      </w:r>
      <w:r w:rsidR="00A26E96" w:rsidRPr="00622464">
        <w:rPr>
          <w:i/>
          <w:color w:val="000000" w:themeColor="text1"/>
          <w:sz w:val="24"/>
          <w:szCs w:val="24"/>
        </w:rPr>
        <w:t xml:space="preserve"> </w:t>
      </w:r>
      <w:r w:rsidR="00404192" w:rsidRPr="0011175C">
        <w:rPr>
          <w:color w:val="000000" w:themeColor="text1"/>
          <w:sz w:val="24"/>
          <w:szCs w:val="24"/>
        </w:rPr>
        <w:t xml:space="preserve">is compatible with the human rights and freedoms recognised or declared in the international instruments </w:t>
      </w:r>
      <w:r w:rsidR="00F835DF" w:rsidRPr="0011175C">
        <w:rPr>
          <w:color w:val="000000" w:themeColor="text1"/>
          <w:sz w:val="24"/>
          <w:szCs w:val="24"/>
        </w:rPr>
        <w:t xml:space="preserve">listed in section 3 of the </w:t>
      </w:r>
      <w:r w:rsidR="00F835DF" w:rsidRPr="0011175C">
        <w:rPr>
          <w:i/>
          <w:color w:val="000000" w:themeColor="text1"/>
          <w:sz w:val="24"/>
          <w:szCs w:val="24"/>
        </w:rPr>
        <w:t>Human Rights (Parliamentary Scrutiny) Act 2011</w:t>
      </w:r>
      <w:r w:rsidR="00F835DF" w:rsidRPr="0011175C">
        <w:rPr>
          <w:color w:val="000000" w:themeColor="text1"/>
          <w:sz w:val="24"/>
          <w:szCs w:val="24"/>
        </w:rPr>
        <w:t>.</w:t>
      </w:r>
    </w:p>
    <w:p w14:paraId="6D674EB4" w14:textId="77777777" w:rsidR="00F835DF" w:rsidRPr="0011175C" w:rsidRDefault="00F835DF">
      <w:pPr>
        <w:rPr>
          <w:color w:val="000000" w:themeColor="text1"/>
          <w:sz w:val="24"/>
          <w:szCs w:val="24"/>
        </w:rPr>
      </w:pPr>
    </w:p>
    <w:p w14:paraId="2F4352E4" w14:textId="77777777" w:rsidR="005914D6" w:rsidRPr="0011175C" w:rsidRDefault="00443A66" w:rsidP="001F714C">
      <w:pPr>
        <w:rPr>
          <w:color w:val="000000" w:themeColor="text1"/>
          <w:sz w:val="24"/>
          <w:szCs w:val="24"/>
        </w:rPr>
      </w:pPr>
      <w:r w:rsidRPr="0011175C">
        <w:rPr>
          <w:b/>
          <w:color w:val="000000" w:themeColor="text1"/>
          <w:sz w:val="24"/>
          <w:szCs w:val="24"/>
        </w:rPr>
        <w:t xml:space="preserve">Overview </w:t>
      </w:r>
    </w:p>
    <w:p w14:paraId="44CFC646" w14:textId="77777777" w:rsidR="006063CE" w:rsidRDefault="006063CE" w:rsidP="006063CE">
      <w:pPr>
        <w:rPr>
          <w:color w:val="000000"/>
          <w:sz w:val="24"/>
          <w:szCs w:val="24"/>
        </w:rPr>
      </w:pPr>
      <w:bookmarkStart w:id="7" w:name="_Hlk129784880"/>
    </w:p>
    <w:p w14:paraId="71F65646" w14:textId="77777777" w:rsidR="00C42E01" w:rsidRDefault="00EF1A16" w:rsidP="00C42E01">
      <w:pPr>
        <w:shd w:val="clear" w:color="auto" w:fill="FFFFFF"/>
        <w:rPr>
          <w:color w:val="000000"/>
          <w:sz w:val="24"/>
          <w:szCs w:val="24"/>
        </w:rPr>
      </w:pPr>
      <w:r w:rsidRPr="0011175C">
        <w:rPr>
          <w:color w:val="000000"/>
          <w:sz w:val="24"/>
          <w:szCs w:val="24"/>
        </w:rPr>
        <w:t xml:space="preserve">The </w:t>
      </w:r>
      <w:r w:rsidR="009125C6" w:rsidRPr="00622464">
        <w:rPr>
          <w:i/>
          <w:color w:val="000000" w:themeColor="text1"/>
          <w:sz w:val="24"/>
          <w:szCs w:val="24"/>
        </w:rPr>
        <w:t>Broadcasting Services (Anti-Siphoning List) Instrument 2024</w:t>
      </w:r>
      <w:r w:rsidR="009125C6" w:rsidRPr="00D24F72">
        <w:rPr>
          <w:color w:val="000000" w:themeColor="text1"/>
          <w:sz w:val="24"/>
          <w:szCs w:val="24"/>
        </w:rPr>
        <w:t xml:space="preserve"> </w:t>
      </w:r>
      <w:r w:rsidRPr="0011175C">
        <w:rPr>
          <w:color w:val="000000" w:themeColor="text1"/>
          <w:sz w:val="24"/>
          <w:szCs w:val="24"/>
        </w:rPr>
        <w:t xml:space="preserve">(the </w:t>
      </w:r>
      <w:r w:rsidR="009125C6">
        <w:rPr>
          <w:color w:val="000000" w:themeColor="text1"/>
          <w:sz w:val="24"/>
          <w:szCs w:val="24"/>
        </w:rPr>
        <w:t>Instrument</w:t>
      </w:r>
      <w:r w:rsidRPr="0011175C">
        <w:rPr>
          <w:color w:val="000000" w:themeColor="text1"/>
          <w:sz w:val="24"/>
          <w:szCs w:val="24"/>
        </w:rPr>
        <w:t>)</w:t>
      </w:r>
      <w:r w:rsidR="001B2BAF" w:rsidRPr="0011175C">
        <w:rPr>
          <w:color w:val="000000" w:themeColor="text1"/>
          <w:sz w:val="24"/>
          <w:szCs w:val="24"/>
        </w:rPr>
        <w:t xml:space="preserve"> is a</w:t>
      </w:r>
      <w:r w:rsidRPr="0011175C">
        <w:rPr>
          <w:color w:val="000000" w:themeColor="text1"/>
          <w:sz w:val="24"/>
          <w:szCs w:val="24"/>
        </w:rPr>
        <w:t xml:space="preserve"> </w:t>
      </w:r>
      <w:r w:rsidRPr="0011175C">
        <w:rPr>
          <w:color w:val="000000"/>
          <w:sz w:val="24"/>
          <w:szCs w:val="24"/>
        </w:rPr>
        <w:t>legislative instrument made by the Minister</w:t>
      </w:r>
      <w:r w:rsidR="0048319B">
        <w:rPr>
          <w:color w:val="000000"/>
          <w:sz w:val="24"/>
          <w:szCs w:val="24"/>
        </w:rPr>
        <w:t xml:space="preserve"> for Communications (the Minister)</w:t>
      </w:r>
      <w:r w:rsidRPr="0011175C">
        <w:rPr>
          <w:color w:val="000000"/>
          <w:sz w:val="24"/>
          <w:szCs w:val="24"/>
        </w:rPr>
        <w:t xml:space="preserve"> under subsection </w:t>
      </w:r>
      <w:r w:rsidR="008F2E7B">
        <w:rPr>
          <w:color w:val="000000"/>
          <w:sz w:val="24"/>
          <w:szCs w:val="24"/>
        </w:rPr>
        <w:t>146</w:t>
      </w:r>
      <w:proofErr w:type="gramStart"/>
      <w:r w:rsidR="008F2E7B">
        <w:rPr>
          <w:color w:val="000000"/>
          <w:sz w:val="24"/>
          <w:szCs w:val="24"/>
        </w:rPr>
        <w:t>V</w:t>
      </w:r>
      <w:r w:rsidR="008F2E7B" w:rsidRPr="0059350E">
        <w:rPr>
          <w:color w:val="000000"/>
          <w:sz w:val="24"/>
          <w:szCs w:val="24"/>
        </w:rPr>
        <w:t>(</w:t>
      </w:r>
      <w:proofErr w:type="gramEnd"/>
      <w:r w:rsidR="008F2E7B" w:rsidRPr="0059350E">
        <w:rPr>
          <w:color w:val="000000"/>
          <w:sz w:val="24"/>
          <w:szCs w:val="24"/>
        </w:rPr>
        <w:t xml:space="preserve">1) </w:t>
      </w:r>
      <w:r w:rsidRPr="0011175C">
        <w:rPr>
          <w:color w:val="000000"/>
          <w:sz w:val="24"/>
          <w:szCs w:val="24"/>
        </w:rPr>
        <w:t xml:space="preserve">of the </w:t>
      </w:r>
      <w:r w:rsidRPr="0011175C">
        <w:rPr>
          <w:i/>
          <w:color w:val="000000"/>
          <w:sz w:val="24"/>
          <w:szCs w:val="24"/>
        </w:rPr>
        <w:t>B</w:t>
      </w:r>
      <w:r w:rsidR="001B2BAF" w:rsidRPr="0011175C">
        <w:rPr>
          <w:i/>
          <w:color w:val="000000"/>
          <w:sz w:val="24"/>
          <w:szCs w:val="24"/>
        </w:rPr>
        <w:t xml:space="preserve">roadcasting </w:t>
      </w:r>
      <w:r w:rsidRPr="0011175C">
        <w:rPr>
          <w:i/>
          <w:color w:val="000000"/>
          <w:sz w:val="24"/>
          <w:szCs w:val="24"/>
        </w:rPr>
        <w:t>S</w:t>
      </w:r>
      <w:r w:rsidR="001B2BAF" w:rsidRPr="0011175C">
        <w:rPr>
          <w:i/>
          <w:color w:val="000000"/>
          <w:sz w:val="24"/>
          <w:szCs w:val="24"/>
        </w:rPr>
        <w:t xml:space="preserve">ervices </w:t>
      </w:r>
      <w:r w:rsidRPr="0011175C">
        <w:rPr>
          <w:i/>
          <w:color w:val="000000"/>
          <w:sz w:val="24"/>
          <w:szCs w:val="24"/>
        </w:rPr>
        <w:t>A</w:t>
      </w:r>
      <w:r w:rsidR="001B2BAF" w:rsidRPr="0011175C">
        <w:rPr>
          <w:i/>
          <w:color w:val="000000"/>
          <w:sz w:val="24"/>
          <w:szCs w:val="24"/>
        </w:rPr>
        <w:t>ct 1992</w:t>
      </w:r>
      <w:r w:rsidR="009D7588" w:rsidRPr="0011175C">
        <w:rPr>
          <w:i/>
          <w:color w:val="000000"/>
          <w:sz w:val="24"/>
          <w:szCs w:val="24"/>
        </w:rPr>
        <w:t xml:space="preserve"> </w:t>
      </w:r>
      <w:r w:rsidR="009D7588" w:rsidRPr="0011175C">
        <w:rPr>
          <w:color w:val="000000"/>
          <w:sz w:val="24"/>
          <w:szCs w:val="24"/>
        </w:rPr>
        <w:t>(the Act)</w:t>
      </w:r>
      <w:r w:rsidRPr="0011175C">
        <w:rPr>
          <w:color w:val="000000"/>
          <w:sz w:val="24"/>
          <w:szCs w:val="24"/>
        </w:rPr>
        <w:t>, specifying the events which should, in the opinion of the Minister, b</w:t>
      </w:r>
      <w:r w:rsidR="001B2BAF" w:rsidRPr="0011175C">
        <w:rPr>
          <w:color w:val="000000"/>
          <w:sz w:val="24"/>
          <w:szCs w:val="24"/>
        </w:rPr>
        <w:t>e</w:t>
      </w:r>
      <w:r w:rsidRPr="0011175C">
        <w:rPr>
          <w:color w:val="000000"/>
          <w:sz w:val="24"/>
          <w:szCs w:val="24"/>
        </w:rPr>
        <w:t xml:space="preserve"> available free to the general public.</w:t>
      </w:r>
      <w:r w:rsidR="004E1A88" w:rsidRPr="0011175C">
        <w:rPr>
          <w:color w:val="000000"/>
          <w:sz w:val="24"/>
          <w:szCs w:val="24"/>
        </w:rPr>
        <w:t xml:space="preserve"> </w:t>
      </w:r>
    </w:p>
    <w:p w14:paraId="1258BC62" w14:textId="77777777" w:rsidR="00C42E01" w:rsidRDefault="00C42E01" w:rsidP="00C42E01">
      <w:pPr>
        <w:shd w:val="clear" w:color="auto" w:fill="FFFFFF"/>
        <w:rPr>
          <w:color w:val="000000"/>
          <w:sz w:val="24"/>
          <w:szCs w:val="24"/>
          <w:lang w:val="en-GB"/>
        </w:rPr>
      </w:pPr>
    </w:p>
    <w:p w14:paraId="713FC64D" w14:textId="77777777" w:rsidR="00C42E01" w:rsidRDefault="00EF1A16" w:rsidP="00C42E01">
      <w:pPr>
        <w:shd w:val="clear" w:color="auto" w:fill="FFFFFF"/>
        <w:rPr>
          <w:color w:val="000000" w:themeColor="text1"/>
          <w:sz w:val="24"/>
        </w:rPr>
      </w:pPr>
      <w:r w:rsidRPr="0011175C">
        <w:rPr>
          <w:color w:val="000000"/>
          <w:sz w:val="24"/>
          <w:szCs w:val="24"/>
          <w:lang w:val="en-GB"/>
        </w:rPr>
        <w:t>A</w:t>
      </w:r>
      <w:r w:rsidR="009125C6">
        <w:rPr>
          <w:color w:val="000000"/>
          <w:sz w:val="24"/>
          <w:szCs w:val="24"/>
          <w:lang w:val="en-GB"/>
        </w:rPr>
        <w:t xml:space="preserve">n instrument </w:t>
      </w:r>
      <w:r w:rsidRPr="0011175C">
        <w:rPr>
          <w:color w:val="000000"/>
          <w:sz w:val="24"/>
          <w:szCs w:val="24"/>
          <w:lang w:val="en-GB"/>
        </w:rPr>
        <w:t xml:space="preserve">made under subsection </w:t>
      </w:r>
      <w:r w:rsidR="008F2E7B">
        <w:rPr>
          <w:color w:val="000000"/>
          <w:sz w:val="24"/>
          <w:szCs w:val="24"/>
        </w:rPr>
        <w:t>146</w:t>
      </w:r>
      <w:proofErr w:type="gramStart"/>
      <w:r w:rsidR="008F2E7B">
        <w:rPr>
          <w:color w:val="000000"/>
          <w:sz w:val="24"/>
          <w:szCs w:val="24"/>
        </w:rPr>
        <w:t>V</w:t>
      </w:r>
      <w:r w:rsidR="008F2E7B" w:rsidRPr="0059350E">
        <w:rPr>
          <w:color w:val="000000"/>
          <w:sz w:val="24"/>
          <w:szCs w:val="24"/>
        </w:rPr>
        <w:t>(</w:t>
      </w:r>
      <w:proofErr w:type="gramEnd"/>
      <w:r w:rsidR="008F2E7B" w:rsidRPr="0059350E">
        <w:rPr>
          <w:color w:val="000000"/>
          <w:sz w:val="24"/>
          <w:szCs w:val="24"/>
        </w:rPr>
        <w:t xml:space="preserve">1) </w:t>
      </w:r>
      <w:r w:rsidRPr="0011175C">
        <w:rPr>
          <w:color w:val="000000"/>
          <w:sz w:val="24"/>
          <w:szCs w:val="24"/>
          <w:lang w:val="en-GB"/>
        </w:rPr>
        <w:t>of the Act is commonly known as the anti</w:t>
      </w:r>
      <w:r w:rsidR="00E41020" w:rsidRPr="0011175C">
        <w:rPr>
          <w:color w:val="000000"/>
          <w:sz w:val="24"/>
          <w:szCs w:val="24"/>
          <w:lang w:val="en-GB"/>
        </w:rPr>
        <w:noBreakHyphen/>
      </w:r>
      <w:r w:rsidRPr="0011175C">
        <w:rPr>
          <w:color w:val="000000"/>
          <w:sz w:val="24"/>
          <w:szCs w:val="24"/>
          <w:lang w:val="en-GB"/>
        </w:rPr>
        <w:t xml:space="preserve">siphoning list. </w:t>
      </w:r>
      <w:r w:rsidR="00C80B31" w:rsidRPr="0011175C">
        <w:rPr>
          <w:color w:val="000000" w:themeColor="text1"/>
          <w:sz w:val="24"/>
          <w:szCs w:val="24"/>
        </w:rPr>
        <w:t>The anti</w:t>
      </w:r>
      <w:r w:rsidR="00C80B31" w:rsidRPr="0011175C">
        <w:rPr>
          <w:color w:val="000000" w:themeColor="text1"/>
          <w:sz w:val="24"/>
          <w:szCs w:val="24"/>
        </w:rPr>
        <w:noBreakHyphen/>
        <w:t>siphoning list forms an integral part of the anti-siphoning scheme (</w:t>
      </w:r>
      <w:r w:rsidR="0008363D">
        <w:rPr>
          <w:color w:val="000000" w:themeColor="text1"/>
          <w:sz w:val="24"/>
          <w:szCs w:val="24"/>
        </w:rPr>
        <w:t>the scheme</w:t>
      </w:r>
      <w:r w:rsidR="00C42E01">
        <w:rPr>
          <w:color w:val="000000" w:themeColor="text1"/>
          <w:sz w:val="24"/>
          <w:szCs w:val="24"/>
        </w:rPr>
        <w:t>)</w:t>
      </w:r>
      <w:r w:rsidR="0008363D">
        <w:rPr>
          <w:color w:val="000000" w:themeColor="text1"/>
          <w:sz w:val="24"/>
          <w:szCs w:val="24"/>
        </w:rPr>
        <w:t xml:space="preserve">, </w:t>
      </w:r>
      <w:r w:rsidR="00C80B31" w:rsidRPr="0011175C">
        <w:rPr>
          <w:color w:val="000000" w:themeColor="text1"/>
          <w:sz w:val="24"/>
          <w:szCs w:val="24"/>
        </w:rPr>
        <w:t xml:space="preserve">as set out in </w:t>
      </w:r>
      <w:r w:rsidR="0008363D">
        <w:rPr>
          <w:color w:val="000000" w:themeColor="text1"/>
          <w:sz w:val="24"/>
        </w:rPr>
        <w:t>Part 10B of the Act</w:t>
      </w:r>
      <w:r w:rsidR="00C42E01">
        <w:rPr>
          <w:color w:val="000000" w:themeColor="text1"/>
          <w:sz w:val="24"/>
        </w:rPr>
        <w:t xml:space="preserve">. </w:t>
      </w:r>
    </w:p>
    <w:p w14:paraId="36A77BD9" w14:textId="77777777" w:rsidR="00C42E01" w:rsidRDefault="00C42E01" w:rsidP="00C42E01">
      <w:pPr>
        <w:shd w:val="clear" w:color="auto" w:fill="FFFFFF"/>
        <w:rPr>
          <w:color w:val="000000" w:themeColor="text1"/>
          <w:sz w:val="24"/>
        </w:rPr>
      </w:pPr>
    </w:p>
    <w:p w14:paraId="524701AF" w14:textId="77777777" w:rsidR="0008363D" w:rsidRDefault="00EA0B05" w:rsidP="0008363D">
      <w:pPr>
        <w:rPr>
          <w:color w:val="000000" w:themeColor="text1"/>
          <w:sz w:val="24"/>
          <w:szCs w:val="24"/>
        </w:rPr>
      </w:pPr>
      <w:r w:rsidRPr="0011175C">
        <w:rPr>
          <w:color w:val="000000" w:themeColor="text1"/>
          <w:sz w:val="24"/>
          <w:szCs w:val="24"/>
        </w:rPr>
        <w:t xml:space="preserve">The scheme operates </w:t>
      </w:r>
      <w:r w:rsidR="00FF2EA0">
        <w:rPr>
          <w:color w:val="000000" w:themeColor="text1"/>
          <w:sz w:val="24"/>
        </w:rPr>
        <w:t xml:space="preserve">to </w:t>
      </w:r>
      <w:r w:rsidR="0008363D">
        <w:rPr>
          <w:color w:val="000000" w:themeColor="text1"/>
          <w:sz w:val="24"/>
        </w:rPr>
        <w:t xml:space="preserve">prevent </w:t>
      </w:r>
      <w:r w:rsidR="0008363D">
        <w:rPr>
          <w:color w:val="000000" w:themeColor="text1"/>
          <w:sz w:val="24"/>
          <w:szCs w:val="24"/>
        </w:rPr>
        <w:t xml:space="preserve">the providers of </w:t>
      </w:r>
      <w:r w:rsidR="0008363D" w:rsidRPr="00156A60">
        <w:rPr>
          <w:color w:val="000000" w:themeColor="text1"/>
          <w:sz w:val="24"/>
          <w:szCs w:val="24"/>
        </w:rPr>
        <w:t xml:space="preserve">media content services (including, but not limited to, </w:t>
      </w:r>
      <w:r w:rsidR="0008363D">
        <w:rPr>
          <w:color w:val="000000" w:themeColor="text1"/>
          <w:sz w:val="24"/>
          <w:szCs w:val="24"/>
        </w:rPr>
        <w:t xml:space="preserve">subscription television broadcasting licensees and </w:t>
      </w:r>
      <w:r w:rsidR="0008363D" w:rsidRPr="00156A60">
        <w:rPr>
          <w:color w:val="000000" w:themeColor="text1"/>
          <w:sz w:val="24"/>
          <w:szCs w:val="24"/>
        </w:rPr>
        <w:t xml:space="preserve">streaming services) from acquiring </w:t>
      </w:r>
      <w:r w:rsidR="0008363D">
        <w:rPr>
          <w:color w:val="000000" w:themeColor="text1"/>
          <w:sz w:val="24"/>
          <w:szCs w:val="24"/>
        </w:rPr>
        <w:t xml:space="preserve">the </w:t>
      </w:r>
      <w:r w:rsidR="0008363D" w:rsidRPr="00156A60">
        <w:rPr>
          <w:color w:val="000000" w:themeColor="text1"/>
          <w:sz w:val="24"/>
          <w:szCs w:val="24"/>
        </w:rPr>
        <w:t>right to televise</w:t>
      </w:r>
      <w:r w:rsidR="0008363D">
        <w:rPr>
          <w:color w:val="000000" w:themeColor="text1"/>
          <w:sz w:val="24"/>
          <w:szCs w:val="24"/>
        </w:rPr>
        <w:t xml:space="preserve"> </w:t>
      </w:r>
      <w:r w:rsidR="0008363D" w:rsidRPr="00156A60">
        <w:rPr>
          <w:color w:val="000000" w:themeColor="text1"/>
          <w:sz w:val="24"/>
          <w:szCs w:val="24"/>
        </w:rPr>
        <w:t xml:space="preserve">or otherwise provide coverage of </w:t>
      </w:r>
      <w:r w:rsidR="0008363D">
        <w:rPr>
          <w:color w:val="000000" w:themeColor="text1"/>
          <w:sz w:val="24"/>
          <w:szCs w:val="24"/>
        </w:rPr>
        <w:t xml:space="preserve">the whole or a part of </w:t>
      </w:r>
      <w:r w:rsidR="0008363D" w:rsidRPr="00156A60">
        <w:rPr>
          <w:color w:val="000000" w:themeColor="text1"/>
          <w:sz w:val="24"/>
          <w:szCs w:val="24"/>
        </w:rPr>
        <w:t>a listed event to</w:t>
      </w:r>
      <w:r w:rsidR="0008363D">
        <w:rPr>
          <w:color w:val="000000" w:themeColor="text1"/>
          <w:sz w:val="24"/>
          <w:szCs w:val="24"/>
        </w:rPr>
        <w:t xml:space="preserve"> end-users</w:t>
      </w:r>
      <w:r w:rsidR="0008363D" w:rsidRPr="00156A60">
        <w:rPr>
          <w:color w:val="000000" w:themeColor="text1"/>
          <w:sz w:val="24"/>
          <w:szCs w:val="24"/>
        </w:rPr>
        <w:t xml:space="preserve"> in Australia</w:t>
      </w:r>
      <w:r w:rsidR="0008363D">
        <w:rPr>
          <w:color w:val="000000" w:themeColor="text1"/>
          <w:sz w:val="24"/>
          <w:szCs w:val="24"/>
        </w:rPr>
        <w:t xml:space="preserve"> unless </w:t>
      </w:r>
      <w:r w:rsidR="0008363D" w:rsidRPr="00156A60">
        <w:rPr>
          <w:color w:val="000000" w:themeColor="text1"/>
          <w:sz w:val="24"/>
          <w:szCs w:val="24"/>
        </w:rPr>
        <w:t xml:space="preserve">a free-to-air broadcaster has </w:t>
      </w:r>
      <w:r w:rsidR="0008363D">
        <w:rPr>
          <w:color w:val="000000" w:themeColor="text1"/>
          <w:sz w:val="24"/>
          <w:szCs w:val="24"/>
        </w:rPr>
        <w:t xml:space="preserve">the </w:t>
      </w:r>
      <w:r w:rsidR="0008363D" w:rsidRPr="00156A60">
        <w:rPr>
          <w:color w:val="000000" w:themeColor="text1"/>
          <w:sz w:val="24"/>
          <w:szCs w:val="24"/>
        </w:rPr>
        <w:t xml:space="preserve">right to televise the event on a broadcasting service. </w:t>
      </w:r>
      <w:r w:rsidR="0008363D" w:rsidRPr="003217D0">
        <w:rPr>
          <w:color w:val="000000" w:themeColor="text1"/>
          <w:sz w:val="24"/>
          <w:szCs w:val="24"/>
        </w:rPr>
        <w:t>The scheme provide</w:t>
      </w:r>
      <w:r w:rsidR="0008363D">
        <w:rPr>
          <w:color w:val="000000" w:themeColor="text1"/>
          <w:sz w:val="24"/>
          <w:szCs w:val="24"/>
        </w:rPr>
        <w:t>s</w:t>
      </w:r>
      <w:r w:rsidR="0008363D" w:rsidRPr="003217D0">
        <w:rPr>
          <w:color w:val="000000" w:themeColor="text1"/>
          <w:sz w:val="24"/>
          <w:szCs w:val="24"/>
        </w:rPr>
        <w:t xml:space="preserve"> that events are automatically removed from the list approximately 26 weeks prior to their commencement.</w:t>
      </w:r>
    </w:p>
    <w:p w14:paraId="091865DA" w14:textId="77777777" w:rsidR="00C42E01" w:rsidRDefault="00C42E01" w:rsidP="0008363D">
      <w:pPr>
        <w:rPr>
          <w:color w:val="000000" w:themeColor="text1"/>
          <w:sz w:val="24"/>
          <w:szCs w:val="24"/>
        </w:rPr>
      </w:pPr>
    </w:p>
    <w:p w14:paraId="0808166B" w14:textId="77777777" w:rsidR="00C42E01" w:rsidRDefault="00C42E01" w:rsidP="00C42E01">
      <w:pPr>
        <w:shd w:val="clear" w:color="auto" w:fill="FFFFFF"/>
        <w:rPr>
          <w:color w:val="000000"/>
          <w:sz w:val="24"/>
          <w:szCs w:val="24"/>
          <w:lang w:val="en-GB"/>
        </w:rPr>
      </w:pPr>
      <w:r>
        <w:rPr>
          <w:color w:val="000000" w:themeColor="text1"/>
          <w:sz w:val="24"/>
          <w:szCs w:val="24"/>
        </w:rPr>
        <w:t xml:space="preserve">The scheme (and list) are </w:t>
      </w:r>
      <w:r>
        <w:rPr>
          <w:color w:val="000000" w:themeColor="text1"/>
          <w:sz w:val="24"/>
        </w:rPr>
        <w:t xml:space="preserve">designed to further </w:t>
      </w:r>
      <w:r w:rsidRPr="003217D0">
        <w:rPr>
          <w:color w:val="000000"/>
          <w:sz w:val="24"/>
          <w:szCs w:val="24"/>
          <w:lang w:val="en-GB"/>
        </w:rPr>
        <w:t xml:space="preserve">the object </w:t>
      </w:r>
      <w:r>
        <w:rPr>
          <w:color w:val="000000"/>
          <w:sz w:val="24"/>
          <w:szCs w:val="24"/>
          <w:lang w:val="en-GB"/>
        </w:rPr>
        <w:t>specified in paragraph 3(</w:t>
      </w:r>
      <w:proofErr w:type="gramStart"/>
      <w:r>
        <w:rPr>
          <w:color w:val="000000"/>
          <w:sz w:val="24"/>
          <w:szCs w:val="24"/>
          <w:lang w:val="en-GB"/>
        </w:rPr>
        <w:t>1)(</w:t>
      </w:r>
      <w:proofErr w:type="gramEnd"/>
      <w:r>
        <w:rPr>
          <w:color w:val="000000"/>
          <w:sz w:val="24"/>
          <w:szCs w:val="24"/>
          <w:lang w:val="en-GB"/>
        </w:rPr>
        <w:t xml:space="preserve">eb) </w:t>
      </w:r>
      <w:r w:rsidRPr="003217D0">
        <w:rPr>
          <w:color w:val="000000"/>
          <w:sz w:val="24"/>
          <w:szCs w:val="24"/>
          <w:lang w:val="en-GB"/>
        </w:rPr>
        <w:t>of the Act</w:t>
      </w:r>
      <w:r>
        <w:rPr>
          <w:color w:val="000000"/>
          <w:sz w:val="24"/>
          <w:szCs w:val="24"/>
          <w:lang w:val="en-GB"/>
        </w:rPr>
        <w:t xml:space="preserve">: </w:t>
      </w:r>
      <w:r w:rsidRPr="003217D0">
        <w:rPr>
          <w:color w:val="000000"/>
          <w:sz w:val="24"/>
          <w:szCs w:val="24"/>
          <w:lang w:val="en-GB"/>
        </w:rPr>
        <w:t>to promote the free availability to audiences throughout</w:t>
      </w:r>
      <w:r>
        <w:rPr>
          <w:color w:val="000000"/>
          <w:sz w:val="24"/>
          <w:szCs w:val="24"/>
          <w:lang w:val="en-GB"/>
        </w:rPr>
        <w:t xml:space="preserve"> </w:t>
      </w:r>
      <w:r w:rsidRPr="003217D0">
        <w:rPr>
          <w:color w:val="000000"/>
          <w:sz w:val="24"/>
          <w:szCs w:val="24"/>
          <w:lang w:val="en-GB"/>
        </w:rPr>
        <w:t>Australia of television coverage of events of national</w:t>
      </w:r>
      <w:r>
        <w:rPr>
          <w:color w:val="000000"/>
          <w:sz w:val="24"/>
          <w:szCs w:val="24"/>
          <w:lang w:val="en-GB"/>
        </w:rPr>
        <w:t xml:space="preserve"> </w:t>
      </w:r>
      <w:r w:rsidRPr="003217D0">
        <w:rPr>
          <w:color w:val="000000"/>
          <w:sz w:val="24"/>
          <w:szCs w:val="24"/>
          <w:lang w:val="en-GB"/>
        </w:rPr>
        <w:t>importance and cultural significance</w:t>
      </w:r>
      <w:r>
        <w:rPr>
          <w:color w:val="000000"/>
          <w:sz w:val="24"/>
          <w:szCs w:val="24"/>
          <w:lang w:val="en-GB"/>
        </w:rPr>
        <w:t xml:space="preserve">. </w:t>
      </w:r>
    </w:p>
    <w:p w14:paraId="3950BF85" w14:textId="77777777" w:rsidR="0008363D" w:rsidRDefault="0008363D" w:rsidP="006063CE">
      <w:pPr>
        <w:rPr>
          <w:color w:val="000000" w:themeColor="text1"/>
          <w:sz w:val="24"/>
        </w:rPr>
      </w:pPr>
    </w:p>
    <w:bookmarkEnd w:id="7"/>
    <w:p w14:paraId="69D01114" w14:textId="77777777" w:rsidR="00E32D78" w:rsidRPr="0011175C" w:rsidRDefault="00E32D78" w:rsidP="001F714C">
      <w:pPr>
        <w:pStyle w:val="NormalWeb"/>
        <w:spacing w:before="0" w:beforeAutospacing="0" w:after="0" w:afterAutospacing="0"/>
        <w:rPr>
          <w:b/>
        </w:rPr>
      </w:pPr>
      <w:r w:rsidRPr="0011175C">
        <w:rPr>
          <w:b/>
        </w:rPr>
        <w:t>Statement of compatibility with human rights</w:t>
      </w:r>
    </w:p>
    <w:p w14:paraId="6E2C1C35" w14:textId="77777777" w:rsidR="006063CE" w:rsidRDefault="006063CE" w:rsidP="006063CE">
      <w:pPr>
        <w:pStyle w:val="NormalWeb"/>
        <w:spacing w:before="0" w:beforeAutospacing="0" w:after="0" w:afterAutospacing="0"/>
      </w:pPr>
    </w:p>
    <w:p w14:paraId="2D430555" w14:textId="77777777" w:rsidR="00E32D78" w:rsidRDefault="00E32D78" w:rsidP="006063CE">
      <w:pPr>
        <w:pStyle w:val="NormalWeb"/>
        <w:spacing w:before="0" w:beforeAutospacing="0" w:after="0" w:afterAutospacing="0"/>
      </w:pPr>
      <w:r w:rsidRPr="0011175C">
        <w:t xml:space="preserve">Subsection 9(1) of the </w:t>
      </w:r>
      <w:r w:rsidRPr="0011175C">
        <w:rPr>
          <w:i/>
        </w:rPr>
        <w:t>Human Rights (Parliamentary Scrutiny) Act 2011</w:t>
      </w:r>
      <w:r w:rsidRPr="0011175C">
        <w:t xml:space="preserve"> requires the rule</w:t>
      </w:r>
      <w:r w:rsidR="005D7500" w:rsidRPr="0011175C">
        <w:noBreakHyphen/>
      </w:r>
      <w:r w:rsidRPr="0011175C">
        <w:t xml:space="preserve">maker in relation to a legislative instrument to which section 42 (disallowance) of the </w:t>
      </w:r>
      <w:r w:rsidR="001B2BAF" w:rsidRPr="0011175C">
        <w:rPr>
          <w:i/>
        </w:rPr>
        <w:t>Legislation Act 2003</w:t>
      </w:r>
      <w:r w:rsidR="003008BF" w:rsidRPr="0011175C">
        <w:rPr>
          <w:i/>
        </w:rPr>
        <w:t xml:space="preserve"> </w:t>
      </w:r>
      <w:r w:rsidRPr="0011175C">
        <w:t xml:space="preserve">applies to cause a statement of compatibility with human rights to be prepared in respect of that legislative instrument. </w:t>
      </w:r>
    </w:p>
    <w:p w14:paraId="7F304CE4" w14:textId="77777777" w:rsidR="006063CE" w:rsidRPr="0011175C" w:rsidRDefault="006063CE" w:rsidP="001F714C">
      <w:pPr>
        <w:pStyle w:val="NormalWeb"/>
        <w:spacing w:before="0" w:beforeAutospacing="0" w:after="0" w:afterAutospacing="0"/>
      </w:pPr>
    </w:p>
    <w:p w14:paraId="7B02BDD0" w14:textId="77777777" w:rsidR="00E32D78" w:rsidRPr="0011175C" w:rsidRDefault="00E32D78" w:rsidP="001F714C">
      <w:pPr>
        <w:pStyle w:val="NormalWeb"/>
        <w:spacing w:before="0" w:beforeAutospacing="0" w:after="0" w:afterAutospacing="0"/>
      </w:pPr>
      <w:r w:rsidRPr="0011175C">
        <w:t>The statement of compatibility set out below has been prepared to meet that requirement.</w:t>
      </w:r>
    </w:p>
    <w:p w14:paraId="3338BF7C" w14:textId="77777777" w:rsidR="00AF532C" w:rsidRDefault="00AF532C" w:rsidP="006063CE">
      <w:pPr>
        <w:pStyle w:val="NormalWeb"/>
        <w:spacing w:before="0" w:beforeAutospacing="0" w:after="0" w:afterAutospacing="0"/>
      </w:pPr>
      <w:r w:rsidRPr="0011175C">
        <w:t>Australia is a signatory to the International Covenant on Civil and Political Rights (the ICCPR) and the International Covenant on Economic, Social and Cultural Rights (ICESCR) (two of the international instruments listed in section 3 of the </w:t>
      </w:r>
      <w:r w:rsidRPr="0011175C">
        <w:rPr>
          <w:i/>
        </w:rPr>
        <w:t>Human Rights (Parliamentary Scrutiny) Act 2011</w:t>
      </w:r>
      <w:r w:rsidRPr="0011175C">
        <w:t xml:space="preserve">). </w:t>
      </w:r>
    </w:p>
    <w:p w14:paraId="2316D9AE" w14:textId="77777777" w:rsidR="006063CE" w:rsidRPr="0011175C" w:rsidRDefault="006063CE" w:rsidP="001F714C">
      <w:pPr>
        <w:pStyle w:val="NormalWeb"/>
        <w:spacing w:before="0" w:beforeAutospacing="0" w:after="0" w:afterAutospacing="0"/>
      </w:pPr>
    </w:p>
    <w:p w14:paraId="3EA9B5B0" w14:textId="77777777" w:rsidR="00E32D78" w:rsidRDefault="00AF532C" w:rsidP="006063CE">
      <w:pPr>
        <w:pStyle w:val="NormalWeb"/>
        <w:spacing w:before="0" w:beforeAutospacing="0" w:after="0" w:afterAutospacing="0"/>
        <w:rPr>
          <w:color w:val="000000"/>
        </w:rPr>
      </w:pPr>
      <w:r w:rsidRPr="0011175C">
        <w:t xml:space="preserve">Article 15(1) </w:t>
      </w:r>
      <w:r w:rsidR="00C06E8A" w:rsidRPr="0011175C">
        <w:t>of the ICESCR recognises</w:t>
      </w:r>
      <w:r w:rsidRPr="0011175C">
        <w:t xml:space="preserve"> the right of everyone to take part in cultural life. Cultural life includes sports.</w:t>
      </w:r>
      <w:r w:rsidR="00C06E8A" w:rsidRPr="0011175C">
        <w:t xml:space="preserve"> </w:t>
      </w:r>
      <w:r w:rsidR="00E32D78" w:rsidRPr="0011175C">
        <w:rPr>
          <w:color w:val="000000"/>
        </w:rPr>
        <w:t>Articles 19(2) and 27 of the ICCPR also respectively:</w:t>
      </w:r>
    </w:p>
    <w:p w14:paraId="0FABF3BD" w14:textId="77777777" w:rsidR="006063CE" w:rsidRPr="0011175C" w:rsidRDefault="006063CE" w:rsidP="001F714C">
      <w:pPr>
        <w:pStyle w:val="NormalWeb"/>
        <w:spacing w:before="0" w:beforeAutospacing="0" w:after="0" w:afterAutospacing="0"/>
      </w:pPr>
    </w:p>
    <w:p w14:paraId="52B2421F" w14:textId="77777777" w:rsidR="006063CE" w:rsidRPr="0011175C" w:rsidRDefault="00E32D78" w:rsidP="001F714C">
      <w:pPr>
        <w:pStyle w:val="NormalWeb"/>
        <w:numPr>
          <w:ilvl w:val="0"/>
          <w:numId w:val="33"/>
        </w:numPr>
        <w:spacing w:before="0" w:beforeAutospacing="0" w:after="0" w:afterAutospacing="0"/>
        <w:rPr>
          <w:color w:val="000000"/>
        </w:rPr>
      </w:pPr>
      <w:r w:rsidRPr="0011175C">
        <w:rPr>
          <w:color w:val="000000"/>
        </w:rPr>
        <w:lastRenderedPageBreak/>
        <w:t>recognise the right to freedom of expression, including the right to receive and impart information and ideas of all kinds, regardless of frontiers, either orally, in writing or in print, in the form of art, or through any other media of a person’s choice; and</w:t>
      </w:r>
    </w:p>
    <w:p w14:paraId="1B9F7C66" w14:textId="77777777" w:rsidR="006063CE" w:rsidRDefault="006063CE" w:rsidP="001F714C">
      <w:pPr>
        <w:pStyle w:val="NormalWeb"/>
        <w:spacing w:before="0" w:beforeAutospacing="0" w:after="0" w:afterAutospacing="0"/>
        <w:ind w:left="360"/>
        <w:rPr>
          <w:color w:val="000000"/>
        </w:rPr>
      </w:pPr>
    </w:p>
    <w:p w14:paraId="5074266D" w14:textId="77777777" w:rsidR="00E32D78" w:rsidRPr="006063CE" w:rsidRDefault="00E32D78" w:rsidP="001F714C">
      <w:pPr>
        <w:pStyle w:val="NormalWeb"/>
        <w:numPr>
          <w:ilvl w:val="0"/>
          <w:numId w:val="33"/>
        </w:numPr>
        <w:spacing w:before="0" w:beforeAutospacing="0" w:after="0" w:afterAutospacing="0"/>
        <w:rPr>
          <w:color w:val="000000"/>
        </w:rPr>
      </w:pPr>
      <w:r w:rsidRPr="005357C1">
        <w:rPr>
          <w:color w:val="000000"/>
        </w:rPr>
        <w:t>provide that ethnic, religious or linguistic minorities shall not be denied the right to enjoy their own culture.</w:t>
      </w:r>
    </w:p>
    <w:p w14:paraId="12F3077B" w14:textId="77777777" w:rsidR="006063CE" w:rsidRDefault="006063CE" w:rsidP="006063CE">
      <w:pPr>
        <w:pStyle w:val="NormalWeb"/>
        <w:spacing w:before="0" w:beforeAutospacing="0" w:after="0" w:afterAutospacing="0"/>
        <w:rPr>
          <w:color w:val="000000"/>
        </w:rPr>
      </w:pPr>
    </w:p>
    <w:p w14:paraId="1072B208" w14:textId="77777777" w:rsidR="00E32D78" w:rsidRDefault="00E32D78" w:rsidP="006063CE">
      <w:pPr>
        <w:pStyle w:val="NormalWeb"/>
        <w:spacing w:before="0" w:beforeAutospacing="0" w:after="0" w:afterAutospacing="0"/>
        <w:rPr>
          <w:color w:val="000000"/>
        </w:rPr>
      </w:pPr>
      <w:r w:rsidRPr="0011175C">
        <w:rPr>
          <w:color w:val="000000"/>
        </w:rPr>
        <w:t>The UN Committee on Economic, Social and Cultural Rights has given a very broad interpretation to the term ‘culture’. This could potentially include the ability to access or participate in sporting events through viewing these events live or on television. The current anti-siphoning</w:t>
      </w:r>
      <w:r w:rsidR="005C77CC">
        <w:rPr>
          <w:color w:val="000000"/>
        </w:rPr>
        <w:t xml:space="preserve"> list </w:t>
      </w:r>
      <w:r w:rsidRPr="0011175C">
        <w:rPr>
          <w:color w:val="000000"/>
        </w:rPr>
        <w:t>consists entirely of sporting events. There are no limitations on events which could be added to the</w:t>
      </w:r>
      <w:r w:rsidR="00B17134" w:rsidRPr="0011175C">
        <w:rPr>
          <w:color w:val="000000"/>
        </w:rPr>
        <w:t xml:space="preserve"> anti-siphoning</w:t>
      </w:r>
      <w:r w:rsidRPr="0011175C">
        <w:rPr>
          <w:color w:val="000000"/>
        </w:rPr>
        <w:t xml:space="preserve"> list, other than that the Minister must be of the opinion that those events should be available free to the public. Arguably, the </w:t>
      </w:r>
      <w:r w:rsidR="00E41020" w:rsidRPr="0011175C">
        <w:rPr>
          <w:color w:val="000000"/>
        </w:rPr>
        <w:t>inclusion</w:t>
      </w:r>
      <w:r w:rsidR="00C06E8A" w:rsidRPr="0011175C">
        <w:rPr>
          <w:color w:val="000000"/>
        </w:rPr>
        <w:t xml:space="preserve"> of events</w:t>
      </w:r>
      <w:r w:rsidR="00E41020" w:rsidRPr="0011175C">
        <w:rPr>
          <w:color w:val="000000"/>
        </w:rPr>
        <w:t xml:space="preserve"> on the anti-siphoning list</w:t>
      </w:r>
      <w:r w:rsidRPr="0011175C">
        <w:rPr>
          <w:color w:val="000000"/>
        </w:rPr>
        <w:t xml:space="preserve"> promotes both the right to receive information and to take part in culture.</w:t>
      </w:r>
    </w:p>
    <w:p w14:paraId="1B24A72A" w14:textId="77777777" w:rsidR="006063CE" w:rsidRPr="0011175C" w:rsidRDefault="006063CE" w:rsidP="001F714C">
      <w:pPr>
        <w:pStyle w:val="NormalWeb"/>
        <w:spacing w:before="0" w:beforeAutospacing="0" w:after="0" w:afterAutospacing="0"/>
        <w:rPr>
          <w:color w:val="000000"/>
        </w:rPr>
      </w:pPr>
    </w:p>
    <w:p w14:paraId="682DA9F5" w14:textId="77777777" w:rsidR="00285AA4" w:rsidRPr="0011175C" w:rsidRDefault="000F16C6" w:rsidP="001F714C">
      <w:pPr>
        <w:rPr>
          <w:color w:val="000000" w:themeColor="text1"/>
          <w:sz w:val="24"/>
          <w:szCs w:val="24"/>
        </w:rPr>
      </w:pPr>
      <w:r w:rsidRPr="0011175C">
        <w:rPr>
          <w:b/>
          <w:color w:val="000000" w:themeColor="text1"/>
          <w:sz w:val="24"/>
          <w:szCs w:val="24"/>
        </w:rPr>
        <w:t>Human rights implications</w:t>
      </w:r>
    </w:p>
    <w:p w14:paraId="3ADE0295" w14:textId="77777777" w:rsidR="006063CE" w:rsidRDefault="006063CE" w:rsidP="006063CE">
      <w:pPr>
        <w:shd w:val="clear" w:color="auto" w:fill="FFFFFF"/>
        <w:rPr>
          <w:color w:val="000000"/>
          <w:sz w:val="24"/>
          <w:szCs w:val="24"/>
        </w:rPr>
      </w:pPr>
    </w:p>
    <w:p w14:paraId="7215DB27" w14:textId="77777777" w:rsidR="00285AA4" w:rsidRPr="0011175C" w:rsidRDefault="00285AA4" w:rsidP="005357C1">
      <w:pPr>
        <w:shd w:val="clear" w:color="auto" w:fill="FFFFFF"/>
        <w:rPr>
          <w:color w:val="000000"/>
        </w:rPr>
      </w:pPr>
      <w:r w:rsidRPr="0011175C">
        <w:rPr>
          <w:color w:val="000000"/>
          <w:sz w:val="24"/>
          <w:szCs w:val="24"/>
        </w:rPr>
        <w:t>The</w:t>
      </w:r>
      <w:r w:rsidR="005C77CC">
        <w:rPr>
          <w:color w:val="000000"/>
          <w:sz w:val="24"/>
          <w:szCs w:val="24"/>
        </w:rPr>
        <w:t xml:space="preserve"> Instrument</w:t>
      </w:r>
      <w:r w:rsidRPr="0011175C">
        <w:rPr>
          <w:color w:val="000000"/>
          <w:sz w:val="24"/>
          <w:szCs w:val="24"/>
        </w:rPr>
        <w:t xml:space="preserve"> is compatible with the human rights and freedoms recognised or declared in the international instruments listed in section 3 of the </w:t>
      </w:r>
      <w:r w:rsidRPr="0011175C">
        <w:rPr>
          <w:i/>
          <w:iCs/>
          <w:color w:val="000000"/>
          <w:sz w:val="24"/>
          <w:szCs w:val="24"/>
        </w:rPr>
        <w:t>Human Rights (Parliamentary Scrutiny) Act 2011</w:t>
      </w:r>
      <w:r w:rsidRPr="0011175C">
        <w:rPr>
          <w:color w:val="000000"/>
          <w:sz w:val="24"/>
          <w:szCs w:val="24"/>
        </w:rPr>
        <w:t xml:space="preserve">. This is because the </w:t>
      </w:r>
      <w:r w:rsidR="005C77CC">
        <w:rPr>
          <w:color w:val="000000"/>
          <w:sz w:val="24"/>
          <w:szCs w:val="24"/>
        </w:rPr>
        <w:t>Instrument</w:t>
      </w:r>
      <w:r w:rsidRPr="0011175C">
        <w:rPr>
          <w:color w:val="000000"/>
          <w:sz w:val="24"/>
          <w:szCs w:val="24"/>
        </w:rPr>
        <w:t xml:space="preserve"> promotes freedom of expression and cultural rights by facilitating greater access by all Australians to </w:t>
      </w:r>
      <w:r w:rsidR="00355FD1" w:rsidRPr="0011175C">
        <w:rPr>
          <w:color w:val="000000"/>
          <w:sz w:val="24"/>
          <w:szCs w:val="24"/>
        </w:rPr>
        <w:t xml:space="preserve">free </w:t>
      </w:r>
      <w:r w:rsidRPr="0011175C">
        <w:rPr>
          <w:color w:val="000000"/>
          <w:sz w:val="24"/>
          <w:szCs w:val="24"/>
        </w:rPr>
        <w:t xml:space="preserve">coverage of </w:t>
      </w:r>
      <w:r w:rsidR="00FE3899" w:rsidRPr="0011175C">
        <w:rPr>
          <w:color w:val="000000"/>
          <w:sz w:val="24"/>
          <w:szCs w:val="24"/>
        </w:rPr>
        <w:t>sporting events</w:t>
      </w:r>
      <w:r w:rsidRPr="0011175C">
        <w:rPr>
          <w:color w:val="000000"/>
          <w:sz w:val="24"/>
          <w:szCs w:val="24"/>
          <w:lang w:val="en-GB"/>
        </w:rPr>
        <w:t>.</w:t>
      </w:r>
    </w:p>
    <w:p w14:paraId="4B855CE1" w14:textId="77777777" w:rsidR="000F16C6" w:rsidRPr="0011175C" w:rsidRDefault="00285AA4">
      <w:pPr>
        <w:shd w:val="clear" w:color="auto" w:fill="FFFFFF"/>
        <w:rPr>
          <w:color w:val="000000"/>
        </w:rPr>
      </w:pPr>
      <w:r w:rsidRPr="0011175C">
        <w:rPr>
          <w:color w:val="000000"/>
          <w:sz w:val="24"/>
          <w:szCs w:val="24"/>
        </w:rPr>
        <w:t> </w:t>
      </w:r>
    </w:p>
    <w:p w14:paraId="56490B5D" w14:textId="77777777" w:rsidR="000F16C6" w:rsidRPr="0011175C" w:rsidRDefault="000F16C6" w:rsidP="001F714C">
      <w:pPr>
        <w:rPr>
          <w:color w:val="000000" w:themeColor="text1"/>
          <w:sz w:val="24"/>
          <w:szCs w:val="24"/>
        </w:rPr>
      </w:pPr>
      <w:r w:rsidRPr="0011175C">
        <w:rPr>
          <w:b/>
          <w:color w:val="000000" w:themeColor="text1"/>
          <w:sz w:val="24"/>
          <w:szCs w:val="24"/>
        </w:rPr>
        <w:t>Conclusion</w:t>
      </w:r>
    </w:p>
    <w:p w14:paraId="4B45D0A4" w14:textId="77777777" w:rsidR="006063CE" w:rsidRDefault="006063CE" w:rsidP="006063CE">
      <w:pPr>
        <w:rPr>
          <w:color w:val="000000" w:themeColor="text1"/>
          <w:sz w:val="24"/>
          <w:szCs w:val="24"/>
        </w:rPr>
      </w:pPr>
    </w:p>
    <w:p w14:paraId="506205F5" w14:textId="77777777" w:rsidR="00442103" w:rsidRPr="00D24F72" w:rsidRDefault="000F16C6" w:rsidP="005357C1">
      <w:pPr>
        <w:rPr>
          <w:color w:val="000000" w:themeColor="text1"/>
          <w:sz w:val="24"/>
          <w:szCs w:val="24"/>
        </w:rPr>
      </w:pPr>
      <w:r w:rsidRPr="0011175C">
        <w:rPr>
          <w:color w:val="000000" w:themeColor="text1"/>
          <w:sz w:val="24"/>
          <w:szCs w:val="24"/>
        </w:rPr>
        <w:t xml:space="preserve">This </w:t>
      </w:r>
      <w:r w:rsidR="005C77CC">
        <w:rPr>
          <w:color w:val="000000" w:themeColor="text1"/>
          <w:sz w:val="24"/>
          <w:szCs w:val="24"/>
        </w:rPr>
        <w:t>Instrument</w:t>
      </w:r>
      <w:r w:rsidRPr="0011175C">
        <w:rPr>
          <w:color w:val="000000" w:themeColor="text1"/>
          <w:sz w:val="24"/>
          <w:szCs w:val="24"/>
        </w:rPr>
        <w:t xml:space="preserve"> is compatible with human rights as it does not raise any human rights issues.</w:t>
      </w:r>
    </w:p>
    <w:p w14:paraId="5B8B74CC" w14:textId="77777777" w:rsidR="000F16C6" w:rsidRPr="00D24F72" w:rsidRDefault="000F16C6">
      <w:pPr>
        <w:spacing w:after="200" w:line="276" w:lineRule="auto"/>
        <w:rPr>
          <w:color w:val="000000" w:themeColor="text1"/>
          <w:sz w:val="24"/>
          <w:szCs w:val="24"/>
        </w:rPr>
      </w:pPr>
    </w:p>
    <w:sectPr w:rsidR="000F16C6" w:rsidRPr="00D24F72" w:rsidSect="001F714C">
      <w:headerReference w:type="default" r:id="rId17"/>
      <w:footerReference w:type="first" r:id="rId18"/>
      <w:pgSz w:w="11906" w:h="16838" w:code="9"/>
      <w:pgMar w:top="851" w:right="1440" w:bottom="709" w:left="1440" w:header="0" w:footer="2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07B3B" w14:textId="77777777" w:rsidR="000D40FA" w:rsidRDefault="000D40FA" w:rsidP="009A5536">
      <w:r>
        <w:separator/>
      </w:r>
    </w:p>
  </w:endnote>
  <w:endnote w:type="continuationSeparator" w:id="0">
    <w:p w14:paraId="17E449CC" w14:textId="77777777" w:rsidR="000D40FA" w:rsidRDefault="000D40FA" w:rsidP="009A5536">
      <w:r>
        <w:continuationSeparator/>
      </w:r>
    </w:p>
  </w:endnote>
  <w:endnote w:type="continuationNotice" w:id="1">
    <w:p w14:paraId="7D1DD022" w14:textId="77777777" w:rsidR="000D40FA" w:rsidRDefault="000D4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2231" w14:textId="77777777" w:rsidR="00A10FEB" w:rsidRDefault="00A10FEB" w:rsidP="00D74681">
    <w:pPr>
      <w:pStyle w:val="Footer"/>
      <w:spacing w:before="720"/>
      <w:jc w:val="right"/>
    </w:pPr>
    <w:r>
      <w:rPr>
        <w:noProof/>
      </w:rPr>
      <mc:AlternateContent>
        <mc:Choice Requires="wps">
          <w:drawing>
            <wp:anchor distT="0" distB="0" distL="114300" distR="114300" simplePos="0" relativeHeight="251662343" behindDoc="1" locked="1" layoutInCell="1" allowOverlap="1" wp14:anchorId="75252E62" wp14:editId="2E716727">
              <wp:simplePos x="0" y="0"/>
              <wp:positionH relativeFrom="page">
                <wp:align>left</wp:align>
              </wp:positionH>
              <wp:positionV relativeFrom="page">
                <wp:align>bottom</wp:align>
              </wp:positionV>
              <wp:extent cx="1007280" cy="539280"/>
              <wp:effectExtent l="0" t="0" r="254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49E9298" w14:textId="77777777" w:rsidR="00A10FEB" w:rsidRPr="007A05BE" w:rsidRDefault="00A10FEB"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52E62" id="_x0000_t202" coordsize="21600,21600" o:spt="202" path="m,l,21600r21600,l21600,xe">
              <v:stroke joinstyle="miter"/>
              <v:path gradientshapeok="t" o:connecttype="rect"/>
            </v:shapetype>
            <v:shape id="Text Box 1" o:spid="_x0000_s1026" type="#_x0000_t202" style="position:absolute;left:0;text-align:left;margin-left:0;margin-top:0;width:79.3pt;height:42.45pt;z-index:-2516541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wtgQIAAAoFAAAOAAAAZHJzL2Uyb0RvYy54bWysVE1v2zAMvQ/YfxB0T+18NE2MOEXSLsOA&#10;oi3QDj0rspwYsCVNUmJ3Q//7nmQ7GbodhmGHKBRJkXx8pBfXTVWSozC2UDKlw4uYEiG5ygq5S+nX&#10;581gRol1TGasVFKk9FVYer38+GFR60SM1F6VmTAEQaRNap3SvXM6iSLL96Ji9kJpIWHMlamYw9Xs&#10;osywGtGrMhrF8TSqlcm0UVxYC+1ta6TLED/PBXcPeW6FI2VKUZsLpwnn1p/RcsGSnWF6X/CuDPYP&#10;VVSskEh6CnXLHCMHU/wWqiq4UVbl7oKrKlJ5XnARMADNMH6H5mnPtAhY0ByrT22y/y8svz8+GlJk&#10;4I4SySpQ9CwaR9aqIcOACLc76zw2rw+YftwMZ+Pbq810sJ7MZ4PJeD0ezCez9WB4NZqtL0er1fTT&#10;5M2/zgRP8FOGueIo+gZD83cIOq59b66icxxKjgx8Dj17Uair/w+VRrW2SQDmxyCITxooXQNU3TOv&#10;t1B6XE1uKv8PNgjsGJPX02h4zNw/imNgg4nDdjmee7nN3r/WxrrPQlXECyk1GL3QP3ZEUa1r7+KT&#10;SbUpyjKMXylJndLp+DIOD04WQCslkJ1r9ZJrtg2eeXGrslfgMqoda6v5pkDyO2bdIzOYY9SL3XQP&#10;OPJSIYnqJEr2ynz/k977gxxYKamxFym13w7MCErKLxKDN53M4thvUrhBML2wDcJ4CjPU8lDdqEAS&#10;QV1B9M6u7MXcqOoFy7vy+WBikiNrSre9eOPaPcXyc7FaBScsjWbuTj5pTFA7n76pz80LM7rrvANn&#10;96rfHZa8I6D1bSlYHZzKi8DOuZ9dx7FwYaq6j4Pf6F/vwev8CVv+BA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C6duwtgQIA&#10;AAoFAAAOAAAAAAAAAAAAAAAAAC4CAABkcnMvZTJvRG9jLnhtbFBLAQItABQABgAIAAAAIQBJDJB4&#10;3AAAAAQBAAAPAAAAAAAAAAAAAAAAANsEAABkcnMvZG93bnJldi54bWxQSwUGAAAAAAQABADzAAAA&#10;5AUAAAAA&#10;" filled="f" stroked="f" strokeweight=".5pt">
              <v:textbox inset="18mm,0,0,10mm">
                <w:txbxContent>
                  <w:p w14:paraId="549E9298" w14:textId="77777777" w:rsidR="00A10FEB" w:rsidRPr="007A05BE" w:rsidRDefault="00A10FEB" w:rsidP="00D74681">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1319" behindDoc="1" locked="1" layoutInCell="1" allowOverlap="1" wp14:anchorId="4F8F1F41" wp14:editId="40AEE385">
              <wp:simplePos x="0" y="0"/>
              <wp:positionH relativeFrom="page">
                <wp:align>left</wp:align>
              </wp:positionH>
              <wp:positionV relativeFrom="page">
                <wp:align>bottom</wp:align>
              </wp:positionV>
              <wp:extent cx="4320000" cy="539280"/>
              <wp:effectExtent l="0" t="0" r="444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173A8132" w14:textId="77777777" w:rsidR="00A10FEB" w:rsidRDefault="00A10FEB" w:rsidP="00D74681">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F1F41" id="Text Box 3" o:spid="_x0000_s1027" type="#_x0000_t202" style="position:absolute;left:0;text-align:left;margin-left:0;margin-top:0;width:340.15pt;height:42.45pt;z-index:-25165516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q9hwIAABIFAAAOAAAAZHJzL2Uyb0RvYy54bWysVMFu2zAMvQ/YPwi6p7bjNHWNOkXSLsOA&#10;oi3QDjsrstwYsEVNUmJ3w/59FGMnQ7fDMOxgmSIlko+P1NV13zZsr6yrQRc8OYs5U1pCWeuXgn9+&#10;Xk8yzpwXuhQNaFXwV+X49eL9u6vO5GoKW2hKZRk60S7vTMG33ps8ipzcqla4MzBKo7EC2wqPW/sS&#10;lVZ06L1tomkcz6MObGksSOUcam8PRr4g/1WlpH+oKqc8awqOuXlaLa2bsEaLK5G/WGG2tRzSEP+Q&#10;RStqjUGPrm6FF2xn699ctbW04KDyZxLaCKqqloowIJokfoPmaSuMIixYHGeOZXL/z6283z9aVpcF&#10;TznTokWKnlXv2Qp6lhIi3N05H7AFPWH6fpNk6e3Fej5ZzS6zySxdpZPLWbaaJBfTbHU+XS7nH2Y/&#10;wu1SyRw/sMLXezUWGDV/h2DgOtTmIjr54WwvkM8ksBdRXuOfMo0643ICFtqAxCeDKH2PqIZrQe9Q&#10;GXD1lW3DH9lgaMc2eT22RsAsUTlLsdtiNEm0naeX04x6B6OPt411/qOClgWh4BZbj+on9pjUIdHx&#10;SAimYV03DbVfo1lX8Hl6HtOFowWdNxqRnXINku83PRFG8INmA+UrwrNw6G5n5LrGHO6E84/CYjtj&#10;2jii/gGXqgGMBYPE2Rbstz/pw3nkCK2cdTgeBXdfd8IqzppPGvsvieOM6uFpixHsKGxISOeHeuld&#10;ewNEFsPESAyHfTOKlYX2Cw7xMgREk9ASwxZ8M4o3/jCv+AhItVzSIRweI/ydfjLYSQmVLRT3uf8i&#10;rBkY8MjdPYwzJPI3RBzOHqhY7jxUNbF0KuhQeRw86q7hkQiT/eueTp2essVPAA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BnK2r2HAgAAEgUAAA4AAAAAAAAAAAAAAAAALgIAAGRycy9lMm9Eb2MueG1sUEsBAi0AFAAGAAgA&#10;AAAhACBqFVbeAAAABAEAAA8AAAAAAAAAAAAAAAAA4QQAAGRycy9kb3ducmV2LnhtbFBLBQYAAAAA&#10;BAAEAPMAAADsBQAAAAA=&#10;" filled="f" stroked="f" strokeweight=".5pt">
              <v:textbox inset="28mm,0,0,10mm">
                <w:txbxContent>
                  <w:sdt>
                    <w:sdtPr>
                      <w:alias w:val="Title"/>
                      <w:tag w:val=""/>
                      <w:id w:val="1728796528"/>
                      <w:showingPlcHdr/>
                      <w:dataBinding w:prefixMappings="xmlns:ns0='http://purl.org/dc/elements/1.1/' xmlns:ns1='http://schemas.openxmlformats.org/package/2006/metadata/core-properties' " w:xpath="/ns1:coreProperties[1]/ns0:title[1]" w:storeItemID="{6C3C8BC8-F283-45AE-878A-BAB7291924A1}"/>
                      <w:text/>
                    </w:sdtPr>
                    <w:sdtEndPr/>
                    <w:sdtContent>
                      <w:p w14:paraId="173A8132" w14:textId="77777777" w:rsidR="00A10FEB" w:rsidRDefault="00A10FEB" w:rsidP="00D74681">
                        <w:pPr>
                          <w:pStyle w:val="Footer"/>
                        </w:pPr>
                        <w:r>
                          <w:t xml:space="preserve">     </w:t>
                        </w:r>
                      </w:p>
                    </w:sdtContent>
                  </w:sdt>
                </w:txbxContent>
              </v:textbox>
              <w10:wrap anchorx="page" anchory="page"/>
              <w10:anchorlock/>
            </v:shape>
          </w:pict>
        </mc:Fallback>
      </mc:AlternateContent>
    </w:r>
    <w:r>
      <w:rPr>
        <w:noProof/>
      </w:rPr>
      <w:drawing>
        <wp:anchor distT="0" distB="0" distL="114300" distR="114300" simplePos="0" relativeHeight="251660295" behindDoc="1" locked="1" layoutInCell="1" allowOverlap="1" wp14:anchorId="105B362B" wp14:editId="1639C2BA">
          <wp:simplePos x="0" y="0"/>
          <wp:positionH relativeFrom="page">
            <wp:align>right</wp:align>
          </wp:positionH>
          <wp:positionV relativeFrom="page">
            <wp:align>bottom</wp:align>
          </wp:positionV>
          <wp:extent cx="10692000" cy="183240"/>
          <wp:effectExtent l="0" t="0" r="0" b="762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27756"/>
      <w:docPartObj>
        <w:docPartGallery w:val="Page Numbers (Bottom of Page)"/>
        <w:docPartUnique/>
      </w:docPartObj>
    </w:sdtPr>
    <w:sdtEndPr>
      <w:rPr>
        <w:noProof/>
      </w:rPr>
    </w:sdtEndPr>
    <w:sdtContent>
      <w:p w14:paraId="21DE6DDC" w14:textId="77777777" w:rsidR="00A10FEB" w:rsidRDefault="00A10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294F43" w14:textId="77777777" w:rsidR="00A10FEB" w:rsidRDefault="00A10FEB" w:rsidP="00D74681">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747340"/>
      <w:docPartObj>
        <w:docPartGallery w:val="Page Numbers (Bottom of Page)"/>
        <w:docPartUnique/>
      </w:docPartObj>
    </w:sdtPr>
    <w:sdtEndPr>
      <w:rPr>
        <w:noProof/>
      </w:rPr>
    </w:sdtEndPr>
    <w:sdtContent>
      <w:p w14:paraId="7EB6892D" w14:textId="77777777" w:rsidR="00A10FEB" w:rsidRDefault="00A10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98EDD" w14:textId="77777777" w:rsidR="00A10FEB" w:rsidRDefault="00A10F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542825"/>
      <w:docPartObj>
        <w:docPartGallery w:val="Page Numbers (Bottom of Page)"/>
        <w:docPartUnique/>
      </w:docPartObj>
    </w:sdtPr>
    <w:sdtEndPr>
      <w:rPr>
        <w:noProof/>
      </w:rPr>
    </w:sdtEndPr>
    <w:sdtContent>
      <w:p w14:paraId="74A8FD6A" w14:textId="77777777" w:rsidR="00A10FEB" w:rsidRDefault="00A10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EC1AC" w14:textId="77777777" w:rsidR="00A10FEB" w:rsidRDefault="00A1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8A831" w14:textId="77777777" w:rsidR="000D40FA" w:rsidRDefault="000D40FA" w:rsidP="009A5536">
      <w:r>
        <w:separator/>
      </w:r>
    </w:p>
  </w:footnote>
  <w:footnote w:type="continuationSeparator" w:id="0">
    <w:p w14:paraId="41C94F4B" w14:textId="77777777" w:rsidR="000D40FA" w:rsidRDefault="000D40FA" w:rsidP="009A5536">
      <w:r>
        <w:continuationSeparator/>
      </w:r>
    </w:p>
  </w:footnote>
  <w:footnote w:type="continuationNotice" w:id="1">
    <w:p w14:paraId="3F760667" w14:textId="77777777" w:rsidR="000D40FA" w:rsidRDefault="000D4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6A02" w14:textId="77777777" w:rsidR="00A10FEB" w:rsidRDefault="00A10FEB" w:rsidP="00D74681">
    <w:pPr>
      <w:pStyle w:val="Header"/>
      <w:spacing w:after="1320"/>
    </w:pPr>
    <w:r>
      <w:fldChar w:fldCharType="begin"/>
    </w:r>
    <w:r>
      <w:instrText xml:space="preserve"> STYLEREF  "Heading 1"  \* MERGEFORMAT </w:instrText>
    </w:r>
    <w:r>
      <w:fldChar w:fldCharType="separate"/>
    </w:r>
    <w:r w:rsidR="0075282B">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5D75" w14:textId="77777777" w:rsidR="00A10FEB" w:rsidRPr="003949BC" w:rsidRDefault="00A10FEB" w:rsidP="001F7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7DCE" w14:textId="77777777" w:rsidR="00A10FEB" w:rsidRDefault="00A10FEB">
    <w:pPr>
      <w:pStyle w:val="Header"/>
    </w:pPr>
  </w:p>
  <w:p w14:paraId="0BCA281F" w14:textId="77777777" w:rsidR="00A10FEB" w:rsidRDefault="00A10FEB">
    <w:pPr>
      <w:pStyle w:val="Header"/>
    </w:pPr>
  </w:p>
  <w:p w14:paraId="6571F065" w14:textId="77777777" w:rsidR="00A10FEB" w:rsidRDefault="00A10FE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C7CAF1C"/>
    <w:styleLink w:val="BoxedBullets1"/>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AA64F24"/>
    <w:styleLink w:val="AttachmentNumbers1"/>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3414C6"/>
    <w:multiLevelType w:val="hybridMultilevel"/>
    <w:tmpl w:val="695A1F48"/>
    <w:styleLink w:val="Bullet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A26960"/>
    <w:multiLevelType w:val="hybridMultilevel"/>
    <w:tmpl w:val="C5B2C19E"/>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0B1873"/>
    <w:multiLevelType w:val="hybridMultilevel"/>
    <w:tmpl w:val="7BA28B84"/>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621AED"/>
    <w:multiLevelType w:val="multilevel"/>
    <w:tmpl w:val="C2EED61A"/>
    <w:numStyleLink w:val="NumberedHeadings"/>
  </w:abstractNum>
  <w:abstractNum w:abstractNumId="7" w15:restartNumberingAfterBreak="0">
    <w:nsid w:val="0D96750D"/>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FD46AF8"/>
    <w:multiLevelType w:val="hybridMultilevel"/>
    <w:tmpl w:val="F3F21DE4"/>
    <w:styleLink w:val="AppendixNumber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61284F"/>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CE328B"/>
    <w:multiLevelType w:val="hybridMultilevel"/>
    <w:tmpl w:val="6E0E6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6317C"/>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D304560"/>
    <w:multiLevelType w:val="hybridMultilevel"/>
    <w:tmpl w:val="729EA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8B341E"/>
    <w:multiLevelType w:val="hybridMultilevel"/>
    <w:tmpl w:val="5272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F56972"/>
    <w:multiLevelType w:val="hybridMultilevel"/>
    <w:tmpl w:val="C362414C"/>
    <w:styleLink w:val="ListLegal1"/>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DB618E"/>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AA51938"/>
    <w:multiLevelType w:val="multilevel"/>
    <w:tmpl w:val="298C34E4"/>
    <w:numStyleLink w:val="AppendixNumbers"/>
  </w:abstractNum>
  <w:abstractNum w:abstractNumId="18" w15:restartNumberingAfterBreak="0">
    <w:nsid w:val="3ECA1D86"/>
    <w:multiLevelType w:val="hybridMultilevel"/>
    <w:tmpl w:val="B5E6D716"/>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90462B"/>
    <w:multiLevelType w:val="hybridMultilevel"/>
    <w:tmpl w:val="1D4C625A"/>
    <w:lvl w:ilvl="0" w:tplc="4F500EFA">
      <w:start w:val="1"/>
      <w:numFmt w:val="decimal"/>
      <w:lvlText w:val="(%1)"/>
      <w:lvlJc w:val="left"/>
      <w:pPr>
        <w:ind w:left="360" w:hanging="360"/>
      </w:pPr>
      <w:rPr>
        <w:rFonts w:hint="default"/>
        <w:sz w:val="24"/>
        <w:szCs w:val="24"/>
      </w:rPr>
    </w:lvl>
    <w:lvl w:ilvl="1" w:tplc="8E586038">
      <w:numFmt w:val="bullet"/>
      <w:lvlText w:val=""/>
      <w:lvlJc w:val="left"/>
      <w:pPr>
        <w:ind w:left="1080" w:hanging="36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A11D13"/>
    <w:multiLevelType w:val="hybridMultilevel"/>
    <w:tmpl w:val="3D6CC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1113021"/>
    <w:multiLevelType w:val="hybridMultilevel"/>
    <w:tmpl w:val="4B489F44"/>
    <w:styleLink w:val="NumberedHeadings1"/>
    <w:lvl w:ilvl="0" w:tplc="859C498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DC3C79"/>
    <w:multiLevelType w:val="hybridMultilevel"/>
    <w:tmpl w:val="E65A9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DC2302"/>
    <w:multiLevelType w:val="hybridMultilevel"/>
    <w:tmpl w:val="637624D8"/>
    <w:styleLink w:val="ListNumbere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EE05A2"/>
    <w:multiLevelType w:val="hybridMultilevel"/>
    <w:tmpl w:val="71184A04"/>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C44072"/>
    <w:multiLevelType w:val="hybridMultilevel"/>
    <w:tmpl w:val="6D025DD0"/>
    <w:lvl w:ilvl="0" w:tplc="4F500EFA">
      <w:start w:val="1"/>
      <w:numFmt w:val="decimal"/>
      <w:lvlText w:val="(%1)"/>
      <w:lvlJc w:val="left"/>
      <w:pPr>
        <w:ind w:left="360" w:hanging="360"/>
      </w:pPr>
      <w:rPr>
        <w:rFonts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76065F"/>
    <w:multiLevelType w:val="hybridMultilevel"/>
    <w:tmpl w:val="55AAF436"/>
    <w:lvl w:ilvl="0" w:tplc="4F500EFA">
      <w:start w:val="1"/>
      <w:numFmt w:val="decimal"/>
      <w:lvlText w:val="(%1)"/>
      <w:lvlJc w:val="left"/>
      <w:pPr>
        <w:ind w:left="360" w:hanging="360"/>
      </w:pPr>
      <w:rPr>
        <w:rFonts w:hint="default"/>
        <w:sz w:val="24"/>
        <w:szCs w:val="24"/>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E554E84"/>
    <w:multiLevelType w:val="multilevel"/>
    <w:tmpl w:val="8FCE6D18"/>
    <w:styleLink w:val="ListLegal"/>
    <w:lvl w:ilvl="0">
      <w:start w:val="1"/>
      <w:numFmt w:val="decimal"/>
      <w:pStyle w:val="ListLegal10"/>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F385FE5"/>
    <w:multiLevelType w:val="hybridMultilevel"/>
    <w:tmpl w:val="05F6F980"/>
    <w:lvl w:ilvl="0" w:tplc="58A29A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2"/>
  </w:num>
  <w:num w:numId="2">
    <w:abstractNumId w:val="31"/>
  </w:num>
  <w:num w:numId="3">
    <w:abstractNumId w:val="2"/>
  </w:num>
  <w:num w:numId="4">
    <w:abstractNumId w:val="19"/>
  </w:num>
  <w:num w:numId="5">
    <w:abstractNumId w:val="6"/>
  </w:num>
  <w:num w:numId="6">
    <w:abstractNumId w:val="13"/>
  </w:num>
  <w:num w:numId="7">
    <w:abstractNumId w:val="17"/>
  </w:num>
  <w:num w:numId="8">
    <w:abstractNumId w:val="25"/>
  </w:num>
  <w:num w:numId="9">
    <w:abstractNumId w:val="27"/>
  </w:num>
  <w:num w:numId="10">
    <w:abstractNumId w:val="3"/>
  </w:num>
  <w:num w:numId="11">
    <w:abstractNumId w:val="15"/>
  </w:num>
  <w:num w:numId="12">
    <w:abstractNumId w:val="26"/>
  </w:num>
  <w:num w:numId="13">
    <w:abstractNumId w:val="23"/>
  </w:num>
  <w:num w:numId="14">
    <w:abstractNumId w:val="8"/>
  </w:num>
  <w:num w:numId="15">
    <w:abstractNumId w:val="1"/>
  </w:num>
  <w:num w:numId="16">
    <w:abstractNumId w:val="0"/>
  </w:num>
  <w:num w:numId="17">
    <w:abstractNumId w:val="32"/>
  </w:num>
  <w:num w:numId="18">
    <w:abstractNumId w:val="11"/>
  </w:num>
  <w:num w:numId="19">
    <w:abstractNumId w:val="5"/>
  </w:num>
  <w:num w:numId="20">
    <w:abstractNumId w:val="7"/>
  </w:num>
  <w:num w:numId="21">
    <w:abstractNumId w:val="29"/>
  </w:num>
  <w:num w:numId="22">
    <w:abstractNumId w:val="28"/>
  </w:num>
  <w:num w:numId="23">
    <w:abstractNumId w:val="20"/>
  </w:num>
  <w:num w:numId="24">
    <w:abstractNumId w:val="9"/>
  </w:num>
  <w:num w:numId="25">
    <w:abstractNumId w:val="30"/>
  </w:num>
  <w:num w:numId="26">
    <w:abstractNumId w:val="24"/>
  </w:num>
  <w:num w:numId="27">
    <w:abstractNumId w:val="10"/>
  </w:num>
  <w:num w:numId="28">
    <w:abstractNumId w:val="16"/>
  </w:num>
  <w:num w:numId="29">
    <w:abstractNumId w:val="18"/>
  </w:num>
  <w:num w:numId="30">
    <w:abstractNumId w:val="4"/>
  </w:num>
  <w:num w:numId="31">
    <w:abstractNumId w:val="14"/>
  </w:num>
  <w:num w:numId="32">
    <w:abstractNumId w:val="12"/>
  </w:num>
  <w:num w:numId="33">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D5"/>
    <w:rsid w:val="00000255"/>
    <w:rsid w:val="00005672"/>
    <w:rsid w:val="00012F63"/>
    <w:rsid w:val="00013744"/>
    <w:rsid w:val="00014D0F"/>
    <w:rsid w:val="00015DE1"/>
    <w:rsid w:val="00021C5D"/>
    <w:rsid w:val="00023D5B"/>
    <w:rsid w:val="00025395"/>
    <w:rsid w:val="0003177A"/>
    <w:rsid w:val="0003396D"/>
    <w:rsid w:val="000424EC"/>
    <w:rsid w:val="00044B2C"/>
    <w:rsid w:val="00045D93"/>
    <w:rsid w:val="000461BA"/>
    <w:rsid w:val="00052478"/>
    <w:rsid w:val="00063D3F"/>
    <w:rsid w:val="000653B6"/>
    <w:rsid w:val="00065CC7"/>
    <w:rsid w:val="00070601"/>
    <w:rsid w:val="00073799"/>
    <w:rsid w:val="000748D2"/>
    <w:rsid w:val="00074ACC"/>
    <w:rsid w:val="00075BD3"/>
    <w:rsid w:val="00080CAA"/>
    <w:rsid w:val="00080ECB"/>
    <w:rsid w:val="00081693"/>
    <w:rsid w:val="000823DE"/>
    <w:rsid w:val="0008363D"/>
    <w:rsid w:val="00091C0E"/>
    <w:rsid w:val="0009304D"/>
    <w:rsid w:val="00093B08"/>
    <w:rsid w:val="0009720F"/>
    <w:rsid w:val="000972A0"/>
    <w:rsid w:val="000A1001"/>
    <w:rsid w:val="000A32AE"/>
    <w:rsid w:val="000A5848"/>
    <w:rsid w:val="000A704C"/>
    <w:rsid w:val="000C1BC9"/>
    <w:rsid w:val="000C2EF1"/>
    <w:rsid w:val="000C479F"/>
    <w:rsid w:val="000C5458"/>
    <w:rsid w:val="000D0D2C"/>
    <w:rsid w:val="000D1B36"/>
    <w:rsid w:val="000D40FA"/>
    <w:rsid w:val="000D57DD"/>
    <w:rsid w:val="000D6D68"/>
    <w:rsid w:val="000E2948"/>
    <w:rsid w:val="000E52AA"/>
    <w:rsid w:val="000E5503"/>
    <w:rsid w:val="000F00D4"/>
    <w:rsid w:val="000F04CB"/>
    <w:rsid w:val="000F16C6"/>
    <w:rsid w:val="000F1924"/>
    <w:rsid w:val="000F4E74"/>
    <w:rsid w:val="001007C7"/>
    <w:rsid w:val="001013DD"/>
    <w:rsid w:val="001025F0"/>
    <w:rsid w:val="00103BD9"/>
    <w:rsid w:val="0010562C"/>
    <w:rsid w:val="001068FE"/>
    <w:rsid w:val="001077E4"/>
    <w:rsid w:val="0011175C"/>
    <w:rsid w:val="00113F27"/>
    <w:rsid w:val="0012015C"/>
    <w:rsid w:val="001209FC"/>
    <w:rsid w:val="00124660"/>
    <w:rsid w:val="00124D53"/>
    <w:rsid w:val="0012623C"/>
    <w:rsid w:val="001318EF"/>
    <w:rsid w:val="0013393B"/>
    <w:rsid w:val="00134B6E"/>
    <w:rsid w:val="00136308"/>
    <w:rsid w:val="00136B01"/>
    <w:rsid w:val="00136D23"/>
    <w:rsid w:val="001371DF"/>
    <w:rsid w:val="0014138C"/>
    <w:rsid w:val="0014543A"/>
    <w:rsid w:val="0014799A"/>
    <w:rsid w:val="00147DD5"/>
    <w:rsid w:val="001520BA"/>
    <w:rsid w:val="00154B96"/>
    <w:rsid w:val="00156A60"/>
    <w:rsid w:val="00157B2B"/>
    <w:rsid w:val="00167F68"/>
    <w:rsid w:val="001731F0"/>
    <w:rsid w:val="00177D92"/>
    <w:rsid w:val="00181B44"/>
    <w:rsid w:val="00191575"/>
    <w:rsid w:val="001933EA"/>
    <w:rsid w:val="0019351E"/>
    <w:rsid w:val="001A1ED0"/>
    <w:rsid w:val="001A4A57"/>
    <w:rsid w:val="001A4D94"/>
    <w:rsid w:val="001A4E6E"/>
    <w:rsid w:val="001A6C88"/>
    <w:rsid w:val="001B25DC"/>
    <w:rsid w:val="001B2BAF"/>
    <w:rsid w:val="001B2EBD"/>
    <w:rsid w:val="001B341A"/>
    <w:rsid w:val="001B65AA"/>
    <w:rsid w:val="001C01C8"/>
    <w:rsid w:val="001C0BCA"/>
    <w:rsid w:val="001C1979"/>
    <w:rsid w:val="001C1EE7"/>
    <w:rsid w:val="001C2A87"/>
    <w:rsid w:val="001C56A0"/>
    <w:rsid w:val="001C6DC2"/>
    <w:rsid w:val="001D1DF8"/>
    <w:rsid w:val="001D3DC9"/>
    <w:rsid w:val="001D6559"/>
    <w:rsid w:val="001E18F2"/>
    <w:rsid w:val="001E505E"/>
    <w:rsid w:val="001E558E"/>
    <w:rsid w:val="001E6ACA"/>
    <w:rsid w:val="001E738C"/>
    <w:rsid w:val="001F0ACC"/>
    <w:rsid w:val="001F11B4"/>
    <w:rsid w:val="001F2370"/>
    <w:rsid w:val="001F27A1"/>
    <w:rsid w:val="001F594D"/>
    <w:rsid w:val="001F6A53"/>
    <w:rsid w:val="001F714C"/>
    <w:rsid w:val="001F77D8"/>
    <w:rsid w:val="00202FA4"/>
    <w:rsid w:val="00203CB7"/>
    <w:rsid w:val="00203D2C"/>
    <w:rsid w:val="00203EBE"/>
    <w:rsid w:val="00204EE2"/>
    <w:rsid w:val="00205B7B"/>
    <w:rsid w:val="002062BE"/>
    <w:rsid w:val="002071A2"/>
    <w:rsid w:val="002131AC"/>
    <w:rsid w:val="00214397"/>
    <w:rsid w:val="0022053E"/>
    <w:rsid w:val="00221130"/>
    <w:rsid w:val="00223FD5"/>
    <w:rsid w:val="00226645"/>
    <w:rsid w:val="00227CB2"/>
    <w:rsid w:val="002309C5"/>
    <w:rsid w:val="00230B95"/>
    <w:rsid w:val="00236881"/>
    <w:rsid w:val="002374A8"/>
    <w:rsid w:val="0024103B"/>
    <w:rsid w:val="00244199"/>
    <w:rsid w:val="002515ED"/>
    <w:rsid w:val="002558A4"/>
    <w:rsid w:val="0025701E"/>
    <w:rsid w:val="00257035"/>
    <w:rsid w:val="00257097"/>
    <w:rsid w:val="00260CC2"/>
    <w:rsid w:val="0026336A"/>
    <w:rsid w:val="002634B8"/>
    <w:rsid w:val="00265874"/>
    <w:rsid w:val="00274FFD"/>
    <w:rsid w:val="002772C9"/>
    <w:rsid w:val="002817A8"/>
    <w:rsid w:val="00283F0F"/>
    <w:rsid w:val="00285AA4"/>
    <w:rsid w:val="00286690"/>
    <w:rsid w:val="0028670A"/>
    <w:rsid w:val="00290310"/>
    <w:rsid w:val="002910AE"/>
    <w:rsid w:val="0029237E"/>
    <w:rsid w:val="0029249F"/>
    <w:rsid w:val="00292A86"/>
    <w:rsid w:val="002930BE"/>
    <w:rsid w:val="00295CB0"/>
    <w:rsid w:val="0029646A"/>
    <w:rsid w:val="00296996"/>
    <w:rsid w:val="002969AE"/>
    <w:rsid w:val="00297734"/>
    <w:rsid w:val="002A2C10"/>
    <w:rsid w:val="002A41E0"/>
    <w:rsid w:val="002A42CA"/>
    <w:rsid w:val="002A4BC0"/>
    <w:rsid w:val="002A5550"/>
    <w:rsid w:val="002A6862"/>
    <w:rsid w:val="002A6ACB"/>
    <w:rsid w:val="002A7F3E"/>
    <w:rsid w:val="002B2E14"/>
    <w:rsid w:val="002B6963"/>
    <w:rsid w:val="002B771E"/>
    <w:rsid w:val="002C0CD5"/>
    <w:rsid w:val="002C48FE"/>
    <w:rsid w:val="002D1A77"/>
    <w:rsid w:val="002D47B0"/>
    <w:rsid w:val="002D71C5"/>
    <w:rsid w:val="002E0677"/>
    <w:rsid w:val="002E0695"/>
    <w:rsid w:val="002E1E0B"/>
    <w:rsid w:val="002E59BE"/>
    <w:rsid w:val="002F4E99"/>
    <w:rsid w:val="003008BF"/>
    <w:rsid w:val="00300D7D"/>
    <w:rsid w:val="00302B40"/>
    <w:rsid w:val="0030725E"/>
    <w:rsid w:val="00311D94"/>
    <w:rsid w:val="00314A7F"/>
    <w:rsid w:val="0031712B"/>
    <w:rsid w:val="003221D0"/>
    <w:rsid w:val="003249E7"/>
    <w:rsid w:val="00332EB8"/>
    <w:rsid w:val="00337139"/>
    <w:rsid w:val="00337791"/>
    <w:rsid w:val="003409EF"/>
    <w:rsid w:val="00342677"/>
    <w:rsid w:val="00342691"/>
    <w:rsid w:val="0034299C"/>
    <w:rsid w:val="003431F5"/>
    <w:rsid w:val="0034679C"/>
    <w:rsid w:val="003505DF"/>
    <w:rsid w:val="0035283B"/>
    <w:rsid w:val="003545C1"/>
    <w:rsid w:val="00355A90"/>
    <w:rsid w:val="00355FD1"/>
    <w:rsid w:val="00362728"/>
    <w:rsid w:val="00362FC5"/>
    <w:rsid w:val="00366D29"/>
    <w:rsid w:val="00367424"/>
    <w:rsid w:val="00367B5D"/>
    <w:rsid w:val="00380C21"/>
    <w:rsid w:val="00382FBA"/>
    <w:rsid w:val="00383893"/>
    <w:rsid w:val="00384952"/>
    <w:rsid w:val="0038523F"/>
    <w:rsid w:val="00390DE4"/>
    <w:rsid w:val="003949BC"/>
    <w:rsid w:val="00397491"/>
    <w:rsid w:val="003A1A35"/>
    <w:rsid w:val="003A2D76"/>
    <w:rsid w:val="003A39A2"/>
    <w:rsid w:val="003A3F4D"/>
    <w:rsid w:val="003A5795"/>
    <w:rsid w:val="003B02A7"/>
    <w:rsid w:val="003B1EB1"/>
    <w:rsid w:val="003C40B4"/>
    <w:rsid w:val="003C463F"/>
    <w:rsid w:val="003C4BF8"/>
    <w:rsid w:val="003C5EA2"/>
    <w:rsid w:val="003C70A9"/>
    <w:rsid w:val="003C78F4"/>
    <w:rsid w:val="003D155C"/>
    <w:rsid w:val="003D5088"/>
    <w:rsid w:val="003D5B27"/>
    <w:rsid w:val="003D6754"/>
    <w:rsid w:val="003E1201"/>
    <w:rsid w:val="003E2734"/>
    <w:rsid w:val="003E4F77"/>
    <w:rsid w:val="003E6A61"/>
    <w:rsid w:val="003F0792"/>
    <w:rsid w:val="003F29D7"/>
    <w:rsid w:val="003F45F2"/>
    <w:rsid w:val="003F6F9A"/>
    <w:rsid w:val="00404192"/>
    <w:rsid w:val="00405662"/>
    <w:rsid w:val="00407A7B"/>
    <w:rsid w:val="004101E0"/>
    <w:rsid w:val="00411D93"/>
    <w:rsid w:val="004120B9"/>
    <w:rsid w:val="004131AE"/>
    <w:rsid w:val="004145A2"/>
    <w:rsid w:val="00417A6C"/>
    <w:rsid w:val="00420A21"/>
    <w:rsid w:val="004222FE"/>
    <w:rsid w:val="00425BE7"/>
    <w:rsid w:val="00425D18"/>
    <w:rsid w:val="00426E5D"/>
    <w:rsid w:val="00442103"/>
    <w:rsid w:val="00442797"/>
    <w:rsid w:val="00442A12"/>
    <w:rsid w:val="00443A66"/>
    <w:rsid w:val="00446989"/>
    <w:rsid w:val="00450190"/>
    <w:rsid w:val="00451427"/>
    <w:rsid w:val="004541D8"/>
    <w:rsid w:val="00454238"/>
    <w:rsid w:val="0045464F"/>
    <w:rsid w:val="00456D0F"/>
    <w:rsid w:val="00465C53"/>
    <w:rsid w:val="00470C69"/>
    <w:rsid w:val="004756DB"/>
    <w:rsid w:val="00475731"/>
    <w:rsid w:val="0047601F"/>
    <w:rsid w:val="0047768F"/>
    <w:rsid w:val="0048319B"/>
    <w:rsid w:val="00485E9A"/>
    <w:rsid w:val="004901F5"/>
    <w:rsid w:val="004907AB"/>
    <w:rsid w:val="00492DBB"/>
    <w:rsid w:val="00493C04"/>
    <w:rsid w:val="00493CD6"/>
    <w:rsid w:val="0049701F"/>
    <w:rsid w:val="00497F62"/>
    <w:rsid w:val="004A19EE"/>
    <w:rsid w:val="004A207C"/>
    <w:rsid w:val="004A3E33"/>
    <w:rsid w:val="004A651A"/>
    <w:rsid w:val="004B3D09"/>
    <w:rsid w:val="004B75EA"/>
    <w:rsid w:val="004C01F9"/>
    <w:rsid w:val="004C0CE7"/>
    <w:rsid w:val="004C5F60"/>
    <w:rsid w:val="004C7152"/>
    <w:rsid w:val="004D15C1"/>
    <w:rsid w:val="004D4484"/>
    <w:rsid w:val="004D5004"/>
    <w:rsid w:val="004D57B5"/>
    <w:rsid w:val="004D5926"/>
    <w:rsid w:val="004D7ECE"/>
    <w:rsid w:val="004E1A88"/>
    <w:rsid w:val="004E4107"/>
    <w:rsid w:val="004E63FE"/>
    <w:rsid w:val="004F06DF"/>
    <w:rsid w:val="004F3E1A"/>
    <w:rsid w:val="004F6A71"/>
    <w:rsid w:val="00500824"/>
    <w:rsid w:val="005017FE"/>
    <w:rsid w:val="00501EB5"/>
    <w:rsid w:val="005024B0"/>
    <w:rsid w:val="00502ADA"/>
    <w:rsid w:val="00503257"/>
    <w:rsid w:val="00503493"/>
    <w:rsid w:val="00510AE3"/>
    <w:rsid w:val="00516D94"/>
    <w:rsid w:val="00517442"/>
    <w:rsid w:val="00517B36"/>
    <w:rsid w:val="00517B98"/>
    <w:rsid w:val="00517BA8"/>
    <w:rsid w:val="005302E3"/>
    <w:rsid w:val="00531F51"/>
    <w:rsid w:val="00534DF3"/>
    <w:rsid w:val="005357C1"/>
    <w:rsid w:val="005357C5"/>
    <w:rsid w:val="00537084"/>
    <w:rsid w:val="005378FD"/>
    <w:rsid w:val="005407C0"/>
    <w:rsid w:val="00541F2F"/>
    <w:rsid w:val="005444DF"/>
    <w:rsid w:val="00545DBC"/>
    <w:rsid w:val="00547A86"/>
    <w:rsid w:val="0055586C"/>
    <w:rsid w:val="00555C84"/>
    <w:rsid w:val="00557F57"/>
    <w:rsid w:val="00560777"/>
    <w:rsid w:val="0056157E"/>
    <w:rsid w:val="0056237D"/>
    <w:rsid w:val="005627A9"/>
    <w:rsid w:val="0056455D"/>
    <w:rsid w:val="00564D71"/>
    <w:rsid w:val="005658F1"/>
    <w:rsid w:val="00565C39"/>
    <w:rsid w:val="005704CF"/>
    <w:rsid w:val="0057121E"/>
    <w:rsid w:val="005724FA"/>
    <w:rsid w:val="005726B2"/>
    <w:rsid w:val="00573EA4"/>
    <w:rsid w:val="005750C6"/>
    <w:rsid w:val="00576825"/>
    <w:rsid w:val="0057755A"/>
    <w:rsid w:val="005817CB"/>
    <w:rsid w:val="00581F8B"/>
    <w:rsid w:val="005820B7"/>
    <w:rsid w:val="0058226D"/>
    <w:rsid w:val="005836F1"/>
    <w:rsid w:val="0058668F"/>
    <w:rsid w:val="005914D6"/>
    <w:rsid w:val="0059350E"/>
    <w:rsid w:val="00593BA2"/>
    <w:rsid w:val="00597955"/>
    <w:rsid w:val="005A03F1"/>
    <w:rsid w:val="005A1A60"/>
    <w:rsid w:val="005A39C8"/>
    <w:rsid w:val="005B1E56"/>
    <w:rsid w:val="005B1E6B"/>
    <w:rsid w:val="005B3571"/>
    <w:rsid w:val="005B3CCA"/>
    <w:rsid w:val="005B422B"/>
    <w:rsid w:val="005B59E2"/>
    <w:rsid w:val="005B5E2D"/>
    <w:rsid w:val="005B7525"/>
    <w:rsid w:val="005C2DDE"/>
    <w:rsid w:val="005C39CE"/>
    <w:rsid w:val="005C52F5"/>
    <w:rsid w:val="005C77CC"/>
    <w:rsid w:val="005D6D6F"/>
    <w:rsid w:val="005D6D96"/>
    <w:rsid w:val="005D7500"/>
    <w:rsid w:val="005D75BA"/>
    <w:rsid w:val="005E12D9"/>
    <w:rsid w:val="005E26DD"/>
    <w:rsid w:val="005E2A0D"/>
    <w:rsid w:val="005E5AED"/>
    <w:rsid w:val="005F38AA"/>
    <w:rsid w:val="005F5255"/>
    <w:rsid w:val="005F78F1"/>
    <w:rsid w:val="00603472"/>
    <w:rsid w:val="00605433"/>
    <w:rsid w:val="00605701"/>
    <w:rsid w:val="006063CE"/>
    <w:rsid w:val="00622464"/>
    <w:rsid w:val="006226E0"/>
    <w:rsid w:val="00623BEB"/>
    <w:rsid w:val="00625455"/>
    <w:rsid w:val="00625A05"/>
    <w:rsid w:val="00626447"/>
    <w:rsid w:val="006273B2"/>
    <w:rsid w:val="00627D88"/>
    <w:rsid w:val="006335DF"/>
    <w:rsid w:val="00642304"/>
    <w:rsid w:val="006430D3"/>
    <w:rsid w:val="00643AB0"/>
    <w:rsid w:val="00643F9F"/>
    <w:rsid w:val="00644221"/>
    <w:rsid w:val="006458D9"/>
    <w:rsid w:val="00657E79"/>
    <w:rsid w:val="00664B2E"/>
    <w:rsid w:val="00672BA9"/>
    <w:rsid w:val="0067314C"/>
    <w:rsid w:val="00674186"/>
    <w:rsid w:val="00675482"/>
    <w:rsid w:val="006772EE"/>
    <w:rsid w:val="00680978"/>
    <w:rsid w:val="00681B5B"/>
    <w:rsid w:val="0068395F"/>
    <w:rsid w:val="006916C7"/>
    <w:rsid w:val="006937B8"/>
    <w:rsid w:val="00694561"/>
    <w:rsid w:val="006977C6"/>
    <w:rsid w:val="006A0C04"/>
    <w:rsid w:val="006A2B71"/>
    <w:rsid w:val="006B0888"/>
    <w:rsid w:val="006B1F96"/>
    <w:rsid w:val="006B6586"/>
    <w:rsid w:val="006B7F1D"/>
    <w:rsid w:val="006C1618"/>
    <w:rsid w:val="006C2445"/>
    <w:rsid w:val="006C43C8"/>
    <w:rsid w:val="006D5A34"/>
    <w:rsid w:val="006D5AFD"/>
    <w:rsid w:val="006E066E"/>
    <w:rsid w:val="006E201C"/>
    <w:rsid w:val="006E54E8"/>
    <w:rsid w:val="006E72B5"/>
    <w:rsid w:val="006F648A"/>
    <w:rsid w:val="007007BC"/>
    <w:rsid w:val="00714002"/>
    <w:rsid w:val="00715A05"/>
    <w:rsid w:val="00716BE9"/>
    <w:rsid w:val="00717C2D"/>
    <w:rsid w:val="00720369"/>
    <w:rsid w:val="007206B3"/>
    <w:rsid w:val="0072690A"/>
    <w:rsid w:val="007306D4"/>
    <w:rsid w:val="00736B52"/>
    <w:rsid w:val="00737430"/>
    <w:rsid w:val="007440BF"/>
    <w:rsid w:val="00744F63"/>
    <w:rsid w:val="00745784"/>
    <w:rsid w:val="007472D5"/>
    <w:rsid w:val="00750665"/>
    <w:rsid w:val="0075282B"/>
    <w:rsid w:val="0075412D"/>
    <w:rsid w:val="00756BDD"/>
    <w:rsid w:val="007608DD"/>
    <w:rsid w:val="00760F19"/>
    <w:rsid w:val="00760FA5"/>
    <w:rsid w:val="00763898"/>
    <w:rsid w:val="0076701C"/>
    <w:rsid w:val="007677EE"/>
    <w:rsid w:val="007747B8"/>
    <w:rsid w:val="00775701"/>
    <w:rsid w:val="0077784C"/>
    <w:rsid w:val="00783069"/>
    <w:rsid w:val="0078360A"/>
    <w:rsid w:val="007847A2"/>
    <w:rsid w:val="007858E7"/>
    <w:rsid w:val="00786989"/>
    <w:rsid w:val="00787C45"/>
    <w:rsid w:val="00795426"/>
    <w:rsid w:val="00797AA1"/>
    <w:rsid w:val="007A5A43"/>
    <w:rsid w:val="007A6680"/>
    <w:rsid w:val="007B23C8"/>
    <w:rsid w:val="007B4F7F"/>
    <w:rsid w:val="007B5A98"/>
    <w:rsid w:val="007C6273"/>
    <w:rsid w:val="007C7310"/>
    <w:rsid w:val="007D0C63"/>
    <w:rsid w:val="007D4DAC"/>
    <w:rsid w:val="007E0BA1"/>
    <w:rsid w:val="007E2F4A"/>
    <w:rsid w:val="007E63D8"/>
    <w:rsid w:val="007E684B"/>
    <w:rsid w:val="007E7A2A"/>
    <w:rsid w:val="007E7AA7"/>
    <w:rsid w:val="007F201A"/>
    <w:rsid w:val="007F6AB9"/>
    <w:rsid w:val="00800CD7"/>
    <w:rsid w:val="0080114B"/>
    <w:rsid w:val="00802340"/>
    <w:rsid w:val="00802B79"/>
    <w:rsid w:val="00806F4C"/>
    <w:rsid w:val="00806FE8"/>
    <w:rsid w:val="00807748"/>
    <w:rsid w:val="00815D4C"/>
    <w:rsid w:val="00817AF7"/>
    <w:rsid w:val="00820BD8"/>
    <w:rsid w:val="00823518"/>
    <w:rsid w:val="00824388"/>
    <w:rsid w:val="00825D55"/>
    <w:rsid w:val="008261E9"/>
    <w:rsid w:val="00835A53"/>
    <w:rsid w:val="00842AC8"/>
    <w:rsid w:val="00846A33"/>
    <w:rsid w:val="00847528"/>
    <w:rsid w:val="00854281"/>
    <w:rsid w:val="00854758"/>
    <w:rsid w:val="0085532F"/>
    <w:rsid w:val="00860508"/>
    <w:rsid w:val="008622AF"/>
    <w:rsid w:val="00862C34"/>
    <w:rsid w:val="008636EC"/>
    <w:rsid w:val="00870B67"/>
    <w:rsid w:val="00870DC1"/>
    <w:rsid w:val="00884CA9"/>
    <w:rsid w:val="00890C86"/>
    <w:rsid w:val="00893412"/>
    <w:rsid w:val="00893980"/>
    <w:rsid w:val="0089572A"/>
    <w:rsid w:val="00897635"/>
    <w:rsid w:val="008A1767"/>
    <w:rsid w:val="008A30EB"/>
    <w:rsid w:val="008A3C27"/>
    <w:rsid w:val="008A60A1"/>
    <w:rsid w:val="008A62C3"/>
    <w:rsid w:val="008B1988"/>
    <w:rsid w:val="008B236E"/>
    <w:rsid w:val="008B3E6F"/>
    <w:rsid w:val="008C054F"/>
    <w:rsid w:val="008C1030"/>
    <w:rsid w:val="008C219A"/>
    <w:rsid w:val="008C3FDE"/>
    <w:rsid w:val="008C4988"/>
    <w:rsid w:val="008C7F23"/>
    <w:rsid w:val="008D1DB0"/>
    <w:rsid w:val="008D6495"/>
    <w:rsid w:val="008F1836"/>
    <w:rsid w:val="008F1896"/>
    <w:rsid w:val="008F2147"/>
    <w:rsid w:val="008F2C72"/>
    <w:rsid w:val="008F2E7B"/>
    <w:rsid w:val="008F316C"/>
    <w:rsid w:val="00903BFB"/>
    <w:rsid w:val="00905707"/>
    <w:rsid w:val="0090590B"/>
    <w:rsid w:val="00907575"/>
    <w:rsid w:val="0090786A"/>
    <w:rsid w:val="0091099F"/>
    <w:rsid w:val="009114F1"/>
    <w:rsid w:val="009125C6"/>
    <w:rsid w:val="00912D09"/>
    <w:rsid w:val="00915D9B"/>
    <w:rsid w:val="00916D51"/>
    <w:rsid w:val="00920F35"/>
    <w:rsid w:val="0092130A"/>
    <w:rsid w:val="0092370E"/>
    <w:rsid w:val="009237B2"/>
    <w:rsid w:val="009302AC"/>
    <w:rsid w:val="00931AE8"/>
    <w:rsid w:val="00931DD1"/>
    <w:rsid w:val="00932043"/>
    <w:rsid w:val="00935716"/>
    <w:rsid w:val="00937EC4"/>
    <w:rsid w:val="009402E8"/>
    <w:rsid w:val="00943227"/>
    <w:rsid w:val="0094454A"/>
    <w:rsid w:val="0094740C"/>
    <w:rsid w:val="00951AE3"/>
    <w:rsid w:val="00952E77"/>
    <w:rsid w:val="0096301F"/>
    <w:rsid w:val="00966A3D"/>
    <w:rsid w:val="00967BE0"/>
    <w:rsid w:val="00971290"/>
    <w:rsid w:val="00971E14"/>
    <w:rsid w:val="009836AE"/>
    <w:rsid w:val="00983B76"/>
    <w:rsid w:val="00985353"/>
    <w:rsid w:val="00990F64"/>
    <w:rsid w:val="00992CD7"/>
    <w:rsid w:val="00993FDB"/>
    <w:rsid w:val="009944C5"/>
    <w:rsid w:val="009974E7"/>
    <w:rsid w:val="009A1904"/>
    <w:rsid w:val="009A5536"/>
    <w:rsid w:val="009A5AC3"/>
    <w:rsid w:val="009A66BC"/>
    <w:rsid w:val="009A75C6"/>
    <w:rsid w:val="009A7B36"/>
    <w:rsid w:val="009B03D8"/>
    <w:rsid w:val="009B4C72"/>
    <w:rsid w:val="009B5DF7"/>
    <w:rsid w:val="009C1FA2"/>
    <w:rsid w:val="009C24FC"/>
    <w:rsid w:val="009C4BAA"/>
    <w:rsid w:val="009C7369"/>
    <w:rsid w:val="009D1A85"/>
    <w:rsid w:val="009D2415"/>
    <w:rsid w:val="009D6E3A"/>
    <w:rsid w:val="009D7588"/>
    <w:rsid w:val="009D7C6E"/>
    <w:rsid w:val="009E1630"/>
    <w:rsid w:val="009E6D84"/>
    <w:rsid w:val="009E76EA"/>
    <w:rsid w:val="009F630F"/>
    <w:rsid w:val="009F6EAD"/>
    <w:rsid w:val="009F77A0"/>
    <w:rsid w:val="009F7DB7"/>
    <w:rsid w:val="00A00F9D"/>
    <w:rsid w:val="00A0312C"/>
    <w:rsid w:val="00A10D62"/>
    <w:rsid w:val="00A10FEB"/>
    <w:rsid w:val="00A11590"/>
    <w:rsid w:val="00A14284"/>
    <w:rsid w:val="00A21FB9"/>
    <w:rsid w:val="00A22003"/>
    <w:rsid w:val="00A220CA"/>
    <w:rsid w:val="00A229C7"/>
    <w:rsid w:val="00A22D9D"/>
    <w:rsid w:val="00A2416B"/>
    <w:rsid w:val="00A2430D"/>
    <w:rsid w:val="00A26D9B"/>
    <w:rsid w:val="00A26E96"/>
    <w:rsid w:val="00A270C3"/>
    <w:rsid w:val="00A339D0"/>
    <w:rsid w:val="00A344B8"/>
    <w:rsid w:val="00A37B3A"/>
    <w:rsid w:val="00A37BBF"/>
    <w:rsid w:val="00A41EEB"/>
    <w:rsid w:val="00A43997"/>
    <w:rsid w:val="00A5427C"/>
    <w:rsid w:val="00A56066"/>
    <w:rsid w:val="00A600B0"/>
    <w:rsid w:val="00A621C9"/>
    <w:rsid w:val="00A623AE"/>
    <w:rsid w:val="00A62687"/>
    <w:rsid w:val="00A63310"/>
    <w:rsid w:val="00A63CAD"/>
    <w:rsid w:val="00A661AA"/>
    <w:rsid w:val="00A7002A"/>
    <w:rsid w:val="00A7210B"/>
    <w:rsid w:val="00A72D46"/>
    <w:rsid w:val="00A74D42"/>
    <w:rsid w:val="00A74F24"/>
    <w:rsid w:val="00A75326"/>
    <w:rsid w:val="00A80728"/>
    <w:rsid w:val="00A807D6"/>
    <w:rsid w:val="00A8112F"/>
    <w:rsid w:val="00A82965"/>
    <w:rsid w:val="00A84560"/>
    <w:rsid w:val="00A85A68"/>
    <w:rsid w:val="00A961D8"/>
    <w:rsid w:val="00A96997"/>
    <w:rsid w:val="00A974DD"/>
    <w:rsid w:val="00AA4552"/>
    <w:rsid w:val="00AA7EB6"/>
    <w:rsid w:val="00AB243A"/>
    <w:rsid w:val="00AB6792"/>
    <w:rsid w:val="00AB6D52"/>
    <w:rsid w:val="00AC0CC6"/>
    <w:rsid w:val="00AC454B"/>
    <w:rsid w:val="00AD055F"/>
    <w:rsid w:val="00AD1746"/>
    <w:rsid w:val="00AD18CC"/>
    <w:rsid w:val="00AD1BB4"/>
    <w:rsid w:val="00AD516C"/>
    <w:rsid w:val="00AD7937"/>
    <w:rsid w:val="00AE5440"/>
    <w:rsid w:val="00AE5687"/>
    <w:rsid w:val="00AE64FD"/>
    <w:rsid w:val="00AF0CD8"/>
    <w:rsid w:val="00AF2EBD"/>
    <w:rsid w:val="00AF38FD"/>
    <w:rsid w:val="00AF532C"/>
    <w:rsid w:val="00AF5B7C"/>
    <w:rsid w:val="00B00FCE"/>
    <w:rsid w:val="00B02B52"/>
    <w:rsid w:val="00B0617E"/>
    <w:rsid w:val="00B11634"/>
    <w:rsid w:val="00B1164A"/>
    <w:rsid w:val="00B1639B"/>
    <w:rsid w:val="00B17134"/>
    <w:rsid w:val="00B174CA"/>
    <w:rsid w:val="00B2244A"/>
    <w:rsid w:val="00B244E5"/>
    <w:rsid w:val="00B26B93"/>
    <w:rsid w:val="00B33CFF"/>
    <w:rsid w:val="00B34E74"/>
    <w:rsid w:val="00B37765"/>
    <w:rsid w:val="00B40ADB"/>
    <w:rsid w:val="00B47512"/>
    <w:rsid w:val="00B47683"/>
    <w:rsid w:val="00B52958"/>
    <w:rsid w:val="00B535B0"/>
    <w:rsid w:val="00B56038"/>
    <w:rsid w:val="00B562E2"/>
    <w:rsid w:val="00B61477"/>
    <w:rsid w:val="00B64E92"/>
    <w:rsid w:val="00B65470"/>
    <w:rsid w:val="00B67EB8"/>
    <w:rsid w:val="00B7201F"/>
    <w:rsid w:val="00B729D0"/>
    <w:rsid w:val="00B738E7"/>
    <w:rsid w:val="00B76DAD"/>
    <w:rsid w:val="00B77233"/>
    <w:rsid w:val="00B818F3"/>
    <w:rsid w:val="00B85B64"/>
    <w:rsid w:val="00B9141C"/>
    <w:rsid w:val="00B92A2D"/>
    <w:rsid w:val="00B92B95"/>
    <w:rsid w:val="00B94CF2"/>
    <w:rsid w:val="00B953FB"/>
    <w:rsid w:val="00BA2E17"/>
    <w:rsid w:val="00BA3A2C"/>
    <w:rsid w:val="00BA47D9"/>
    <w:rsid w:val="00BA4D59"/>
    <w:rsid w:val="00BA7DBC"/>
    <w:rsid w:val="00BB0447"/>
    <w:rsid w:val="00BB3ACB"/>
    <w:rsid w:val="00BB4EEE"/>
    <w:rsid w:val="00BB5279"/>
    <w:rsid w:val="00BC6F27"/>
    <w:rsid w:val="00BD1DAA"/>
    <w:rsid w:val="00BD229B"/>
    <w:rsid w:val="00BD2757"/>
    <w:rsid w:val="00BD3D69"/>
    <w:rsid w:val="00BD41CD"/>
    <w:rsid w:val="00BD4974"/>
    <w:rsid w:val="00BD767A"/>
    <w:rsid w:val="00BE7B43"/>
    <w:rsid w:val="00BF1C8E"/>
    <w:rsid w:val="00BF4247"/>
    <w:rsid w:val="00BF788E"/>
    <w:rsid w:val="00C0426F"/>
    <w:rsid w:val="00C06915"/>
    <w:rsid w:val="00C06E8A"/>
    <w:rsid w:val="00C1012B"/>
    <w:rsid w:val="00C1272C"/>
    <w:rsid w:val="00C14E9F"/>
    <w:rsid w:val="00C2416F"/>
    <w:rsid w:val="00C253EC"/>
    <w:rsid w:val="00C27EFF"/>
    <w:rsid w:val="00C30387"/>
    <w:rsid w:val="00C3068D"/>
    <w:rsid w:val="00C30D36"/>
    <w:rsid w:val="00C3227E"/>
    <w:rsid w:val="00C34C4F"/>
    <w:rsid w:val="00C34F3E"/>
    <w:rsid w:val="00C35F28"/>
    <w:rsid w:val="00C37836"/>
    <w:rsid w:val="00C3791B"/>
    <w:rsid w:val="00C42E01"/>
    <w:rsid w:val="00C43C9A"/>
    <w:rsid w:val="00C46453"/>
    <w:rsid w:val="00C467C6"/>
    <w:rsid w:val="00C47D42"/>
    <w:rsid w:val="00C50AA7"/>
    <w:rsid w:val="00C51039"/>
    <w:rsid w:val="00C5314B"/>
    <w:rsid w:val="00C53D90"/>
    <w:rsid w:val="00C55C56"/>
    <w:rsid w:val="00C55D10"/>
    <w:rsid w:val="00C55EDC"/>
    <w:rsid w:val="00C562E0"/>
    <w:rsid w:val="00C57C54"/>
    <w:rsid w:val="00C6263B"/>
    <w:rsid w:val="00C63971"/>
    <w:rsid w:val="00C67877"/>
    <w:rsid w:val="00C7008B"/>
    <w:rsid w:val="00C704D7"/>
    <w:rsid w:val="00C70B5F"/>
    <w:rsid w:val="00C70E91"/>
    <w:rsid w:val="00C71FB6"/>
    <w:rsid w:val="00C80B31"/>
    <w:rsid w:val="00C9128D"/>
    <w:rsid w:val="00C93B7B"/>
    <w:rsid w:val="00C96A8A"/>
    <w:rsid w:val="00C96AC8"/>
    <w:rsid w:val="00CA25A8"/>
    <w:rsid w:val="00CA4E80"/>
    <w:rsid w:val="00CA7D56"/>
    <w:rsid w:val="00CA7F5C"/>
    <w:rsid w:val="00CB3334"/>
    <w:rsid w:val="00CB39C0"/>
    <w:rsid w:val="00CB424D"/>
    <w:rsid w:val="00CB5FCA"/>
    <w:rsid w:val="00CC1313"/>
    <w:rsid w:val="00CC27D8"/>
    <w:rsid w:val="00CC53A7"/>
    <w:rsid w:val="00CD03C2"/>
    <w:rsid w:val="00CD0D31"/>
    <w:rsid w:val="00CD7E03"/>
    <w:rsid w:val="00CE05BE"/>
    <w:rsid w:val="00CE0A02"/>
    <w:rsid w:val="00CE20A2"/>
    <w:rsid w:val="00CE21C9"/>
    <w:rsid w:val="00CE22DF"/>
    <w:rsid w:val="00CE45D5"/>
    <w:rsid w:val="00CE59A5"/>
    <w:rsid w:val="00CE64B1"/>
    <w:rsid w:val="00CE6644"/>
    <w:rsid w:val="00CF0CFC"/>
    <w:rsid w:val="00CF136A"/>
    <w:rsid w:val="00CF2B33"/>
    <w:rsid w:val="00CF490C"/>
    <w:rsid w:val="00CF4949"/>
    <w:rsid w:val="00CF4995"/>
    <w:rsid w:val="00CF585A"/>
    <w:rsid w:val="00CF5A2E"/>
    <w:rsid w:val="00D00EF9"/>
    <w:rsid w:val="00D05090"/>
    <w:rsid w:val="00D050B1"/>
    <w:rsid w:val="00D062F3"/>
    <w:rsid w:val="00D07093"/>
    <w:rsid w:val="00D143D2"/>
    <w:rsid w:val="00D164CC"/>
    <w:rsid w:val="00D24F72"/>
    <w:rsid w:val="00D25761"/>
    <w:rsid w:val="00D27EDF"/>
    <w:rsid w:val="00D326BF"/>
    <w:rsid w:val="00D32CC3"/>
    <w:rsid w:val="00D4056E"/>
    <w:rsid w:val="00D41F08"/>
    <w:rsid w:val="00D43A84"/>
    <w:rsid w:val="00D4427B"/>
    <w:rsid w:val="00D46917"/>
    <w:rsid w:val="00D505EA"/>
    <w:rsid w:val="00D525B7"/>
    <w:rsid w:val="00D52CEF"/>
    <w:rsid w:val="00D54AB9"/>
    <w:rsid w:val="00D55C28"/>
    <w:rsid w:val="00D56985"/>
    <w:rsid w:val="00D56CAE"/>
    <w:rsid w:val="00D61EBC"/>
    <w:rsid w:val="00D74681"/>
    <w:rsid w:val="00D75085"/>
    <w:rsid w:val="00D751F2"/>
    <w:rsid w:val="00D76A82"/>
    <w:rsid w:val="00D800FE"/>
    <w:rsid w:val="00D81095"/>
    <w:rsid w:val="00D83243"/>
    <w:rsid w:val="00D83D04"/>
    <w:rsid w:val="00D8622C"/>
    <w:rsid w:val="00D910E2"/>
    <w:rsid w:val="00DA72D3"/>
    <w:rsid w:val="00DB1D2E"/>
    <w:rsid w:val="00DB46FC"/>
    <w:rsid w:val="00DC0E00"/>
    <w:rsid w:val="00DC0F57"/>
    <w:rsid w:val="00DC2584"/>
    <w:rsid w:val="00DC331C"/>
    <w:rsid w:val="00DC42BF"/>
    <w:rsid w:val="00DC71DC"/>
    <w:rsid w:val="00DC7953"/>
    <w:rsid w:val="00DD4139"/>
    <w:rsid w:val="00DD7E17"/>
    <w:rsid w:val="00DE0F2C"/>
    <w:rsid w:val="00DE5D6B"/>
    <w:rsid w:val="00DF0B51"/>
    <w:rsid w:val="00DF2012"/>
    <w:rsid w:val="00DF4962"/>
    <w:rsid w:val="00E00750"/>
    <w:rsid w:val="00E011B0"/>
    <w:rsid w:val="00E02AEF"/>
    <w:rsid w:val="00E0320C"/>
    <w:rsid w:val="00E1008D"/>
    <w:rsid w:val="00E107C9"/>
    <w:rsid w:val="00E120FC"/>
    <w:rsid w:val="00E13D65"/>
    <w:rsid w:val="00E2167F"/>
    <w:rsid w:val="00E24DB4"/>
    <w:rsid w:val="00E30F84"/>
    <w:rsid w:val="00E3219F"/>
    <w:rsid w:val="00E32D78"/>
    <w:rsid w:val="00E34F26"/>
    <w:rsid w:val="00E35C0C"/>
    <w:rsid w:val="00E35DC7"/>
    <w:rsid w:val="00E41020"/>
    <w:rsid w:val="00E42623"/>
    <w:rsid w:val="00E46146"/>
    <w:rsid w:val="00E470DD"/>
    <w:rsid w:val="00E47933"/>
    <w:rsid w:val="00E513A4"/>
    <w:rsid w:val="00E5141A"/>
    <w:rsid w:val="00E546B4"/>
    <w:rsid w:val="00E55311"/>
    <w:rsid w:val="00E56ECE"/>
    <w:rsid w:val="00E57FAE"/>
    <w:rsid w:val="00E60E59"/>
    <w:rsid w:val="00E63210"/>
    <w:rsid w:val="00E632AF"/>
    <w:rsid w:val="00E64001"/>
    <w:rsid w:val="00E64079"/>
    <w:rsid w:val="00E642A6"/>
    <w:rsid w:val="00E65342"/>
    <w:rsid w:val="00E653D9"/>
    <w:rsid w:val="00E65C61"/>
    <w:rsid w:val="00E70412"/>
    <w:rsid w:val="00E7098E"/>
    <w:rsid w:val="00E711EA"/>
    <w:rsid w:val="00E73D5C"/>
    <w:rsid w:val="00E74F6D"/>
    <w:rsid w:val="00E757B0"/>
    <w:rsid w:val="00E76F01"/>
    <w:rsid w:val="00E80289"/>
    <w:rsid w:val="00E83A47"/>
    <w:rsid w:val="00E85A7F"/>
    <w:rsid w:val="00E87B35"/>
    <w:rsid w:val="00E922B7"/>
    <w:rsid w:val="00E951B6"/>
    <w:rsid w:val="00E9766A"/>
    <w:rsid w:val="00EA0B05"/>
    <w:rsid w:val="00EA15B8"/>
    <w:rsid w:val="00EA243A"/>
    <w:rsid w:val="00EA2482"/>
    <w:rsid w:val="00EA287D"/>
    <w:rsid w:val="00EA43AF"/>
    <w:rsid w:val="00EA4759"/>
    <w:rsid w:val="00EA4ADA"/>
    <w:rsid w:val="00EA502E"/>
    <w:rsid w:val="00EA58B4"/>
    <w:rsid w:val="00EA6917"/>
    <w:rsid w:val="00EA6AE2"/>
    <w:rsid w:val="00EA7478"/>
    <w:rsid w:val="00EB02B1"/>
    <w:rsid w:val="00EB0AB9"/>
    <w:rsid w:val="00EB258C"/>
    <w:rsid w:val="00EB2ACE"/>
    <w:rsid w:val="00EB2CDC"/>
    <w:rsid w:val="00EB3066"/>
    <w:rsid w:val="00EB4AB2"/>
    <w:rsid w:val="00EB6FBD"/>
    <w:rsid w:val="00ED2D8E"/>
    <w:rsid w:val="00ED3D84"/>
    <w:rsid w:val="00ED51B1"/>
    <w:rsid w:val="00EE1D21"/>
    <w:rsid w:val="00EE36FF"/>
    <w:rsid w:val="00EE4315"/>
    <w:rsid w:val="00EE763D"/>
    <w:rsid w:val="00EF1A16"/>
    <w:rsid w:val="00EF4360"/>
    <w:rsid w:val="00EF5E84"/>
    <w:rsid w:val="00EF6512"/>
    <w:rsid w:val="00F00611"/>
    <w:rsid w:val="00F01126"/>
    <w:rsid w:val="00F02273"/>
    <w:rsid w:val="00F0284A"/>
    <w:rsid w:val="00F05D08"/>
    <w:rsid w:val="00F07D9B"/>
    <w:rsid w:val="00F11773"/>
    <w:rsid w:val="00F126B6"/>
    <w:rsid w:val="00F1553C"/>
    <w:rsid w:val="00F15BB3"/>
    <w:rsid w:val="00F16970"/>
    <w:rsid w:val="00F20667"/>
    <w:rsid w:val="00F2257C"/>
    <w:rsid w:val="00F229E6"/>
    <w:rsid w:val="00F23EF0"/>
    <w:rsid w:val="00F342A3"/>
    <w:rsid w:val="00F35AA5"/>
    <w:rsid w:val="00F367BA"/>
    <w:rsid w:val="00F3799E"/>
    <w:rsid w:val="00F415AC"/>
    <w:rsid w:val="00F41EA7"/>
    <w:rsid w:val="00F4213D"/>
    <w:rsid w:val="00F5065D"/>
    <w:rsid w:val="00F520DC"/>
    <w:rsid w:val="00F600C5"/>
    <w:rsid w:val="00F60DED"/>
    <w:rsid w:val="00F60EF1"/>
    <w:rsid w:val="00F61C14"/>
    <w:rsid w:val="00F6642A"/>
    <w:rsid w:val="00F670AB"/>
    <w:rsid w:val="00F7381F"/>
    <w:rsid w:val="00F7563E"/>
    <w:rsid w:val="00F75A18"/>
    <w:rsid w:val="00F763AB"/>
    <w:rsid w:val="00F835DF"/>
    <w:rsid w:val="00F90268"/>
    <w:rsid w:val="00F9118D"/>
    <w:rsid w:val="00F911EF"/>
    <w:rsid w:val="00F92A51"/>
    <w:rsid w:val="00F93D3B"/>
    <w:rsid w:val="00F94DB3"/>
    <w:rsid w:val="00F95AFA"/>
    <w:rsid w:val="00F95C72"/>
    <w:rsid w:val="00F96A15"/>
    <w:rsid w:val="00F96BFF"/>
    <w:rsid w:val="00FA1B8D"/>
    <w:rsid w:val="00FA1E14"/>
    <w:rsid w:val="00FA2A7C"/>
    <w:rsid w:val="00FA7522"/>
    <w:rsid w:val="00FB337D"/>
    <w:rsid w:val="00FB3F35"/>
    <w:rsid w:val="00FC05FE"/>
    <w:rsid w:val="00FC1B28"/>
    <w:rsid w:val="00FC5221"/>
    <w:rsid w:val="00FC5ACE"/>
    <w:rsid w:val="00FD1AF9"/>
    <w:rsid w:val="00FD6285"/>
    <w:rsid w:val="00FD6E81"/>
    <w:rsid w:val="00FE11C0"/>
    <w:rsid w:val="00FE3899"/>
    <w:rsid w:val="00FE6E75"/>
    <w:rsid w:val="00FF0498"/>
    <w:rsid w:val="00FF0B85"/>
    <w:rsid w:val="00FF195D"/>
    <w:rsid w:val="00FF2EA0"/>
    <w:rsid w:val="00FF4E74"/>
    <w:rsid w:val="00FF532E"/>
    <w:rsid w:val="00FF54A7"/>
    <w:rsid w:val="00FF73C2"/>
    <w:rsid w:val="36A87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24C98"/>
  <w15:docId w15:val="{B2ACD933-5EE1-4B65-9BAC-2E6F84C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CD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2C0CD5"/>
    <w:pPr>
      <w:keepNext/>
      <w:jc w:val="center"/>
      <w:outlineLvl w:val="0"/>
    </w:pPr>
    <w:rPr>
      <w:i/>
      <w:sz w:val="24"/>
    </w:rPr>
  </w:style>
  <w:style w:type="paragraph" w:styleId="Heading2">
    <w:name w:val="heading 2"/>
    <w:basedOn w:val="Normal"/>
    <w:next w:val="Normal"/>
    <w:link w:val="Heading2Char"/>
    <w:uiPriority w:val="9"/>
    <w:unhideWhenUsed/>
    <w:qFormat/>
    <w:rsid w:val="001E505E"/>
    <w:pPr>
      <w:keepNext/>
      <w:keepLines/>
      <w:suppressAutoHyphens/>
      <w:spacing w:before="320" w:after="160"/>
      <w:outlineLvl w:val="1"/>
    </w:pPr>
    <w:rPr>
      <w:rFonts w:asciiTheme="majorHAnsi" w:eastAsiaTheme="majorEastAsia" w:hAnsiTheme="majorHAnsi" w:cstheme="majorBidi"/>
      <w:color w:val="373545" w:themeColor="text2"/>
      <w:sz w:val="36"/>
      <w:szCs w:val="26"/>
      <w:lang w:eastAsia="en-US"/>
    </w:rPr>
  </w:style>
  <w:style w:type="paragraph" w:styleId="Heading3">
    <w:name w:val="heading 3"/>
    <w:basedOn w:val="Normal"/>
    <w:next w:val="Normal"/>
    <w:link w:val="Heading3Char"/>
    <w:uiPriority w:val="9"/>
    <w:unhideWhenUsed/>
    <w:qFormat/>
    <w:rsid w:val="001E505E"/>
    <w:pPr>
      <w:keepNext/>
      <w:keepLines/>
      <w:spacing w:before="4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rsid w:val="001E505E"/>
    <w:pPr>
      <w:keepNext/>
      <w:keepLines/>
      <w:suppressAutoHyphens/>
      <w:spacing w:before="240" w:after="160"/>
      <w:outlineLvl w:val="3"/>
    </w:pPr>
    <w:rPr>
      <w:rFonts w:asciiTheme="majorHAnsi" w:eastAsiaTheme="majorEastAsia" w:hAnsiTheme="majorHAnsi" w:cstheme="majorBidi"/>
      <w:b/>
      <w:iCs/>
      <w:color w:val="3C4647" w:themeColor="accent4" w:themeShade="80"/>
      <w:sz w:val="26"/>
      <w:szCs w:val="22"/>
      <w:lang w:eastAsia="en-US"/>
    </w:rPr>
  </w:style>
  <w:style w:type="paragraph" w:styleId="Heading5">
    <w:name w:val="heading 5"/>
    <w:basedOn w:val="Normal"/>
    <w:next w:val="Normal"/>
    <w:link w:val="Heading5Char"/>
    <w:uiPriority w:val="9"/>
    <w:unhideWhenUsed/>
    <w:rsid w:val="001E505E"/>
    <w:pPr>
      <w:keepNext/>
      <w:keepLines/>
      <w:suppressAutoHyphens/>
      <w:spacing w:before="240" w:after="160"/>
      <w:outlineLvl w:val="4"/>
    </w:pPr>
    <w:rPr>
      <w:rFonts w:asciiTheme="majorHAnsi" w:eastAsiaTheme="majorEastAsia" w:hAnsiTheme="majorHAnsi" w:cstheme="majorBidi"/>
      <w:b/>
      <w:color w:val="373545" w:themeColor="text2"/>
      <w:sz w:val="22"/>
      <w:szCs w:val="22"/>
      <w:lang w:eastAsia="en-US"/>
    </w:rPr>
  </w:style>
  <w:style w:type="paragraph" w:styleId="Heading6">
    <w:name w:val="heading 6"/>
    <w:basedOn w:val="Normal"/>
    <w:next w:val="Normal"/>
    <w:link w:val="Heading6Char"/>
    <w:uiPriority w:val="9"/>
    <w:semiHidden/>
    <w:unhideWhenUsed/>
    <w:rsid w:val="001E505E"/>
    <w:pPr>
      <w:keepNext/>
      <w:keepLines/>
      <w:suppressAutoHyphens/>
      <w:spacing w:before="240" w:after="160"/>
      <w:outlineLvl w:val="5"/>
    </w:pPr>
    <w:rPr>
      <w:rFonts w:asciiTheme="majorHAnsi" w:eastAsiaTheme="majorEastAsia" w:hAnsiTheme="majorHAnsi" w:cstheme="majorBidi"/>
      <w:i/>
      <w:color w:val="373545" w:themeColor="text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D5"/>
    <w:rPr>
      <w:rFonts w:ascii="Times New Roman" w:eastAsia="Times New Roman" w:hAnsi="Times New Roman" w:cs="Times New Roman"/>
      <w:i/>
      <w:sz w:val="24"/>
      <w:szCs w:val="20"/>
      <w:lang w:eastAsia="en-AU"/>
    </w:rPr>
  </w:style>
  <w:style w:type="paragraph" w:styleId="Title">
    <w:name w:val="Title"/>
    <w:basedOn w:val="Normal"/>
    <w:link w:val="TitleChar"/>
    <w:uiPriority w:val="17"/>
    <w:qFormat/>
    <w:rsid w:val="002C0CD5"/>
    <w:pPr>
      <w:jc w:val="center"/>
    </w:pPr>
    <w:rPr>
      <w:b/>
      <w:sz w:val="24"/>
      <w:u w:val="single"/>
      <w:lang w:val="en-GB" w:eastAsia="en-US"/>
    </w:rPr>
  </w:style>
  <w:style w:type="character" w:customStyle="1" w:styleId="TitleChar">
    <w:name w:val="Title Char"/>
    <w:basedOn w:val="DefaultParagraphFont"/>
    <w:link w:val="Title"/>
    <w:uiPriority w:val="17"/>
    <w:rsid w:val="002C0CD5"/>
    <w:rPr>
      <w:rFonts w:ascii="Times New Roman" w:eastAsia="Times New Roman" w:hAnsi="Times New Roman" w:cs="Times New Roman"/>
      <w:b/>
      <w:sz w:val="24"/>
      <w:szCs w:val="20"/>
      <w:u w:val="single"/>
      <w:lang w:val="en-GB"/>
    </w:rPr>
  </w:style>
  <w:style w:type="paragraph" w:styleId="BodyText3">
    <w:name w:val="Body Text 3"/>
    <w:basedOn w:val="Normal"/>
    <w:link w:val="BodyText3Char"/>
    <w:rsid w:val="002C0CD5"/>
    <w:rPr>
      <w:sz w:val="24"/>
      <w:u w:val="single"/>
      <w:lang w:val="en-GB" w:eastAsia="en-US"/>
    </w:rPr>
  </w:style>
  <w:style w:type="character" w:customStyle="1" w:styleId="BodyText3Char">
    <w:name w:val="Body Text 3 Char"/>
    <w:basedOn w:val="DefaultParagraphFont"/>
    <w:link w:val="BodyText3"/>
    <w:rsid w:val="002C0CD5"/>
    <w:rPr>
      <w:rFonts w:ascii="Times New Roman" w:eastAsia="Times New Roman" w:hAnsi="Times New Roman" w:cs="Times New Roman"/>
      <w:sz w:val="24"/>
      <w:szCs w:val="20"/>
      <w:u w:val="single"/>
      <w:lang w:val="en-GB"/>
    </w:rPr>
  </w:style>
  <w:style w:type="paragraph" w:styleId="BodyText">
    <w:name w:val="Body Text"/>
    <w:basedOn w:val="Normal"/>
    <w:link w:val="BodyTextChar"/>
    <w:rsid w:val="002C0CD5"/>
    <w:pPr>
      <w:jc w:val="center"/>
    </w:pPr>
    <w:rPr>
      <w:sz w:val="24"/>
    </w:rPr>
  </w:style>
  <w:style w:type="character" w:customStyle="1" w:styleId="BodyTextChar">
    <w:name w:val="Body Text Char"/>
    <w:basedOn w:val="DefaultParagraphFont"/>
    <w:link w:val="BodyText"/>
    <w:rsid w:val="002C0CD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2C0CD5"/>
    <w:pPr>
      <w:tabs>
        <w:tab w:val="center" w:pos="4320"/>
        <w:tab w:val="right" w:pos="8640"/>
      </w:tabs>
    </w:pPr>
    <w:rPr>
      <w:sz w:val="24"/>
    </w:rPr>
  </w:style>
  <w:style w:type="character" w:customStyle="1" w:styleId="HeaderChar">
    <w:name w:val="Header Char"/>
    <w:basedOn w:val="DefaultParagraphFont"/>
    <w:link w:val="Header"/>
    <w:uiPriority w:val="99"/>
    <w:rsid w:val="002C0CD5"/>
    <w:rPr>
      <w:rFonts w:ascii="Times New Roman" w:eastAsia="Times New Roman" w:hAnsi="Times New Roman" w:cs="Times New Roman"/>
      <w:sz w:val="24"/>
      <w:szCs w:val="20"/>
      <w:lang w:eastAsia="en-AU"/>
    </w:rPr>
  </w:style>
  <w:style w:type="character" w:styleId="PageNumber">
    <w:name w:val="page number"/>
    <w:basedOn w:val="DefaultParagraphFont"/>
    <w:uiPriority w:val="99"/>
    <w:rsid w:val="002C0CD5"/>
  </w:style>
  <w:style w:type="character" w:styleId="CommentReference">
    <w:name w:val="annotation reference"/>
    <w:basedOn w:val="DefaultParagraphFont"/>
    <w:uiPriority w:val="99"/>
    <w:semiHidden/>
    <w:rsid w:val="002C0CD5"/>
    <w:rPr>
      <w:sz w:val="16"/>
      <w:szCs w:val="16"/>
    </w:rPr>
  </w:style>
  <w:style w:type="paragraph" w:styleId="CommentText">
    <w:name w:val="annotation text"/>
    <w:basedOn w:val="Normal"/>
    <w:link w:val="CommentTextChar"/>
    <w:uiPriority w:val="99"/>
    <w:semiHidden/>
    <w:rsid w:val="002C0CD5"/>
  </w:style>
  <w:style w:type="character" w:customStyle="1" w:styleId="CommentTextChar">
    <w:name w:val="Comment Text Char"/>
    <w:basedOn w:val="DefaultParagraphFont"/>
    <w:link w:val="CommentText"/>
    <w:uiPriority w:val="99"/>
    <w:semiHidden/>
    <w:rsid w:val="002C0CD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C0CD5"/>
    <w:rPr>
      <w:rFonts w:ascii="Tahoma" w:hAnsi="Tahoma" w:cs="Tahoma"/>
      <w:sz w:val="16"/>
      <w:szCs w:val="16"/>
    </w:rPr>
  </w:style>
  <w:style w:type="character" w:customStyle="1" w:styleId="BalloonTextChar">
    <w:name w:val="Balloon Text Char"/>
    <w:basedOn w:val="DefaultParagraphFont"/>
    <w:link w:val="BalloonText"/>
    <w:uiPriority w:val="99"/>
    <w:semiHidden/>
    <w:rsid w:val="002C0CD5"/>
    <w:rPr>
      <w:rFonts w:ascii="Tahoma" w:eastAsia="Times New Roman" w:hAnsi="Tahoma" w:cs="Tahoma"/>
      <w:sz w:val="16"/>
      <w:szCs w:val="16"/>
      <w:lang w:eastAsia="en-AU"/>
    </w:rPr>
  </w:style>
  <w:style w:type="paragraph" w:styleId="Footer">
    <w:name w:val="footer"/>
    <w:basedOn w:val="Normal"/>
    <w:link w:val="FooterChar"/>
    <w:uiPriority w:val="99"/>
    <w:unhideWhenUsed/>
    <w:rsid w:val="00203EBE"/>
    <w:pPr>
      <w:tabs>
        <w:tab w:val="center" w:pos="4513"/>
        <w:tab w:val="right" w:pos="9026"/>
      </w:tabs>
    </w:pPr>
  </w:style>
  <w:style w:type="character" w:customStyle="1" w:styleId="FooterChar">
    <w:name w:val="Footer Char"/>
    <w:basedOn w:val="DefaultParagraphFont"/>
    <w:link w:val="Footer"/>
    <w:uiPriority w:val="99"/>
    <w:rsid w:val="00203EB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51AE3"/>
    <w:rPr>
      <w:b/>
      <w:bCs/>
    </w:rPr>
  </w:style>
  <w:style w:type="character" w:customStyle="1" w:styleId="CommentSubjectChar">
    <w:name w:val="Comment Subject Char"/>
    <w:basedOn w:val="CommentTextChar"/>
    <w:link w:val="CommentSubject"/>
    <w:uiPriority w:val="99"/>
    <w:semiHidden/>
    <w:rsid w:val="00951AE3"/>
    <w:rPr>
      <w:rFonts w:ascii="Times New Roman" w:eastAsia="Times New Roman" w:hAnsi="Times New Roman" w:cs="Times New Roman"/>
      <w:b/>
      <w:bCs/>
      <w:sz w:val="20"/>
      <w:szCs w:val="20"/>
      <w:lang w:eastAsia="en-AU"/>
    </w:rPr>
  </w:style>
  <w:style w:type="paragraph" w:styleId="BodyText2">
    <w:name w:val="Body Text 2"/>
    <w:basedOn w:val="Normal"/>
    <w:link w:val="BodyText2Char"/>
    <w:uiPriority w:val="99"/>
    <w:unhideWhenUsed/>
    <w:rsid w:val="002131AC"/>
    <w:pPr>
      <w:spacing w:after="120" w:line="480" w:lineRule="auto"/>
    </w:pPr>
  </w:style>
  <w:style w:type="character" w:customStyle="1" w:styleId="BodyText2Char">
    <w:name w:val="Body Text 2 Char"/>
    <w:basedOn w:val="DefaultParagraphFont"/>
    <w:link w:val="BodyText2"/>
    <w:uiPriority w:val="99"/>
    <w:rsid w:val="002131AC"/>
    <w:rPr>
      <w:rFonts w:ascii="Times New Roman" w:eastAsia="Times New Roman" w:hAnsi="Times New Roman" w:cs="Times New Roman"/>
      <w:sz w:val="20"/>
      <w:szCs w:val="20"/>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8A3C27"/>
    <w:pPr>
      <w:ind w:left="720"/>
      <w:contextualSpacing/>
    </w:pPr>
  </w:style>
  <w:style w:type="character" w:styleId="Emphasis">
    <w:name w:val="Emphasis"/>
    <w:basedOn w:val="DefaultParagraphFont"/>
    <w:uiPriority w:val="20"/>
    <w:qFormat/>
    <w:rsid w:val="0014799A"/>
    <w:rPr>
      <w:i/>
      <w:iCs/>
    </w:rPr>
  </w:style>
  <w:style w:type="paragraph" w:customStyle="1" w:styleId="Default">
    <w:name w:val="Default"/>
    <w:basedOn w:val="Normal"/>
    <w:rsid w:val="000C5458"/>
    <w:pPr>
      <w:autoSpaceDE w:val="0"/>
      <w:autoSpaceDN w:val="0"/>
    </w:pPr>
    <w:rPr>
      <w:rFonts w:ascii="Calibri" w:eastAsiaTheme="minorHAnsi" w:hAnsi="Calibri" w:cs="Calibri"/>
      <w:color w:val="000000"/>
      <w:sz w:val="24"/>
      <w:szCs w:val="24"/>
      <w:lang w:eastAsia="en-US"/>
    </w:rPr>
  </w:style>
  <w:style w:type="paragraph" w:styleId="Revision">
    <w:name w:val="Revision"/>
    <w:hidden/>
    <w:uiPriority w:val="99"/>
    <w:semiHidden/>
    <w:rsid w:val="000D57DD"/>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rsid w:val="001E505E"/>
    <w:rPr>
      <w:rFonts w:asciiTheme="majorHAnsi" w:eastAsiaTheme="majorEastAsia" w:hAnsiTheme="majorHAnsi" w:cstheme="majorBidi"/>
      <w:color w:val="373545" w:themeColor="text2"/>
      <w:sz w:val="36"/>
      <w:szCs w:val="26"/>
    </w:rPr>
  </w:style>
  <w:style w:type="character" w:customStyle="1" w:styleId="Heading3Char">
    <w:name w:val="Heading 3 Char"/>
    <w:basedOn w:val="DefaultParagraphFont"/>
    <w:link w:val="Heading3"/>
    <w:uiPriority w:val="9"/>
    <w:rsid w:val="001E505E"/>
    <w:rPr>
      <w:rFonts w:asciiTheme="majorHAnsi" w:eastAsiaTheme="majorEastAsia" w:hAnsiTheme="majorHAnsi" w:cstheme="majorBidi"/>
      <w:color w:val="1A495C" w:themeColor="accent1" w:themeShade="7F"/>
      <w:sz w:val="24"/>
      <w:szCs w:val="24"/>
      <w:lang w:eastAsia="en-AU"/>
    </w:rPr>
  </w:style>
  <w:style w:type="character" w:customStyle="1" w:styleId="Heading4Char">
    <w:name w:val="Heading 4 Char"/>
    <w:basedOn w:val="DefaultParagraphFont"/>
    <w:link w:val="Heading4"/>
    <w:uiPriority w:val="9"/>
    <w:rsid w:val="001E505E"/>
    <w:rPr>
      <w:rFonts w:asciiTheme="majorHAnsi" w:eastAsiaTheme="majorEastAsia" w:hAnsiTheme="majorHAnsi" w:cstheme="majorBidi"/>
      <w:b/>
      <w:iCs/>
      <w:color w:val="3C4647" w:themeColor="accent4" w:themeShade="80"/>
      <w:sz w:val="26"/>
    </w:rPr>
  </w:style>
  <w:style w:type="character" w:customStyle="1" w:styleId="Heading5Char">
    <w:name w:val="Heading 5 Char"/>
    <w:basedOn w:val="DefaultParagraphFont"/>
    <w:link w:val="Heading5"/>
    <w:uiPriority w:val="9"/>
    <w:rsid w:val="001E505E"/>
    <w:rPr>
      <w:rFonts w:asciiTheme="majorHAnsi" w:eastAsiaTheme="majorEastAsia" w:hAnsiTheme="majorHAnsi" w:cstheme="majorBidi"/>
      <w:b/>
      <w:color w:val="373545" w:themeColor="text2"/>
    </w:rPr>
  </w:style>
  <w:style w:type="character" w:customStyle="1" w:styleId="Heading6Char">
    <w:name w:val="Heading 6 Char"/>
    <w:basedOn w:val="DefaultParagraphFont"/>
    <w:link w:val="Heading6"/>
    <w:uiPriority w:val="9"/>
    <w:semiHidden/>
    <w:rsid w:val="001E505E"/>
    <w:rPr>
      <w:rFonts w:asciiTheme="majorHAnsi" w:eastAsiaTheme="majorEastAsia" w:hAnsiTheme="majorHAnsi" w:cstheme="majorBidi"/>
      <w:i/>
      <w:color w:val="373545" w:themeColor="text2"/>
    </w:rPr>
  </w:style>
  <w:style w:type="character" w:styleId="PlaceholderText">
    <w:name w:val="Placeholder Text"/>
    <w:basedOn w:val="DefaultParagraphFont"/>
    <w:uiPriority w:val="99"/>
    <w:semiHidden/>
    <w:rsid w:val="001E505E"/>
    <w:rPr>
      <w:color w:val="808080"/>
    </w:rPr>
  </w:style>
  <w:style w:type="paragraph" w:styleId="Subtitle">
    <w:name w:val="Subtitle"/>
    <w:basedOn w:val="Normal"/>
    <w:next w:val="Normal"/>
    <w:link w:val="SubtitleChar"/>
    <w:uiPriority w:val="18"/>
    <w:qFormat/>
    <w:rsid w:val="001E505E"/>
    <w:pPr>
      <w:numPr>
        <w:ilvl w:val="1"/>
      </w:numPr>
      <w:suppressAutoHyphens/>
      <w:spacing w:before="480" w:after="160"/>
    </w:pPr>
    <w:rPr>
      <w:rFonts w:asciiTheme="majorHAnsi" w:eastAsiaTheme="minorEastAsia" w:hAnsiTheme="majorHAnsi" w:cstheme="minorBidi"/>
      <w:color w:val="377B88"/>
      <w:sz w:val="44"/>
      <w:szCs w:val="22"/>
      <w:lang w:eastAsia="en-US"/>
    </w:rPr>
  </w:style>
  <w:style w:type="character" w:customStyle="1" w:styleId="SubtitleChar">
    <w:name w:val="Subtitle Char"/>
    <w:basedOn w:val="DefaultParagraphFont"/>
    <w:link w:val="Subtitle"/>
    <w:uiPriority w:val="18"/>
    <w:rsid w:val="001E505E"/>
    <w:rPr>
      <w:rFonts w:asciiTheme="majorHAnsi" w:eastAsiaTheme="minorEastAsia" w:hAnsiTheme="majorHAnsi"/>
      <w:color w:val="377B88"/>
      <w:sz w:val="44"/>
    </w:rPr>
  </w:style>
  <w:style w:type="paragraph" w:customStyle="1" w:styleId="CoverDate">
    <w:name w:val="Cover Date"/>
    <w:basedOn w:val="Normal"/>
    <w:uiPriority w:val="19"/>
    <w:qFormat/>
    <w:rsid w:val="001E505E"/>
    <w:pPr>
      <w:suppressAutoHyphens/>
      <w:spacing w:before="160" w:after="80"/>
    </w:pPr>
    <w:rPr>
      <w:rFonts w:asciiTheme="minorHAnsi" w:eastAsiaTheme="minorHAnsi" w:hAnsiTheme="minorHAnsi" w:cstheme="minorBidi"/>
      <w:b/>
      <w:color w:val="000000" w:themeColor="text1"/>
      <w:sz w:val="22"/>
      <w:szCs w:val="22"/>
      <w:lang w:eastAsia="en-US"/>
    </w:rPr>
  </w:style>
  <w:style w:type="paragraph" w:customStyle="1" w:styleId="CoverPhoto">
    <w:name w:val="Cover Photo"/>
    <w:basedOn w:val="Normal"/>
    <w:uiPriority w:val="19"/>
    <w:qFormat/>
    <w:rsid w:val="001E505E"/>
    <w:pPr>
      <w:suppressAutoHyphens/>
      <w:spacing w:before="1240" w:after="160"/>
    </w:pPr>
    <w:rPr>
      <w:rFonts w:asciiTheme="minorHAnsi" w:eastAsiaTheme="minorHAnsi" w:hAnsiTheme="minorHAnsi" w:cstheme="minorBidi"/>
      <w:color w:val="000000" w:themeColor="text1"/>
      <w:sz w:val="22"/>
      <w:szCs w:val="22"/>
      <w:lang w:eastAsia="en-US"/>
    </w:rPr>
  </w:style>
  <w:style w:type="paragraph" w:styleId="NoSpacing">
    <w:name w:val="No Spacing"/>
    <w:uiPriority w:val="1"/>
    <w:qFormat/>
    <w:rsid w:val="001E505E"/>
    <w:pPr>
      <w:suppressAutoHyphens/>
      <w:spacing w:before="160" w:after="80" w:line="240" w:lineRule="auto"/>
      <w:contextualSpacing/>
    </w:pPr>
    <w:rPr>
      <w:color w:val="000000" w:themeColor="text1"/>
      <w:kern w:val="12"/>
    </w:rPr>
  </w:style>
  <w:style w:type="paragraph" w:customStyle="1" w:styleId="ImprintHeading">
    <w:name w:val="Imprint Heading"/>
    <w:basedOn w:val="Normal"/>
    <w:uiPriority w:val="12"/>
    <w:rsid w:val="001E505E"/>
    <w:pPr>
      <w:suppressAutoHyphens/>
      <w:spacing w:before="240" w:after="160"/>
      <w:outlineLvl w:val="1"/>
    </w:pPr>
    <w:rPr>
      <w:rFonts w:asciiTheme="minorHAnsi" w:eastAsiaTheme="minorHAnsi" w:hAnsiTheme="minorHAnsi" w:cstheme="minorBidi"/>
      <w:b/>
      <w:color w:val="000000" w:themeColor="text1"/>
      <w:sz w:val="22"/>
      <w:szCs w:val="22"/>
      <w:lang w:val="x-none" w:eastAsia="en-US"/>
    </w:rPr>
  </w:style>
  <w:style w:type="character" w:styleId="Hyperlink">
    <w:name w:val="Hyperlink"/>
    <w:basedOn w:val="DefaultParagraphFont"/>
    <w:uiPriority w:val="99"/>
    <w:unhideWhenUsed/>
    <w:rsid w:val="001E505E"/>
    <w:rPr>
      <w:color w:val="6B9F25" w:themeColor="hyperlink"/>
      <w:u w:val="single"/>
    </w:rPr>
  </w:style>
  <w:style w:type="table" w:styleId="TableGrid">
    <w:name w:val="Table Grid"/>
    <w:basedOn w:val="TableNormal"/>
    <w:uiPriority w:val="39"/>
    <w:rsid w:val="001E505E"/>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f"/>
    <w:basedOn w:val="Normal"/>
    <w:link w:val="FootnoteTextChar"/>
    <w:uiPriority w:val="99"/>
    <w:qFormat/>
    <w:rsid w:val="001E505E"/>
    <w:pPr>
      <w:suppressAutoHyphens/>
      <w:ind w:left="284" w:hanging="284"/>
    </w:pPr>
    <w:rPr>
      <w:rFonts w:asciiTheme="minorHAnsi" w:eastAsiaTheme="minorHAnsi" w:hAnsiTheme="minorHAnsi" w:cstheme="minorBidi"/>
      <w:color w:val="000000" w:themeColor="text1"/>
      <w:sz w:val="18"/>
      <w:szCs w:val="22"/>
      <w:lang w:eastAsia="en-US"/>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f Char"/>
    <w:basedOn w:val="DefaultParagraphFont"/>
    <w:link w:val="FootnoteText"/>
    <w:uiPriority w:val="99"/>
    <w:qFormat/>
    <w:rsid w:val="001E505E"/>
    <w:rPr>
      <w:color w:val="000000" w:themeColor="text1"/>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1E505E"/>
    <w:rPr>
      <w:vertAlign w:val="superscript"/>
    </w:rPr>
  </w:style>
  <w:style w:type="paragraph" w:customStyle="1" w:styleId="Introduction">
    <w:name w:val="Introduction"/>
    <w:basedOn w:val="Normal"/>
    <w:uiPriority w:val="2"/>
    <w:qFormat/>
    <w:rsid w:val="001E505E"/>
    <w:pPr>
      <w:suppressAutoHyphens/>
      <w:spacing w:before="240" w:after="240"/>
    </w:pPr>
    <w:rPr>
      <w:rFonts w:asciiTheme="minorHAnsi" w:eastAsiaTheme="minorHAnsi" w:hAnsiTheme="minorHAnsi" w:cstheme="minorBidi"/>
      <w:color w:val="377B88"/>
      <w:sz w:val="26"/>
      <w:szCs w:val="22"/>
      <w:lang w:val="x-none" w:eastAsia="en-US"/>
    </w:rPr>
  </w:style>
  <w:style w:type="paragraph" w:styleId="Caption">
    <w:name w:val="caption"/>
    <w:basedOn w:val="Normal"/>
    <w:next w:val="Normal"/>
    <w:uiPriority w:val="14"/>
    <w:qFormat/>
    <w:rsid w:val="001E505E"/>
    <w:pPr>
      <w:suppressAutoHyphens/>
      <w:spacing w:before="240" w:after="160"/>
    </w:pPr>
    <w:rPr>
      <w:rFonts w:asciiTheme="minorHAnsi" w:eastAsiaTheme="minorHAnsi" w:hAnsiTheme="minorHAnsi" w:cstheme="minorBidi"/>
      <w:b/>
      <w:iCs/>
      <w:color w:val="000000" w:themeColor="text1"/>
      <w:sz w:val="22"/>
      <w:szCs w:val="18"/>
      <w:lang w:eastAsia="en-US"/>
    </w:rPr>
  </w:style>
  <w:style w:type="table" w:customStyle="1" w:styleId="DefaultTable1">
    <w:name w:val="Default Table 1"/>
    <w:basedOn w:val="TableNormal"/>
    <w:uiPriority w:val="99"/>
    <w:rsid w:val="001E505E"/>
    <w:pPr>
      <w:spacing w:before="80" w:after="80" w:line="240" w:lineRule="auto"/>
    </w:pPr>
    <w:rPr>
      <w:color w:val="000000" w:themeColor="text1"/>
    </w:rPr>
    <w:tblPr>
      <w:tblStyleRowBandSize w:val="1"/>
      <w:tblStyleColBandSize w:val="1"/>
      <w:tblBorders>
        <w:top w:val="single" w:sz="4" w:space="0" w:color="58B6C0" w:themeColor="accent2"/>
        <w:bottom w:val="single" w:sz="4" w:space="0" w:color="58B6C0" w:themeColor="accent2"/>
        <w:insideH w:val="single" w:sz="4" w:space="0" w:color="58B6C0" w:themeColor="accent2"/>
      </w:tblBorders>
    </w:tblPr>
    <w:tblStylePr w:type="firstRow">
      <w:rPr>
        <w:b/>
        <w:color w:val="FFFFFF" w:themeColor="background1"/>
      </w:rPr>
      <w:tblPr/>
      <w:trPr>
        <w:tblHeader/>
      </w:trPr>
      <w:tcPr>
        <w:tcBorders>
          <w:top w:val="nil"/>
          <w:bottom w:val="nil"/>
        </w:tcBorders>
        <w:shd w:val="clear" w:color="auto" w:fill="3494BA" w:themeFill="accent1"/>
      </w:tcPr>
    </w:tblStylePr>
    <w:tblStylePr w:type="lastRow">
      <w:rPr>
        <w:b/>
      </w:rPr>
      <w:tblPr/>
      <w:tcPr>
        <w:shd w:val="clear" w:color="auto" w:fill="E6EEF0"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E505E"/>
    <w:pPr>
      <w:suppressAutoHyphens/>
      <w:spacing w:before="120" w:after="80"/>
    </w:pPr>
    <w:rPr>
      <w:rFonts w:asciiTheme="minorHAnsi" w:eastAsiaTheme="minorHAnsi" w:hAnsiTheme="minorHAnsi" w:cstheme="minorBidi"/>
      <w:color w:val="000000" w:themeColor="text1"/>
      <w:sz w:val="16"/>
      <w:szCs w:val="22"/>
      <w:lang w:val="x-none" w:eastAsia="en-US"/>
    </w:rPr>
  </w:style>
  <w:style w:type="paragraph" w:customStyle="1" w:styleId="Sourcenotesnumbered">
    <w:name w:val="Source notes numbered"/>
    <w:basedOn w:val="Sourcenotes"/>
    <w:uiPriority w:val="15"/>
    <w:qFormat/>
    <w:rsid w:val="001E505E"/>
    <w:pPr>
      <w:spacing w:before="80"/>
    </w:pPr>
  </w:style>
  <w:style w:type="paragraph" w:customStyle="1" w:styleId="ListLegal10">
    <w:name w:val="List Legal 1"/>
    <w:basedOn w:val="Normal"/>
    <w:uiPriority w:val="3"/>
    <w:qFormat/>
    <w:rsid w:val="001E505E"/>
    <w:pPr>
      <w:numPr>
        <w:numId w:val="2"/>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Legal2">
    <w:name w:val="List Legal 2"/>
    <w:basedOn w:val="ListLegal10"/>
    <w:uiPriority w:val="3"/>
    <w:rsid w:val="001E505E"/>
    <w:pPr>
      <w:numPr>
        <w:ilvl w:val="1"/>
      </w:numPr>
    </w:pPr>
  </w:style>
  <w:style w:type="paragraph" w:customStyle="1" w:styleId="ListLegal3">
    <w:name w:val="List Legal 3"/>
    <w:basedOn w:val="ListLegal2"/>
    <w:uiPriority w:val="3"/>
    <w:rsid w:val="001E505E"/>
    <w:pPr>
      <w:numPr>
        <w:ilvl w:val="2"/>
      </w:numPr>
    </w:pPr>
  </w:style>
  <w:style w:type="paragraph" w:customStyle="1" w:styleId="ListNumbered1">
    <w:name w:val="List Numbered 1"/>
    <w:basedOn w:val="Normal"/>
    <w:uiPriority w:val="3"/>
    <w:qFormat/>
    <w:rsid w:val="001E505E"/>
    <w:pPr>
      <w:numPr>
        <w:numId w:val="3"/>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ListNumbered21">
    <w:name w:val="List Numbered 2.1"/>
    <w:basedOn w:val="ListNumbered1"/>
    <w:uiPriority w:val="3"/>
    <w:rsid w:val="001E505E"/>
    <w:pPr>
      <w:numPr>
        <w:ilvl w:val="1"/>
      </w:numPr>
    </w:pPr>
  </w:style>
  <w:style w:type="paragraph" w:customStyle="1" w:styleId="ListNumbered311">
    <w:name w:val="List Numbered 3.1.1"/>
    <w:basedOn w:val="ListNumbered21"/>
    <w:uiPriority w:val="3"/>
    <w:rsid w:val="001E505E"/>
    <w:pPr>
      <w:numPr>
        <w:ilvl w:val="2"/>
      </w:numPr>
    </w:pPr>
  </w:style>
  <w:style w:type="paragraph" w:customStyle="1" w:styleId="Bullet1">
    <w:name w:val="Bullet 1"/>
    <w:basedOn w:val="Normal"/>
    <w:uiPriority w:val="3"/>
    <w:qFormat/>
    <w:rsid w:val="001E505E"/>
    <w:pPr>
      <w:numPr>
        <w:numId w:val="1"/>
      </w:numPr>
      <w:suppressAutoHyphens/>
      <w:spacing w:before="80" w:after="80"/>
    </w:pPr>
    <w:rPr>
      <w:rFonts w:asciiTheme="minorHAnsi" w:eastAsiaTheme="minorHAnsi" w:hAnsiTheme="minorHAnsi" w:cstheme="minorBidi"/>
      <w:color w:val="000000" w:themeColor="text1"/>
      <w:sz w:val="22"/>
      <w:szCs w:val="22"/>
      <w:lang w:val="x-none" w:eastAsia="en-US"/>
    </w:rPr>
  </w:style>
  <w:style w:type="paragraph" w:customStyle="1" w:styleId="Bullet2">
    <w:name w:val="Bullet 2"/>
    <w:basedOn w:val="Bullet1"/>
    <w:uiPriority w:val="3"/>
    <w:rsid w:val="001E505E"/>
    <w:pPr>
      <w:numPr>
        <w:ilvl w:val="1"/>
      </w:numPr>
    </w:pPr>
  </w:style>
  <w:style w:type="paragraph" w:customStyle="1" w:styleId="Bullet3">
    <w:name w:val="Bullet 3"/>
    <w:basedOn w:val="Bullet2"/>
    <w:uiPriority w:val="3"/>
    <w:rsid w:val="001E505E"/>
    <w:pPr>
      <w:numPr>
        <w:ilvl w:val="2"/>
      </w:numPr>
    </w:pPr>
  </w:style>
  <w:style w:type="paragraph" w:styleId="TOCHeading">
    <w:name w:val="TOC Heading"/>
    <w:basedOn w:val="Heading1"/>
    <w:next w:val="Normal"/>
    <w:uiPriority w:val="39"/>
    <w:qFormat/>
    <w:rsid w:val="001E505E"/>
    <w:pPr>
      <w:keepLines/>
      <w:suppressAutoHyphens/>
      <w:spacing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Box1Text">
    <w:name w:val="Box 1 Text"/>
    <w:basedOn w:val="Normal"/>
    <w:uiPriority w:val="23"/>
    <w:qFormat/>
    <w:rsid w:val="001E505E"/>
    <w:pPr>
      <w:pBdr>
        <w:top w:val="single" w:sz="4" w:space="14" w:color="58B6C0" w:themeColor="accent2"/>
        <w:left w:val="single" w:sz="4" w:space="14" w:color="58B6C0" w:themeColor="accent2"/>
        <w:bottom w:val="single" w:sz="4" w:space="14" w:color="58B6C0" w:themeColor="accent2"/>
        <w:right w:val="single" w:sz="4" w:space="14" w:color="58B6C0" w:themeColor="accent2"/>
      </w:pBdr>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1Heading">
    <w:name w:val="Box 1 Heading"/>
    <w:basedOn w:val="Box1Text"/>
    <w:uiPriority w:val="23"/>
    <w:qFormat/>
    <w:rsid w:val="001E505E"/>
    <w:rPr>
      <w:b/>
    </w:rPr>
  </w:style>
  <w:style w:type="paragraph" w:customStyle="1" w:styleId="Box1Bullet1">
    <w:name w:val="Box 1 Bullet 1"/>
    <w:basedOn w:val="Box1Text"/>
    <w:uiPriority w:val="24"/>
    <w:qFormat/>
    <w:rsid w:val="001E505E"/>
    <w:pPr>
      <w:numPr>
        <w:numId w:val="9"/>
      </w:numPr>
      <w:spacing w:before="80"/>
    </w:pPr>
    <w:rPr>
      <w:kern w:val="12"/>
      <w:sz w:val="20"/>
      <w:szCs w:val="20"/>
    </w:rPr>
  </w:style>
  <w:style w:type="paragraph" w:customStyle="1" w:styleId="Box2Text">
    <w:name w:val="Box 2 Text"/>
    <w:basedOn w:val="Normal"/>
    <w:uiPriority w:val="24"/>
    <w:qFormat/>
    <w:rsid w:val="001E505E"/>
    <w:pPr>
      <w:pBdr>
        <w:top w:val="single" w:sz="4" w:space="14" w:color="E6EEF0" w:themeColor="accent5" w:themeTint="33"/>
        <w:left w:val="single" w:sz="4" w:space="14" w:color="E6EEF0" w:themeColor="accent5" w:themeTint="33"/>
        <w:bottom w:val="single" w:sz="4" w:space="14" w:color="E6EEF0" w:themeColor="accent5" w:themeTint="33"/>
        <w:right w:val="single" w:sz="4" w:space="14" w:color="E6EEF0" w:themeColor="accent5" w:themeTint="33"/>
      </w:pBdr>
      <w:shd w:val="clear" w:color="auto" w:fill="E6EEF0" w:themeFill="accent5" w:themeFillTint="33"/>
      <w:suppressAutoHyphens/>
      <w:spacing w:before="160" w:after="80"/>
      <w:ind w:left="284" w:right="284"/>
    </w:pPr>
    <w:rPr>
      <w:rFonts w:asciiTheme="minorHAnsi" w:eastAsiaTheme="minorHAnsi" w:hAnsiTheme="minorHAnsi" w:cstheme="minorBidi"/>
      <w:color w:val="000000" w:themeColor="text1"/>
      <w:sz w:val="22"/>
      <w:szCs w:val="22"/>
      <w:lang w:val="x-none" w:eastAsia="en-US"/>
    </w:rPr>
  </w:style>
  <w:style w:type="paragraph" w:customStyle="1" w:styleId="Box2Heading">
    <w:name w:val="Box 2 Heading"/>
    <w:basedOn w:val="Box2Text"/>
    <w:uiPriority w:val="24"/>
    <w:qFormat/>
    <w:rsid w:val="001E505E"/>
    <w:rPr>
      <w:b/>
    </w:rPr>
  </w:style>
  <w:style w:type="paragraph" w:customStyle="1" w:styleId="Box2Bullet1">
    <w:name w:val="Box 2 Bullet 1"/>
    <w:basedOn w:val="Box2Text"/>
    <w:uiPriority w:val="25"/>
    <w:qFormat/>
    <w:rsid w:val="001E505E"/>
    <w:pPr>
      <w:numPr>
        <w:ilvl w:val="1"/>
        <w:numId w:val="9"/>
      </w:numPr>
      <w:spacing w:before="80"/>
    </w:pPr>
    <w:rPr>
      <w:kern w:val="12"/>
      <w:sz w:val="20"/>
      <w:szCs w:val="20"/>
    </w:rPr>
  </w:style>
  <w:style w:type="table" w:customStyle="1" w:styleId="IconBoxTable">
    <w:name w:val="Icon Box Table"/>
    <w:basedOn w:val="TableNormal"/>
    <w:uiPriority w:val="99"/>
    <w:rsid w:val="001E505E"/>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1E505E"/>
    <w:pPr>
      <w:numPr>
        <w:numId w:val="1"/>
      </w:numPr>
    </w:pPr>
  </w:style>
  <w:style w:type="numbering" w:customStyle="1" w:styleId="ListLegal">
    <w:name w:val="List Legal"/>
    <w:uiPriority w:val="99"/>
    <w:rsid w:val="001E505E"/>
    <w:pPr>
      <w:numPr>
        <w:numId w:val="2"/>
      </w:numPr>
    </w:pPr>
  </w:style>
  <w:style w:type="numbering" w:customStyle="1" w:styleId="ListNumbered">
    <w:name w:val="List Numbered"/>
    <w:uiPriority w:val="99"/>
    <w:rsid w:val="001E505E"/>
    <w:pPr>
      <w:numPr>
        <w:numId w:val="3"/>
      </w:numPr>
    </w:pPr>
  </w:style>
  <w:style w:type="paragraph" w:customStyle="1" w:styleId="Heading1Numbered">
    <w:name w:val="Heading 1 Numbered"/>
    <w:basedOn w:val="Heading1"/>
    <w:uiPriority w:val="10"/>
    <w:rsid w:val="001E505E"/>
    <w:pPr>
      <w:keepLines/>
      <w:numPr>
        <w:numId w:val="5"/>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Heading2Numbered">
    <w:name w:val="Heading 2 Numbered"/>
    <w:basedOn w:val="Heading2"/>
    <w:uiPriority w:val="10"/>
    <w:rsid w:val="001E505E"/>
    <w:pPr>
      <w:numPr>
        <w:ilvl w:val="1"/>
        <w:numId w:val="5"/>
      </w:numPr>
    </w:pPr>
  </w:style>
  <w:style w:type="paragraph" w:customStyle="1" w:styleId="Heading3Numbered">
    <w:name w:val="Heading 3 Numbered"/>
    <w:basedOn w:val="Heading3"/>
    <w:uiPriority w:val="10"/>
    <w:rsid w:val="001E505E"/>
    <w:pPr>
      <w:numPr>
        <w:ilvl w:val="2"/>
        <w:numId w:val="5"/>
      </w:numPr>
      <w:suppressAutoHyphens/>
      <w:spacing w:before="240" w:after="160"/>
    </w:pPr>
    <w:rPr>
      <w:b/>
      <w:color w:val="5A696A" w:themeColor="accent4" w:themeShade="BF"/>
      <w:sz w:val="32"/>
      <w:lang w:eastAsia="en-US"/>
    </w:rPr>
  </w:style>
  <w:style w:type="paragraph" w:customStyle="1" w:styleId="Heading4Numbered">
    <w:name w:val="Heading 4 Numbered"/>
    <w:basedOn w:val="Heading4"/>
    <w:uiPriority w:val="10"/>
    <w:rsid w:val="001E505E"/>
    <w:pPr>
      <w:numPr>
        <w:ilvl w:val="3"/>
        <w:numId w:val="5"/>
      </w:numPr>
    </w:pPr>
  </w:style>
  <w:style w:type="paragraph" w:customStyle="1" w:styleId="Heading5Numbered">
    <w:name w:val="Heading 5 Numbered"/>
    <w:basedOn w:val="Heading5"/>
    <w:uiPriority w:val="10"/>
    <w:rsid w:val="001E505E"/>
    <w:pPr>
      <w:numPr>
        <w:ilvl w:val="4"/>
        <w:numId w:val="5"/>
      </w:numPr>
    </w:pPr>
  </w:style>
  <w:style w:type="numbering" w:customStyle="1" w:styleId="NumberedHeadings">
    <w:name w:val="Numbered Headings"/>
    <w:uiPriority w:val="99"/>
    <w:rsid w:val="001E505E"/>
    <w:pPr>
      <w:numPr>
        <w:numId w:val="4"/>
      </w:numPr>
    </w:pPr>
  </w:style>
  <w:style w:type="paragraph" w:customStyle="1" w:styleId="AppendixHeading1">
    <w:name w:val="Appendix Heading 1"/>
    <w:basedOn w:val="Heading1"/>
    <w:uiPriority w:val="11"/>
    <w:qFormat/>
    <w:rsid w:val="001E505E"/>
    <w:pPr>
      <w:keepLines/>
      <w:numPr>
        <w:numId w:val="7"/>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ppendixHeading2">
    <w:name w:val="Appendix Heading 2"/>
    <w:basedOn w:val="Heading2"/>
    <w:uiPriority w:val="11"/>
    <w:rsid w:val="001E505E"/>
    <w:pPr>
      <w:numPr>
        <w:ilvl w:val="1"/>
        <w:numId w:val="7"/>
      </w:numPr>
    </w:pPr>
  </w:style>
  <w:style w:type="paragraph" w:customStyle="1" w:styleId="AttachmentHeading1">
    <w:name w:val="Attachment Heading 1"/>
    <w:basedOn w:val="Heading1"/>
    <w:uiPriority w:val="11"/>
    <w:qFormat/>
    <w:rsid w:val="001E505E"/>
    <w:pPr>
      <w:keepLines/>
      <w:numPr>
        <w:numId w:val="8"/>
      </w:numPr>
      <w:suppressAutoHyphens/>
      <w:spacing w:before="480" w:after="160"/>
      <w:contextualSpacing/>
      <w:jc w:val="left"/>
    </w:pPr>
    <w:rPr>
      <w:rFonts w:asciiTheme="majorHAnsi" w:eastAsiaTheme="majorEastAsia" w:hAnsiTheme="majorHAnsi" w:cstheme="majorBidi"/>
      <w:i w:val="0"/>
      <w:color w:val="373545" w:themeColor="text2"/>
      <w:sz w:val="44"/>
      <w:szCs w:val="32"/>
      <w:lang w:eastAsia="en-US"/>
    </w:rPr>
  </w:style>
  <w:style w:type="paragraph" w:customStyle="1" w:styleId="AttachmentHeading2">
    <w:name w:val="Attachment Heading 2"/>
    <w:basedOn w:val="Heading2"/>
    <w:uiPriority w:val="11"/>
    <w:rsid w:val="001E505E"/>
    <w:pPr>
      <w:numPr>
        <w:ilvl w:val="1"/>
        <w:numId w:val="8"/>
      </w:numPr>
    </w:pPr>
  </w:style>
  <w:style w:type="numbering" w:customStyle="1" w:styleId="AppendixNumbers">
    <w:name w:val="Appendix Numbers"/>
    <w:uiPriority w:val="99"/>
    <w:rsid w:val="001E505E"/>
    <w:pPr>
      <w:numPr>
        <w:numId w:val="6"/>
      </w:numPr>
    </w:pPr>
  </w:style>
  <w:style w:type="numbering" w:customStyle="1" w:styleId="AttachmentNumbers">
    <w:name w:val="Attachment Numbers"/>
    <w:uiPriority w:val="99"/>
    <w:rsid w:val="001E505E"/>
    <w:pPr>
      <w:numPr>
        <w:numId w:val="8"/>
      </w:numPr>
    </w:pPr>
  </w:style>
  <w:style w:type="paragraph" w:styleId="Quote">
    <w:name w:val="Quote"/>
    <w:basedOn w:val="Normal"/>
    <w:next w:val="Normal"/>
    <w:link w:val="QuoteChar"/>
    <w:uiPriority w:val="29"/>
    <w:qFormat/>
    <w:rsid w:val="001E505E"/>
    <w:pPr>
      <w:pBdr>
        <w:left w:val="single" w:sz="48" w:space="22" w:color="4BB3B5"/>
      </w:pBdr>
      <w:suppressAutoHyphens/>
      <w:spacing w:before="160" w:after="160"/>
      <w:ind w:left="567" w:right="567"/>
    </w:pPr>
    <w:rPr>
      <w:rFonts w:asciiTheme="minorHAnsi" w:eastAsiaTheme="minorHAnsi" w:hAnsiTheme="minorHAnsi" w:cstheme="minorBidi"/>
      <w:b/>
      <w:iCs/>
      <w:color w:val="404040" w:themeColor="text1" w:themeTint="BF"/>
      <w:sz w:val="22"/>
      <w:szCs w:val="22"/>
      <w:lang w:eastAsia="en-US"/>
    </w:rPr>
  </w:style>
  <w:style w:type="character" w:customStyle="1" w:styleId="QuoteChar">
    <w:name w:val="Quote Char"/>
    <w:basedOn w:val="DefaultParagraphFont"/>
    <w:link w:val="Quote"/>
    <w:uiPriority w:val="29"/>
    <w:rsid w:val="001E505E"/>
    <w:rPr>
      <w:b/>
      <w:iCs/>
      <w:color w:val="404040" w:themeColor="text1" w:themeTint="BF"/>
    </w:rPr>
  </w:style>
  <w:style w:type="paragraph" w:styleId="TOC1">
    <w:name w:val="toc 1"/>
    <w:basedOn w:val="Normal"/>
    <w:next w:val="Normal"/>
    <w:autoRedefine/>
    <w:uiPriority w:val="39"/>
    <w:rsid w:val="001E505E"/>
    <w:pPr>
      <w:keepLines/>
      <w:tabs>
        <w:tab w:val="right" w:pos="9854"/>
      </w:tabs>
      <w:suppressAutoHyphens/>
      <w:spacing w:before="160" w:after="80"/>
      <w:ind w:left="567" w:hanging="567"/>
    </w:pPr>
    <w:rPr>
      <w:rFonts w:asciiTheme="minorHAnsi" w:eastAsiaTheme="minorHAnsi" w:hAnsiTheme="minorHAnsi" w:cstheme="minorBidi"/>
      <w:b/>
      <w:color w:val="000000" w:themeColor="text1"/>
      <w:sz w:val="24"/>
      <w:szCs w:val="22"/>
      <w:u w:val="single" w:color="58B6C0" w:themeColor="accent2"/>
      <w:lang w:eastAsia="en-US"/>
    </w:rPr>
  </w:style>
  <w:style w:type="paragraph" w:styleId="TOC2">
    <w:name w:val="toc 2"/>
    <w:basedOn w:val="Normal"/>
    <w:next w:val="Normal"/>
    <w:autoRedefine/>
    <w:uiPriority w:val="39"/>
    <w:rsid w:val="001E505E"/>
    <w:pPr>
      <w:keepLines/>
      <w:suppressAutoHyphens/>
      <w:spacing w:before="80" w:after="80"/>
      <w:ind w:left="567" w:hanging="567"/>
    </w:pPr>
    <w:rPr>
      <w:rFonts w:asciiTheme="minorHAnsi" w:eastAsiaTheme="minorHAnsi" w:hAnsiTheme="minorHAnsi" w:cstheme="minorBidi"/>
      <w:color w:val="000000" w:themeColor="text1"/>
      <w:sz w:val="22"/>
      <w:szCs w:val="22"/>
      <w:lang w:eastAsia="en-US"/>
    </w:rPr>
  </w:style>
  <w:style w:type="paragraph" w:styleId="TOC3">
    <w:name w:val="toc 3"/>
    <w:basedOn w:val="Normal"/>
    <w:next w:val="Normal"/>
    <w:autoRedefine/>
    <w:uiPriority w:val="39"/>
    <w:rsid w:val="001E505E"/>
    <w:pPr>
      <w:suppressAutoHyphens/>
      <w:spacing w:before="80" w:after="80"/>
      <w:ind w:left="1134" w:hanging="567"/>
    </w:pPr>
    <w:rPr>
      <w:rFonts w:asciiTheme="minorHAnsi" w:eastAsiaTheme="minorHAnsi" w:hAnsiTheme="minorHAnsi" w:cstheme="minorBidi"/>
      <w:color w:val="000000" w:themeColor="text1"/>
      <w:sz w:val="22"/>
      <w:szCs w:val="22"/>
      <w:lang w:eastAsia="en-US"/>
    </w:rPr>
  </w:style>
  <w:style w:type="paragraph" w:styleId="TableofFigures">
    <w:name w:val="table of figures"/>
    <w:basedOn w:val="Normal"/>
    <w:next w:val="Normal"/>
    <w:uiPriority w:val="40"/>
    <w:unhideWhenUsed/>
    <w:rsid w:val="001E505E"/>
    <w:pPr>
      <w:suppressAutoHyphens/>
      <w:spacing w:before="80" w:after="80"/>
    </w:pPr>
    <w:rPr>
      <w:rFonts w:asciiTheme="minorHAnsi" w:eastAsiaTheme="minorHAnsi" w:hAnsiTheme="minorHAnsi" w:cstheme="minorBidi"/>
      <w:color w:val="000000" w:themeColor="text1"/>
      <w:sz w:val="22"/>
      <w:szCs w:val="22"/>
      <w:lang w:eastAsia="en-US"/>
    </w:rPr>
  </w:style>
  <w:style w:type="paragraph" w:customStyle="1" w:styleId="AreaHeading">
    <w:name w:val="Area Heading"/>
    <w:basedOn w:val="Normal"/>
    <w:qFormat/>
    <w:rsid w:val="001E505E"/>
    <w:pPr>
      <w:suppressAutoHyphens/>
      <w:spacing w:after="80"/>
      <w:ind w:left="-1020" w:firstLine="1020"/>
    </w:pPr>
    <w:rPr>
      <w:rFonts w:asciiTheme="minorHAnsi" w:eastAsiaTheme="minorHAnsi" w:hAnsiTheme="minorHAnsi" w:cs="Times New Roman (Body CS)"/>
      <w:caps/>
      <w:color w:val="3C4647" w:themeColor="accent4" w:themeShade="80"/>
      <w:sz w:val="22"/>
      <w:szCs w:val="22"/>
      <w:lang w:eastAsia="en-US"/>
    </w:rPr>
  </w:style>
  <w:style w:type="paragraph" w:customStyle="1" w:styleId="Box2Checklist">
    <w:name w:val="Box 2 Checklist"/>
    <w:basedOn w:val="Box2Text"/>
    <w:uiPriority w:val="26"/>
    <w:qFormat/>
    <w:rsid w:val="001E505E"/>
    <w:pPr>
      <w:numPr>
        <w:ilvl w:val="2"/>
        <w:numId w:val="9"/>
      </w:numPr>
    </w:pPr>
    <w:rPr>
      <w:kern w:val="12"/>
      <w:sz w:val="20"/>
      <w:szCs w:val="20"/>
    </w:rPr>
  </w:style>
  <w:style w:type="numbering" w:customStyle="1" w:styleId="BoxedBullets">
    <w:name w:val="Boxed Bullets"/>
    <w:uiPriority w:val="99"/>
    <w:rsid w:val="001E505E"/>
    <w:pPr>
      <w:numPr>
        <w:numId w:val="9"/>
      </w:numPr>
    </w:pPr>
  </w:style>
  <w:style w:type="paragraph" w:styleId="NormalWeb">
    <w:name w:val="Normal (Web)"/>
    <w:basedOn w:val="Normal"/>
    <w:uiPriority w:val="99"/>
    <w:unhideWhenUsed/>
    <w:rsid w:val="001E505E"/>
    <w:pPr>
      <w:spacing w:before="100" w:beforeAutospacing="1" w:after="100" w:afterAutospacing="1"/>
    </w:pPr>
    <w:rPr>
      <w:sz w:val="24"/>
      <w:szCs w:val="24"/>
    </w:rPr>
  </w:style>
  <w:style w:type="character" w:styleId="HTMLCite">
    <w:name w:val="HTML Cite"/>
    <w:basedOn w:val="DefaultParagraphFont"/>
    <w:uiPriority w:val="99"/>
    <w:semiHidden/>
    <w:unhideWhenUsed/>
    <w:rsid w:val="001E505E"/>
    <w:rPr>
      <w:i/>
      <w:iCs/>
    </w:rPr>
  </w:style>
  <w:style w:type="character" w:customStyle="1" w:styleId="dyjrff">
    <w:name w:val="dyjrff"/>
    <w:basedOn w:val="DefaultParagraphFont"/>
    <w:rsid w:val="001E505E"/>
  </w:style>
  <w:style w:type="paragraph" w:customStyle="1" w:styleId="myvuie">
    <w:name w:val="myvuie"/>
    <w:basedOn w:val="Normal"/>
    <w:rsid w:val="001E505E"/>
    <w:pPr>
      <w:spacing w:before="100" w:beforeAutospacing="1" w:after="100" w:afterAutospacing="1"/>
    </w:pPr>
    <w:rPr>
      <w:sz w:val="24"/>
      <w:szCs w:val="24"/>
    </w:rPr>
  </w:style>
  <w:style w:type="character" w:customStyle="1" w:styleId="zgwo7">
    <w:name w:val="zgwo7"/>
    <w:basedOn w:val="DefaultParagraphFont"/>
    <w:rsid w:val="001E505E"/>
  </w:style>
  <w:style w:type="character" w:customStyle="1" w:styleId="UnresolvedMention1">
    <w:name w:val="Unresolved Mention1"/>
    <w:basedOn w:val="DefaultParagraphFont"/>
    <w:uiPriority w:val="99"/>
    <w:semiHidden/>
    <w:unhideWhenUsed/>
    <w:rsid w:val="001E505E"/>
    <w:rPr>
      <w:color w:val="605E5C"/>
      <w:shd w:val="clear" w:color="auto" w:fill="E1DFDD"/>
    </w:rPr>
  </w:style>
  <w:style w:type="character" w:styleId="FollowedHyperlink">
    <w:name w:val="FollowedHyperlink"/>
    <w:basedOn w:val="DefaultParagraphFont"/>
    <w:uiPriority w:val="99"/>
    <w:semiHidden/>
    <w:unhideWhenUsed/>
    <w:rsid w:val="001E505E"/>
    <w:rPr>
      <w:color w:val="9F6715"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rsid w:val="001E505E"/>
    <w:rPr>
      <w:rFonts w:ascii="Times New Roman" w:eastAsia="Times New Roman" w:hAnsi="Times New Roman" w:cs="Times New Roman"/>
      <w:sz w:val="20"/>
      <w:szCs w:val="20"/>
      <w:lang w:eastAsia="en-AU"/>
    </w:rPr>
  </w:style>
  <w:style w:type="character" w:customStyle="1" w:styleId="UnresolvedMention2">
    <w:name w:val="Unresolved Mention2"/>
    <w:basedOn w:val="DefaultParagraphFont"/>
    <w:uiPriority w:val="99"/>
    <w:semiHidden/>
    <w:unhideWhenUsed/>
    <w:rsid w:val="001E505E"/>
    <w:rPr>
      <w:color w:val="605E5C"/>
      <w:shd w:val="clear" w:color="auto" w:fill="E1DFDD"/>
    </w:rPr>
  </w:style>
  <w:style w:type="numbering" w:customStyle="1" w:styleId="NoList1">
    <w:name w:val="No List1"/>
    <w:next w:val="NoList"/>
    <w:uiPriority w:val="99"/>
    <w:semiHidden/>
    <w:unhideWhenUsed/>
    <w:rsid w:val="001E505E"/>
  </w:style>
  <w:style w:type="table" w:customStyle="1" w:styleId="TableGrid1">
    <w:name w:val="Table Grid1"/>
    <w:basedOn w:val="TableNormal"/>
    <w:next w:val="TableGrid"/>
    <w:uiPriority w:val="39"/>
    <w:rsid w:val="001E505E"/>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1">
    <w:name w:val="Default Table 11"/>
    <w:basedOn w:val="TableNormal"/>
    <w:uiPriority w:val="99"/>
    <w:rsid w:val="001E505E"/>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IconBoxTable1">
    <w:name w:val="Icon Box Table1"/>
    <w:basedOn w:val="TableNormal"/>
    <w:uiPriority w:val="99"/>
    <w:rsid w:val="001E505E"/>
    <w:pPr>
      <w:spacing w:before="80" w:after="80" w:line="240" w:lineRule="auto"/>
    </w:pPr>
    <w:rPr>
      <w:color w:val="000000"/>
    </w:rPr>
    <w:tblPr>
      <w:tblCellMar>
        <w:top w:w="57" w:type="dxa"/>
        <w:left w:w="170" w:type="dxa"/>
        <w:bottom w:w="57" w:type="dxa"/>
        <w:right w:w="170" w:type="dxa"/>
      </w:tblCellMar>
    </w:tblPr>
    <w:tcPr>
      <w:shd w:val="clear" w:color="auto" w:fill="F2F2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1">
    <w:name w:val="Bullets1"/>
    <w:uiPriority w:val="99"/>
    <w:rsid w:val="001E505E"/>
    <w:pPr>
      <w:numPr>
        <w:numId w:val="10"/>
      </w:numPr>
    </w:pPr>
  </w:style>
  <w:style w:type="numbering" w:customStyle="1" w:styleId="ListLegal1">
    <w:name w:val="List Legal1"/>
    <w:uiPriority w:val="99"/>
    <w:rsid w:val="001E505E"/>
    <w:pPr>
      <w:numPr>
        <w:numId w:val="11"/>
      </w:numPr>
    </w:pPr>
  </w:style>
  <w:style w:type="numbering" w:customStyle="1" w:styleId="ListNumbered10">
    <w:name w:val="List Numbered1"/>
    <w:uiPriority w:val="99"/>
    <w:rsid w:val="001E505E"/>
    <w:pPr>
      <w:numPr>
        <w:numId w:val="12"/>
      </w:numPr>
    </w:pPr>
  </w:style>
  <w:style w:type="numbering" w:customStyle="1" w:styleId="NumberedHeadings1">
    <w:name w:val="Numbered Headings1"/>
    <w:uiPriority w:val="99"/>
    <w:rsid w:val="001E505E"/>
    <w:pPr>
      <w:numPr>
        <w:numId w:val="13"/>
      </w:numPr>
    </w:pPr>
  </w:style>
  <w:style w:type="numbering" w:customStyle="1" w:styleId="AppendixNumbers1">
    <w:name w:val="Appendix Numbers1"/>
    <w:uiPriority w:val="99"/>
    <w:rsid w:val="001E505E"/>
    <w:pPr>
      <w:numPr>
        <w:numId w:val="14"/>
      </w:numPr>
    </w:pPr>
  </w:style>
  <w:style w:type="numbering" w:customStyle="1" w:styleId="AttachmentNumbers1">
    <w:name w:val="Attachment Numbers1"/>
    <w:uiPriority w:val="99"/>
    <w:rsid w:val="001E505E"/>
    <w:pPr>
      <w:numPr>
        <w:numId w:val="15"/>
      </w:numPr>
    </w:pPr>
  </w:style>
  <w:style w:type="numbering" w:customStyle="1" w:styleId="BoxedBullets1">
    <w:name w:val="Boxed Bullets1"/>
    <w:uiPriority w:val="99"/>
    <w:rsid w:val="001E505E"/>
    <w:pPr>
      <w:numPr>
        <w:numId w:val="16"/>
      </w:numPr>
    </w:pPr>
  </w:style>
  <w:style w:type="character" w:customStyle="1" w:styleId="UnresolvedMention3">
    <w:name w:val="Unresolved Mention3"/>
    <w:basedOn w:val="DefaultParagraphFont"/>
    <w:uiPriority w:val="99"/>
    <w:semiHidden/>
    <w:unhideWhenUsed/>
    <w:rsid w:val="009D1A85"/>
    <w:rPr>
      <w:color w:val="605E5C"/>
      <w:shd w:val="clear" w:color="auto" w:fill="E1DFDD"/>
    </w:rPr>
  </w:style>
  <w:style w:type="paragraph" w:customStyle="1" w:styleId="subsection">
    <w:name w:val="subsection"/>
    <w:aliases w:val="ss,Subsection"/>
    <w:basedOn w:val="Normal"/>
    <w:link w:val="subsectionChar"/>
    <w:rsid w:val="003C4BF8"/>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3C4BF8"/>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9A5AC3"/>
    <w:pPr>
      <w:keepNext/>
      <w:keepLines/>
      <w:spacing w:before="280"/>
      <w:ind w:left="1134" w:hanging="1134"/>
      <w:outlineLvl w:val="4"/>
    </w:pPr>
    <w:rPr>
      <w:b/>
      <w:kern w:val="28"/>
      <w:sz w:val="24"/>
    </w:rPr>
  </w:style>
  <w:style w:type="paragraph" w:customStyle="1" w:styleId="paragraph">
    <w:name w:val="paragraph"/>
    <w:aliases w:val="a"/>
    <w:basedOn w:val="Normal"/>
    <w:rsid w:val="00750665"/>
    <w:pPr>
      <w:tabs>
        <w:tab w:val="right" w:pos="1531"/>
      </w:tabs>
      <w:spacing w:before="40"/>
      <w:ind w:left="1644" w:hanging="1644"/>
    </w:pPr>
    <w:rPr>
      <w:sz w:val="22"/>
    </w:rPr>
  </w:style>
  <w:style w:type="paragraph" w:customStyle="1" w:styleId="paragraphsub">
    <w:name w:val="paragraph(sub)"/>
    <w:aliases w:val="aa"/>
    <w:basedOn w:val="Normal"/>
    <w:rsid w:val="00B729D0"/>
    <w:pPr>
      <w:tabs>
        <w:tab w:val="right" w:pos="1985"/>
      </w:tabs>
      <w:spacing w:before="40"/>
      <w:ind w:left="2098" w:hanging="2098"/>
    </w:pPr>
    <w:rPr>
      <w:sz w:val="22"/>
    </w:rPr>
  </w:style>
  <w:style w:type="character" w:styleId="UnresolvedMention">
    <w:name w:val="Unresolved Mention"/>
    <w:basedOn w:val="DefaultParagraphFont"/>
    <w:uiPriority w:val="99"/>
    <w:semiHidden/>
    <w:unhideWhenUsed/>
    <w:rsid w:val="000A1001"/>
    <w:rPr>
      <w:color w:val="605E5C"/>
      <w:shd w:val="clear" w:color="auto" w:fill="E1DFDD"/>
    </w:rPr>
  </w:style>
  <w:style w:type="character" w:styleId="Strong">
    <w:name w:val="Strong"/>
    <w:basedOn w:val="DefaultParagraphFont"/>
    <w:uiPriority w:val="22"/>
    <w:qFormat/>
    <w:rsid w:val="00E60E59"/>
    <w:rPr>
      <w:b/>
      <w:bCs/>
    </w:rPr>
  </w:style>
  <w:style w:type="paragraph" w:customStyle="1" w:styleId="notepara">
    <w:name w:val="note(para)"/>
    <w:aliases w:val="na"/>
    <w:basedOn w:val="Normal"/>
    <w:rsid w:val="00D4056E"/>
    <w:pPr>
      <w:spacing w:before="40" w:line="198" w:lineRule="exact"/>
      <w:ind w:left="2354" w:hanging="369"/>
    </w:pPr>
    <w:rPr>
      <w:sz w:val="18"/>
    </w:rPr>
  </w:style>
  <w:style w:type="character" w:customStyle="1" w:styleId="ui-provider">
    <w:name w:val="ui-provider"/>
    <w:basedOn w:val="DefaultParagraphFont"/>
    <w:rsid w:val="0091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6211">
      <w:bodyDiv w:val="1"/>
      <w:marLeft w:val="0"/>
      <w:marRight w:val="0"/>
      <w:marTop w:val="0"/>
      <w:marBottom w:val="0"/>
      <w:divBdr>
        <w:top w:val="none" w:sz="0" w:space="0" w:color="auto"/>
        <w:left w:val="none" w:sz="0" w:space="0" w:color="auto"/>
        <w:bottom w:val="none" w:sz="0" w:space="0" w:color="auto"/>
        <w:right w:val="none" w:sz="0" w:space="0" w:color="auto"/>
      </w:divBdr>
    </w:div>
    <w:div w:id="196815927">
      <w:bodyDiv w:val="1"/>
      <w:marLeft w:val="0"/>
      <w:marRight w:val="0"/>
      <w:marTop w:val="0"/>
      <w:marBottom w:val="0"/>
      <w:divBdr>
        <w:top w:val="none" w:sz="0" w:space="0" w:color="auto"/>
        <w:left w:val="none" w:sz="0" w:space="0" w:color="auto"/>
        <w:bottom w:val="none" w:sz="0" w:space="0" w:color="auto"/>
        <w:right w:val="none" w:sz="0" w:space="0" w:color="auto"/>
      </w:divBdr>
    </w:div>
    <w:div w:id="344601528">
      <w:bodyDiv w:val="1"/>
      <w:marLeft w:val="0"/>
      <w:marRight w:val="0"/>
      <w:marTop w:val="0"/>
      <w:marBottom w:val="0"/>
      <w:divBdr>
        <w:top w:val="none" w:sz="0" w:space="0" w:color="auto"/>
        <w:left w:val="none" w:sz="0" w:space="0" w:color="auto"/>
        <w:bottom w:val="none" w:sz="0" w:space="0" w:color="auto"/>
        <w:right w:val="none" w:sz="0" w:space="0" w:color="auto"/>
      </w:divBdr>
    </w:div>
    <w:div w:id="619532723">
      <w:bodyDiv w:val="1"/>
      <w:marLeft w:val="0"/>
      <w:marRight w:val="0"/>
      <w:marTop w:val="0"/>
      <w:marBottom w:val="0"/>
      <w:divBdr>
        <w:top w:val="none" w:sz="0" w:space="0" w:color="auto"/>
        <w:left w:val="none" w:sz="0" w:space="0" w:color="auto"/>
        <w:bottom w:val="none" w:sz="0" w:space="0" w:color="auto"/>
        <w:right w:val="none" w:sz="0" w:space="0" w:color="auto"/>
      </w:divBdr>
    </w:div>
    <w:div w:id="668288766">
      <w:bodyDiv w:val="1"/>
      <w:marLeft w:val="0"/>
      <w:marRight w:val="0"/>
      <w:marTop w:val="0"/>
      <w:marBottom w:val="0"/>
      <w:divBdr>
        <w:top w:val="none" w:sz="0" w:space="0" w:color="auto"/>
        <w:left w:val="none" w:sz="0" w:space="0" w:color="auto"/>
        <w:bottom w:val="none" w:sz="0" w:space="0" w:color="auto"/>
        <w:right w:val="none" w:sz="0" w:space="0" w:color="auto"/>
      </w:divBdr>
    </w:div>
    <w:div w:id="706106278">
      <w:bodyDiv w:val="1"/>
      <w:marLeft w:val="0"/>
      <w:marRight w:val="0"/>
      <w:marTop w:val="0"/>
      <w:marBottom w:val="0"/>
      <w:divBdr>
        <w:top w:val="none" w:sz="0" w:space="0" w:color="auto"/>
        <w:left w:val="none" w:sz="0" w:space="0" w:color="auto"/>
        <w:bottom w:val="none" w:sz="0" w:space="0" w:color="auto"/>
        <w:right w:val="none" w:sz="0" w:space="0" w:color="auto"/>
      </w:divBdr>
    </w:div>
    <w:div w:id="716006453">
      <w:bodyDiv w:val="1"/>
      <w:marLeft w:val="0"/>
      <w:marRight w:val="0"/>
      <w:marTop w:val="0"/>
      <w:marBottom w:val="0"/>
      <w:divBdr>
        <w:top w:val="none" w:sz="0" w:space="0" w:color="auto"/>
        <w:left w:val="none" w:sz="0" w:space="0" w:color="auto"/>
        <w:bottom w:val="none" w:sz="0" w:space="0" w:color="auto"/>
        <w:right w:val="none" w:sz="0" w:space="0" w:color="auto"/>
      </w:divBdr>
    </w:div>
    <w:div w:id="913585263">
      <w:bodyDiv w:val="1"/>
      <w:marLeft w:val="0"/>
      <w:marRight w:val="0"/>
      <w:marTop w:val="0"/>
      <w:marBottom w:val="0"/>
      <w:divBdr>
        <w:top w:val="none" w:sz="0" w:space="0" w:color="auto"/>
        <w:left w:val="none" w:sz="0" w:space="0" w:color="auto"/>
        <w:bottom w:val="none" w:sz="0" w:space="0" w:color="auto"/>
        <w:right w:val="none" w:sz="0" w:space="0" w:color="auto"/>
      </w:divBdr>
    </w:div>
    <w:div w:id="934174631">
      <w:bodyDiv w:val="1"/>
      <w:marLeft w:val="0"/>
      <w:marRight w:val="0"/>
      <w:marTop w:val="0"/>
      <w:marBottom w:val="0"/>
      <w:divBdr>
        <w:top w:val="none" w:sz="0" w:space="0" w:color="auto"/>
        <w:left w:val="none" w:sz="0" w:space="0" w:color="auto"/>
        <w:bottom w:val="none" w:sz="0" w:space="0" w:color="auto"/>
        <w:right w:val="none" w:sz="0" w:space="0" w:color="auto"/>
      </w:divBdr>
    </w:div>
    <w:div w:id="943533889">
      <w:bodyDiv w:val="1"/>
      <w:marLeft w:val="0"/>
      <w:marRight w:val="0"/>
      <w:marTop w:val="0"/>
      <w:marBottom w:val="0"/>
      <w:divBdr>
        <w:top w:val="none" w:sz="0" w:space="0" w:color="auto"/>
        <w:left w:val="none" w:sz="0" w:space="0" w:color="auto"/>
        <w:bottom w:val="none" w:sz="0" w:space="0" w:color="auto"/>
        <w:right w:val="none" w:sz="0" w:space="0" w:color="auto"/>
      </w:divBdr>
    </w:div>
    <w:div w:id="981084461">
      <w:bodyDiv w:val="1"/>
      <w:marLeft w:val="0"/>
      <w:marRight w:val="0"/>
      <w:marTop w:val="0"/>
      <w:marBottom w:val="0"/>
      <w:divBdr>
        <w:top w:val="none" w:sz="0" w:space="0" w:color="auto"/>
        <w:left w:val="none" w:sz="0" w:space="0" w:color="auto"/>
        <w:bottom w:val="none" w:sz="0" w:space="0" w:color="auto"/>
        <w:right w:val="none" w:sz="0" w:space="0" w:color="auto"/>
      </w:divBdr>
    </w:div>
    <w:div w:id="1020426196">
      <w:bodyDiv w:val="1"/>
      <w:marLeft w:val="0"/>
      <w:marRight w:val="0"/>
      <w:marTop w:val="0"/>
      <w:marBottom w:val="0"/>
      <w:divBdr>
        <w:top w:val="none" w:sz="0" w:space="0" w:color="auto"/>
        <w:left w:val="none" w:sz="0" w:space="0" w:color="auto"/>
        <w:bottom w:val="none" w:sz="0" w:space="0" w:color="auto"/>
        <w:right w:val="none" w:sz="0" w:space="0" w:color="auto"/>
      </w:divBdr>
    </w:div>
    <w:div w:id="1044908573">
      <w:bodyDiv w:val="1"/>
      <w:marLeft w:val="0"/>
      <w:marRight w:val="0"/>
      <w:marTop w:val="0"/>
      <w:marBottom w:val="0"/>
      <w:divBdr>
        <w:top w:val="none" w:sz="0" w:space="0" w:color="auto"/>
        <w:left w:val="none" w:sz="0" w:space="0" w:color="auto"/>
        <w:bottom w:val="none" w:sz="0" w:space="0" w:color="auto"/>
        <w:right w:val="none" w:sz="0" w:space="0" w:color="auto"/>
      </w:divBdr>
    </w:div>
    <w:div w:id="1046830181">
      <w:bodyDiv w:val="1"/>
      <w:marLeft w:val="0"/>
      <w:marRight w:val="0"/>
      <w:marTop w:val="0"/>
      <w:marBottom w:val="0"/>
      <w:divBdr>
        <w:top w:val="none" w:sz="0" w:space="0" w:color="auto"/>
        <w:left w:val="none" w:sz="0" w:space="0" w:color="auto"/>
        <w:bottom w:val="none" w:sz="0" w:space="0" w:color="auto"/>
        <w:right w:val="none" w:sz="0" w:space="0" w:color="auto"/>
      </w:divBdr>
    </w:div>
    <w:div w:id="1051467522">
      <w:bodyDiv w:val="1"/>
      <w:marLeft w:val="0"/>
      <w:marRight w:val="0"/>
      <w:marTop w:val="0"/>
      <w:marBottom w:val="0"/>
      <w:divBdr>
        <w:top w:val="none" w:sz="0" w:space="0" w:color="auto"/>
        <w:left w:val="none" w:sz="0" w:space="0" w:color="auto"/>
        <w:bottom w:val="none" w:sz="0" w:space="0" w:color="auto"/>
        <w:right w:val="none" w:sz="0" w:space="0" w:color="auto"/>
      </w:divBdr>
    </w:div>
    <w:div w:id="1056275415">
      <w:bodyDiv w:val="1"/>
      <w:marLeft w:val="0"/>
      <w:marRight w:val="0"/>
      <w:marTop w:val="0"/>
      <w:marBottom w:val="0"/>
      <w:divBdr>
        <w:top w:val="none" w:sz="0" w:space="0" w:color="auto"/>
        <w:left w:val="none" w:sz="0" w:space="0" w:color="auto"/>
        <w:bottom w:val="none" w:sz="0" w:space="0" w:color="auto"/>
        <w:right w:val="none" w:sz="0" w:space="0" w:color="auto"/>
      </w:divBdr>
    </w:div>
    <w:div w:id="1110710096">
      <w:bodyDiv w:val="1"/>
      <w:marLeft w:val="0"/>
      <w:marRight w:val="0"/>
      <w:marTop w:val="0"/>
      <w:marBottom w:val="0"/>
      <w:divBdr>
        <w:top w:val="none" w:sz="0" w:space="0" w:color="auto"/>
        <w:left w:val="none" w:sz="0" w:space="0" w:color="auto"/>
        <w:bottom w:val="none" w:sz="0" w:space="0" w:color="auto"/>
        <w:right w:val="none" w:sz="0" w:space="0" w:color="auto"/>
      </w:divBdr>
    </w:div>
    <w:div w:id="1518500320">
      <w:bodyDiv w:val="1"/>
      <w:marLeft w:val="0"/>
      <w:marRight w:val="0"/>
      <w:marTop w:val="0"/>
      <w:marBottom w:val="0"/>
      <w:divBdr>
        <w:top w:val="none" w:sz="0" w:space="0" w:color="auto"/>
        <w:left w:val="none" w:sz="0" w:space="0" w:color="auto"/>
        <w:bottom w:val="none" w:sz="0" w:space="0" w:color="auto"/>
        <w:right w:val="none" w:sz="0" w:space="0" w:color="auto"/>
      </w:divBdr>
    </w:div>
    <w:div w:id="1540975500">
      <w:bodyDiv w:val="1"/>
      <w:marLeft w:val="0"/>
      <w:marRight w:val="0"/>
      <w:marTop w:val="0"/>
      <w:marBottom w:val="0"/>
      <w:divBdr>
        <w:top w:val="none" w:sz="0" w:space="0" w:color="auto"/>
        <w:left w:val="none" w:sz="0" w:space="0" w:color="auto"/>
        <w:bottom w:val="none" w:sz="0" w:space="0" w:color="auto"/>
        <w:right w:val="none" w:sz="0" w:space="0" w:color="auto"/>
      </w:divBdr>
    </w:div>
    <w:div w:id="1614441666">
      <w:bodyDiv w:val="1"/>
      <w:marLeft w:val="0"/>
      <w:marRight w:val="0"/>
      <w:marTop w:val="0"/>
      <w:marBottom w:val="0"/>
      <w:divBdr>
        <w:top w:val="none" w:sz="0" w:space="0" w:color="auto"/>
        <w:left w:val="none" w:sz="0" w:space="0" w:color="auto"/>
        <w:bottom w:val="none" w:sz="0" w:space="0" w:color="auto"/>
        <w:right w:val="none" w:sz="0" w:space="0" w:color="auto"/>
      </w:divBdr>
    </w:div>
    <w:div w:id="1631201305">
      <w:bodyDiv w:val="1"/>
      <w:marLeft w:val="0"/>
      <w:marRight w:val="0"/>
      <w:marTop w:val="0"/>
      <w:marBottom w:val="0"/>
      <w:divBdr>
        <w:top w:val="none" w:sz="0" w:space="0" w:color="auto"/>
        <w:left w:val="none" w:sz="0" w:space="0" w:color="auto"/>
        <w:bottom w:val="none" w:sz="0" w:space="0" w:color="auto"/>
        <w:right w:val="none" w:sz="0" w:space="0" w:color="auto"/>
      </w:divBdr>
    </w:div>
    <w:div w:id="1689670573">
      <w:bodyDiv w:val="1"/>
      <w:marLeft w:val="0"/>
      <w:marRight w:val="0"/>
      <w:marTop w:val="0"/>
      <w:marBottom w:val="0"/>
      <w:divBdr>
        <w:top w:val="none" w:sz="0" w:space="0" w:color="auto"/>
        <w:left w:val="none" w:sz="0" w:space="0" w:color="auto"/>
        <w:bottom w:val="none" w:sz="0" w:space="0" w:color="auto"/>
        <w:right w:val="none" w:sz="0" w:space="0" w:color="auto"/>
      </w:divBdr>
    </w:div>
    <w:div w:id="1754933265">
      <w:bodyDiv w:val="1"/>
      <w:marLeft w:val="0"/>
      <w:marRight w:val="0"/>
      <w:marTop w:val="0"/>
      <w:marBottom w:val="0"/>
      <w:divBdr>
        <w:top w:val="none" w:sz="0" w:space="0" w:color="auto"/>
        <w:left w:val="none" w:sz="0" w:space="0" w:color="auto"/>
        <w:bottom w:val="none" w:sz="0" w:space="0" w:color="auto"/>
        <w:right w:val="none" w:sz="0" w:space="0" w:color="auto"/>
      </w:divBdr>
    </w:div>
    <w:div w:id="1909339372">
      <w:bodyDiv w:val="1"/>
      <w:marLeft w:val="0"/>
      <w:marRight w:val="0"/>
      <w:marTop w:val="0"/>
      <w:marBottom w:val="0"/>
      <w:divBdr>
        <w:top w:val="none" w:sz="0" w:space="0" w:color="auto"/>
        <w:left w:val="none" w:sz="0" w:space="0" w:color="auto"/>
        <w:bottom w:val="none" w:sz="0" w:space="0" w:color="auto"/>
        <w:right w:val="none" w:sz="0" w:space="0" w:color="auto"/>
      </w:divBdr>
    </w:div>
    <w:div w:id="1936478818">
      <w:bodyDiv w:val="1"/>
      <w:marLeft w:val="0"/>
      <w:marRight w:val="0"/>
      <w:marTop w:val="0"/>
      <w:marBottom w:val="0"/>
      <w:divBdr>
        <w:top w:val="none" w:sz="0" w:space="0" w:color="auto"/>
        <w:left w:val="none" w:sz="0" w:space="0" w:color="auto"/>
        <w:bottom w:val="none" w:sz="0" w:space="0" w:color="auto"/>
        <w:right w:val="none" w:sz="0" w:space="0" w:color="auto"/>
      </w:divBdr>
    </w:div>
    <w:div w:id="1956328656">
      <w:bodyDiv w:val="1"/>
      <w:marLeft w:val="0"/>
      <w:marRight w:val="0"/>
      <w:marTop w:val="0"/>
      <w:marBottom w:val="0"/>
      <w:divBdr>
        <w:top w:val="none" w:sz="0" w:space="0" w:color="auto"/>
        <w:left w:val="none" w:sz="0" w:space="0" w:color="auto"/>
        <w:bottom w:val="none" w:sz="0" w:space="0" w:color="auto"/>
        <w:right w:val="none" w:sz="0" w:space="0" w:color="auto"/>
      </w:divBdr>
    </w:div>
    <w:div w:id="1976330036">
      <w:bodyDiv w:val="1"/>
      <w:marLeft w:val="0"/>
      <w:marRight w:val="0"/>
      <w:marTop w:val="0"/>
      <w:marBottom w:val="0"/>
      <w:divBdr>
        <w:top w:val="none" w:sz="0" w:space="0" w:color="auto"/>
        <w:left w:val="none" w:sz="0" w:space="0" w:color="auto"/>
        <w:bottom w:val="none" w:sz="0" w:space="0" w:color="auto"/>
        <w:right w:val="none" w:sz="0" w:space="0" w:color="auto"/>
      </w:divBdr>
    </w:div>
    <w:div w:id="2124223420">
      <w:bodyDiv w:val="1"/>
      <w:marLeft w:val="0"/>
      <w:marRight w:val="0"/>
      <w:marTop w:val="0"/>
      <w:marBottom w:val="0"/>
      <w:divBdr>
        <w:top w:val="none" w:sz="0" w:space="0" w:color="auto"/>
        <w:left w:val="none" w:sz="0" w:space="0" w:color="auto"/>
        <w:bottom w:val="none" w:sz="0" w:space="0" w:color="auto"/>
        <w:right w:val="none" w:sz="0" w:space="0" w:color="auto"/>
      </w:divBdr>
    </w:div>
    <w:div w:id="21470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BCC6E8F-A1D7-43D3-B0EE-A8B0BD980C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B1DA76BF6C62D4982F70D6426DF47A4" ma:contentTypeVersion="" ma:contentTypeDescription="PDMS Document Site Content Type" ma:contentTypeScope="" ma:versionID="29bb3c36a5ae42110b6f63ffa1e419fb">
  <xsd:schema xmlns:xsd="http://www.w3.org/2001/XMLSchema" xmlns:xs="http://www.w3.org/2001/XMLSchema" xmlns:p="http://schemas.microsoft.com/office/2006/metadata/properties" xmlns:ns2="DBCC6E8F-A1D7-43D3-B0EE-A8B0BD980CF4" targetNamespace="http://schemas.microsoft.com/office/2006/metadata/properties" ma:root="true" ma:fieldsID="a3ecb7cef2ff544deb217c79192603d7" ns2:_="">
    <xsd:import namespace="DBCC6E8F-A1D7-43D3-B0EE-A8B0BD980C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C6E8F-A1D7-43D3-B0EE-A8B0BD980C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91F81-EDC5-4074-B316-3AF94D2137FB}">
  <ds:schemaRefs>
    <ds:schemaRef ds:uri="http://schemas.microsoft.com/sharepoint/v3/contenttype/forms"/>
  </ds:schemaRefs>
</ds:datastoreItem>
</file>

<file path=customXml/itemProps3.xml><?xml version="1.0" encoding="utf-8"?>
<ds:datastoreItem xmlns:ds="http://schemas.openxmlformats.org/officeDocument/2006/customXml" ds:itemID="{25A2C832-9A17-4DE8-9EE5-78F12A2A5F24}">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DBCC6E8F-A1D7-43D3-B0EE-A8B0BD980CF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00C7EED-E9DB-40FF-A9DD-4BD195264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C6E8F-A1D7-43D3-B0EE-A8B0BD98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2E11EE-8A5D-4867-8B76-2FF9614D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bmetschke</dc:creator>
  <cp:lastModifiedBy>MACKENZIE, Tom</cp:lastModifiedBy>
  <cp:revision>4</cp:revision>
  <cp:lastPrinted>2024-11-11T22:11:00Z</cp:lastPrinted>
  <dcterms:created xsi:type="dcterms:W3CDTF">2024-12-04T06:01:00Z</dcterms:created>
  <dcterms:modified xsi:type="dcterms:W3CDTF">2024-12-12T02:21:00Z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0x010100266966F133664895A6EE3632470D45F5007B1DA76BF6C62D4982F70D6426DF47A4</vt:lpwstr>
  </property>
  <property fmtid="{D5CDD505-2E9C-101B-9397-08002B2CF9AE}" pid="3" name="TaxCatchAll">
    <vt:lpwstr>1375;#Metschke, Bernadette [Person - BMETSCHKE] [internal] [23089]|14c4c4ea-7d5b-42a0-88f0-64aed0c65d50;#54;#Legal Practice Unit [Organization] [internal] [39804]|3601d318-3562-4026-bcf3-e3d37a91abed</vt:lpwstr>
  </property>
  <property fmtid="{D5CDD505-2E9C-101B-9397-08002B2CF9AE}" pid="4" name="me786d0e3c9949dc83d6a9826d3f7afb">
    <vt:lpwstr>Legal Practice Unit [Organization] [internal] [39804]|3601d318-3562-4026-bcf3-e3d37a91abed</vt:lpwstr>
  </property>
  <property fmtid="{D5CDD505-2E9C-101B-9397-08002B2CF9AE}" pid="5" name="l7f7762656034748af4098221ba10b64">
    <vt:lpwstr>Metschke, Bernadette [Person - BMETSCHKE] [internal] [23089]|14c4c4ea-7d5b-42a0-88f0-64aed0c65d50</vt:lpwstr>
  </property>
  <property fmtid="{D5CDD505-2E9C-101B-9397-08002B2CF9AE}" pid="6" name="c1aa94c1bcce43cc9138ccb9c7bf6e69">
    <vt:lpwstr/>
  </property>
  <property fmtid="{D5CDD505-2E9C-101B-9397-08002B2CF9AE}" pid="7" name="ie56bdfdc4a44ef997c05b4ed8c67594">
    <vt:lpwstr/>
  </property>
  <property fmtid="{D5CDD505-2E9C-101B-9397-08002B2CF9AE}" pid="8" name="dd9c7627a75f4720a6ccce58a35e4d75">
    <vt:lpwstr/>
  </property>
  <property fmtid="{D5CDD505-2E9C-101B-9397-08002B2CF9AE}" pid="9" name="e74c999a0f514bafbaad1ae53c56eac2">
    <vt:lpwstr/>
  </property>
  <property fmtid="{D5CDD505-2E9C-101B-9397-08002B2CF9AE}" pid="10" name="l30152c64bc5409cb0d6af5fc7998329">
    <vt:lpwstr/>
  </property>
  <property fmtid="{D5CDD505-2E9C-101B-9397-08002B2CF9AE}" pid="11" name="a26f7cb41fae41ebb6c8e377b7c30d71">
    <vt:lpwstr/>
  </property>
  <property fmtid="{D5CDD505-2E9C-101B-9397-08002B2CF9AE}" pid="12" name="hab31d4ae2264d5c8e77fd86c07e7635">
    <vt:lpwstr/>
  </property>
  <property fmtid="{D5CDD505-2E9C-101B-9397-08002B2CF9AE}" pid="13" name="e65fcc6ef396426b9c231bd6b3bc54de">
    <vt:lpwstr/>
  </property>
  <property fmtid="{D5CDD505-2E9C-101B-9397-08002B2CF9AE}" pid="14" name="TrimRevisionNumber">
    <vt:i4>63</vt:i4>
  </property>
  <property fmtid="{D5CDD505-2E9C-101B-9397-08002B2CF9AE}" pid="15" name="trimRootDocClassification">
    <vt:lpwstr/>
  </property>
  <property fmtid="{D5CDD505-2E9C-101B-9397-08002B2CF9AE}" pid="16" name="trimRootDocAssigneeLocation">
    <vt:lpwstr>1375;#Metschke, Bernadette [Person - BMETSCHKE] [internal] [23089]|14c4c4ea-7d5b-42a0-88f0-64aed0c65d50</vt:lpwstr>
  </property>
  <property fmtid="{D5CDD505-2E9C-101B-9397-08002B2CF9AE}" pid="17" name="trimRootDocOwnerLocation">
    <vt:lpwstr>54;#Legal Practice Unit [Organization] [internal] [39804]|3601d318-3562-4026-bcf3-e3d37a91abed</vt:lpwstr>
  </property>
  <property fmtid="{D5CDD505-2E9C-101B-9397-08002B2CF9AE}" pid="18" name="trimRootDocOtherContactLocation">
    <vt:lpwstr/>
  </property>
  <property fmtid="{D5CDD505-2E9C-101B-9397-08002B2CF9AE}" pid="19" name="trimRootDocACLCanUpdateMetadata_List">
    <vt:lpwstr/>
  </property>
  <property fmtid="{D5CDD505-2E9C-101B-9397-08002B2CF9AE}" pid="20" name="trimRootDocACLCanContributeDocuments_List">
    <vt:lpwstr/>
  </property>
  <property fmtid="{D5CDD505-2E9C-101B-9397-08002B2CF9AE}" pid="21" name="trimRootDocACLCanModifyAccess_List">
    <vt:lpwstr/>
  </property>
  <property fmtid="{D5CDD505-2E9C-101B-9397-08002B2CF9AE}" pid="22" name="trimRootDocACLCanUpdateDocument_List">
    <vt:lpwstr/>
  </property>
  <property fmtid="{D5CDD505-2E9C-101B-9397-08002B2CF9AE}" pid="23" name="trimRootDocACLCanViewMetadata_List">
    <vt:lpwstr/>
  </property>
  <property fmtid="{D5CDD505-2E9C-101B-9397-08002B2CF9AE}" pid="24" name="uri">
    <vt:lpwstr>2948986</vt:lpwstr>
  </property>
  <property fmtid="{D5CDD505-2E9C-101B-9397-08002B2CF9AE}" pid="25" name="trimRootDocACLCanViewDocument_List">
    <vt:lpwstr/>
  </property>
</Properties>
</file>