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31DF" w14:textId="77777777" w:rsidR="00715914" w:rsidRPr="006A2E2D" w:rsidRDefault="00DA186E" w:rsidP="00220FB3">
      <w:pPr>
        <w:pStyle w:val="ActHead7"/>
      </w:pPr>
      <w:r w:rsidRPr="006A2E2D">
        <w:rPr>
          <w:noProof/>
        </w:rPr>
        <w:drawing>
          <wp:inline distT="0" distB="0" distL="0" distR="0" wp14:anchorId="0207316F" wp14:editId="020731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4EBDC" w14:textId="77777777" w:rsidR="00715914" w:rsidRPr="006A2E2D" w:rsidRDefault="00715914" w:rsidP="00715914">
      <w:pPr>
        <w:rPr>
          <w:sz w:val="19"/>
        </w:rPr>
      </w:pPr>
    </w:p>
    <w:p w14:paraId="61394B6F" w14:textId="77777777" w:rsidR="00554826" w:rsidRPr="006A2E2D" w:rsidRDefault="00B13D4C" w:rsidP="00554826">
      <w:pPr>
        <w:pStyle w:val="ShortT"/>
      </w:pPr>
      <w:bookmarkStart w:id="0" w:name="_Hlk152089702"/>
      <w:r w:rsidRPr="006A2E2D">
        <w:t>Broadcasting Services</w:t>
      </w:r>
      <w:r w:rsidR="00554826" w:rsidRPr="006A2E2D">
        <w:t xml:space="preserve"> (</w:t>
      </w:r>
      <w:r w:rsidRPr="006A2E2D">
        <w:t>Anti-Siphoning List</w:t>
      </w:r>
      <w:r w:rsidR="00554826" w:rsidRPr="006A2E2D">
        <w:t xml:space="preserve">) </w:t>
      </w:r>
      <w:r w:rsidRPr="006A2E2D">
        <w:t xml:space="preserve">Instrument </w:t>
      </w:r>
      <w:r w:rsidR="00471812" w:rsidRPr="006A2E2D">
        <w:t>2024</w:t>
      </w:r>
    </w:p>
    <w:bookmarkEnd w:id="0"/>
    <w:p w14:paraId="6E0FCC78" w14:textId="77777777" w:rsidR="00554826" w:rsidRPr="006A2E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6A2E2D">
        <w:rPr>
          <w:szCs w:val="22"/>
        </w:rPr>
        <w:t xml:space="preserve">I, </w:t>
      </w:r>
      <w:r w:rsidR="00693C50" w:rsidRPr="006A2E2D">
        <w:rPr>
          <w:szCs w:val="22"/>
        </w:rPr>
        <w:t>Michelle Rowland</w:t>
      </w:r>
      <w:r w:rsidRPr="006A2E2D">
        <w:rPr>
          <w:szCs w:val="22"/>
        </w:rPr>
        <w:t xml:space="preserve">, </w:t>
      </w:r>
      <w:r w:rsidR="00693C50" w:rsidRPr="006A2E2D">
        <w:rPr>
          <w:szCs w:val="22"/>
        </w:rPr>
        <w:t>Minister for Communications</w:t>
      </w:r>
      <w:r w:rsidRPr="006A2E2D">
        <w:rPr>
          <w:szCs w:val="22"/>
        </w:rPr>
        <w:t xml:space="preserve">, make the following </w:t>
      </w:r>
      <w:r w:rsidR="00B13D4C" w:rsidRPr="006A2E2D">
        <w:rPr>
          <w:szCs w:val="22"/>
        </w:rPr>
        <w:t>instrument</w:t>
      </w:r>
      <w:r w:rsidRPr="006A2E2D">
        <w:rPr>
          <w:szCs w:val="22"/>
        </w:rPr>
        <w:t>.</w:t>
      </w:r>
    </w:p>
    <w:p w14:paraId="6F240E0E" w14:textId="068AB567" w:rsidR="00554826" w:rsidRPr="006A2E2D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A2E2D">
        <w:rPr>
          <w:szCs w:val="22"/>
        </w:rPr>
        <w:t>Dated</w:t>
      </w:r>
      <w:r w:rsidRPr="006A2E2D">
        <w:rPr>
          <w:szCs w:val="22"/>
        </w:rPr>
        <w:tab/>
      </w:r>
      <w:r w:rsidR="0087517D">
        <w:rPr>
          <w:szCs w:val="22"/>
        </w:rPr>
        <w:t>29 November 2024</w:t>
      </w:r>
    </w:p>
    <w:p w14:paraId="553C0FAB" w14:textId="77777777" w:rsidR="00554826" w:rsidRPr="006A2E2D" w:rsidRDefault="00693C5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A2E2D">
        <w:rPr>
          <w:szCs w:val="22"/>
        </w:rPr>
        <w:t>Michelle Rowland</w:t>
      </w:r>
      <w:r w:rsidR="00554826" w:rsidRPr="006A2E2D">
        <w:rPr>
          <w:szCs w:val="22"/>
        </w:rPr>
        <w:t xml:space="preserve"> </w:t>
      </w:r>
      <w:bookmarkStart w:id="1" w:name="_GoBack"/>
      <w:bookmarkEnd w:id="1"/>
    </w:p>
    <w:p w14:paraId="7C31F234" w14:textId="77777777" w:rsidR="00554826" w:rsidRPr="006A2E2D" w:rsidRDefault="00693C50" w:rsidP="00554826">
      <w:pPr>
        <w:pStyle w:val="SignCoverPageEnd"/>
        <w:ind w:right="91"/>
        <w:rPr>
          <w:sz w:val="22"/>
        </w:rPr>
      </w:pPr>
      <w:r w:rsidRPr="006A2E2D">
        <w:rPr>
          <w:sz w:val="22"/>
        </w:rPr>
        <w:t>Minister for Communications</w:t>
      </w:r>
    </w:p>
    <w:p w14:paraId="43DBA557" w14:textId="77777777" w:rsidR="00EC479E" w:rsidRPr="006A2E2D" w:rsidRDefault="00EC479E" w:rsidP="00D67426">
      <w:pPr>
        <w:pStyle w:val="notedraft"/>
        <w:ind w:left="0" w:firstLine="0"/>
        <w:sectPr w:rsidR="00EC479E" w:rsidRPr="006A2E2D" w:rsidSect="00F6696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C62DCC3" w14:textId="77777777" w:rsidR="007500C8" w:rsidRPr="006A2E2D" w:rsidRDefault="00715914" w:rsidP="00715914">
      <w:pPr>
        <w:outlineLvl w:val="0"/>
        <w:rPr>
          <w:sz w:val="36"/>
        </w:rPr>
      </w:pPr>
      <w:r w:rsidRPr="006A2E2D">
        <w:rPr>
          <w:sz w:val="36"/>
        </w:rPr>
        <w:lastRenderedPageBreak/>
        <w:t>Contents</w:t>
      </w:r>
    </w:p>
    <w:p w14:paraId="57BBFCBB" w14:textId="77777777" w:rsidR="00D67426" w:rsidRPr="006A2E2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fldChar w:fldCharType="begin"/>
      </w:r>
      <w:r w:rsidRPr="006A2E2D">
        <w:instrText xml:space="preserve"> TOC \o "1-9" </w:instrText>
      </w:r>
      <w:r w:rsidRPr="006A2E2D">
        <w:fldChar w:fldCharType="separate"/>
      </w:r>
      <w:r w:rsidR="00D67426" w:rsidRPr="006A2E2D">
        <w:rPr>
          <w:noProof/>
        </w:rPr>
        <w:t>1  Name</w:t>
      </w:r>
      <w:r w:rsidR="00D67426" w:rsidRPr="006A2E2D">
        <w:rPr>
          <w:noProof/>
        </w:rPr>
        <w:tab/>
      </w:r>
      <w:r w:rsidR="00D67426" w:rsidRPr="006A2E2D">
        <w:rPr>
          <w:noProof/>
        </w:rPr>
        <w:fldChar w:fldCharType="begin"/>
      </w:r>
      <w:r w:rsidR="00D67426" w:rsidRPr="006A2E2D">
        <w:rPr>
          <w:noProof/>
        </w:rPr>
        <w:instrText xml:space="preserve"> PAGEREF _Toc152065570 \h </w:instrText>
      </w:r>
      <w:r w:rsidR="00D67426" w:rsidRPr="006A2E2D">
        <w:rPr>
          <w:noProof/>
        </w:rPr>
      </w:r>
      <w:r w:rsidR="00D67426" w:rsidRPr="006A2E2D">
        <w:rPr>
          <w:noProof/>
        </w:rPr>
        <w:fldChar w:fldCharType="separate"/>
      </w:r>
      <w:r w:rsidR="00D67426" w:rsidRPr="006A2E2D">
        <w:rPr>
          <w:noProof/>
        </w:rPr>
        <w:t>1</w:t>
      </w:r>
      <w:r w:rsidR="00D67426" w:rsidRPr="006A2E2D">
        <w:rPr>
          <w:noProof/>
        </w:rPr>
        <w:fldChar w:fldCharType="end"/>
      </w:r>
    </w:p>
    <w:p w14:paraId="61DB6E3E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2  Commencement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_Toc152065571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1</w:t>
      </w:r>
      <w:r w:rsidRPr="006A2E2D">
        <w:rPr>
          <w:noProof/>
        </w:rPr>
        <w:fldChar w:fldCharType="end"/>
      </w:r>
    </w:p>
    <w:p w14:paraId="3A213856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3  Authority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_Toc152065572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1</w:t>
      </w:r>
      <w:r w:rsidRPr="006A2E2D">
        <w:rPr>
          <w:noProof/>
        </w:rPr>
        <w:fldChar w:fldCharType="end"/>
      </w:r>
    </w:p>
    <w:p w14:paraId="277AFFBA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4  Definitions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_Toc152065573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1</w:t>
      </w:r>
      <w:r w:rsidRPr="006A2E2D">
        <w:rPr>
          <w:noProof/>
        </w:rPr>
        <w:fldChar w:fldCharType="end"/>
      </w:r>
    </w:p>
    <w:p w14:paraId="34B15D29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5  Specification of events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_Toc152065574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1</w:t>
      </w:r>
      <w:r w:rsidRPr="006A2E2D">
        <w:rPr>
          <w:noProof/>
        </w:rPr>
        <w:fldChar w:fldCharType="end"/>
      </w:r>
    </w:p>
    <w:p w14:paraId="134FB887" w14:textId="77777777" w:rsidR="00D67426" w:rsidRPr="006A2E2D" w:rsidRDefault="00D674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A2E2D">
        <w:rPr>
          <w:noProof/>
        </w:rPr>
        <w:t>Schedule 1—Events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_Toc152065575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2</w:t>
      </w:r>
      <w:r w:rsidRPr="006A2E2D">
        <w:rPr>
          <w:noProof/>
        </w:rPr>
        <w:fldChar w:fldCharType="end"/>
      </w:r>
    </w:p>
    <w:p w14:paraId="7466C338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1  Interpretation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_Toc152065576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2</w:t>
      </w:r>
      <w:r w:rsidRPr="006A2E2D">
        <w:rPr>
          <w:noProof/>
        </w:rPr>
        <w:fldChar w:fldCharType="end"/>
      </w:r>
    </w:p>
    <w:p w14:paraId="255C33AE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2  Olympic Games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_Toc152065577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2</w:t>
      </w:r>
      <w:r w:rsidRPr="006A2E2D">
        <w:rPr>
          <w:noProof/>
        </w:rPr>
        <w:fldChar w:fldCharType="end"/>
      </w:r>
    </w:p>
    <w:p w14:paraId="5D376942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3  Summer Paralympic Games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_Toc152065578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2</w:t>
      </w:r>
      <w:r w:rsidRPr="006A2E2D">
        <w:rPr>
          <w:noProof/>
        </w:rPr>
        <w:fldChar w:fldCharType="end"/>
      </w:r>
    </w:p>
    <w:p w14:paraId="31CDFB05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4  Commonwealth Games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_Toc152065579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3</w:t>
      </w:r>
      <w:r w:rsidRPr="006A2E2D">
        <w:rPr>
          <w:noProof/>
        </w:rPr>
        <w:fldChar w:fldCharType="end"/>
      </w:r>
    </w:p>
    <w:p w14:paraId="4623B3D3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5  Horse racing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_Toc152065580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3</w:t>
      </w:r>
      <w:r w:rsidRPr="006A2E2D">
        <w:rPr>
          <w:noProof/>
        </w:rPr>
        <w:fldChar w:fldCharType="end"/>
      </w:r>
    </w:p>
    <w:p w14:paraId="62B68AA7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6  Australian rules football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_Toc152065581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3</w:t>
      </w:r>
      <w:r w:rsidRPr="006A2E2D">
        <w:rPr>
          <w:noProof/>
        </w:rPr>
        <w:fldChar w:fldCharType="end"/>
      </w:r>
    </w:p>
    <w:p w14:paraId="0FF2232E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7  Rugby league football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_Toc152065582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3</w:t>
      </w:r>
      <w:r w:rsidRPr="006A2E2D">
        <w:rPr>
          <w:noProof/>
        </w:rPr>
        <w:fldChar w:fldCharType="end"/>
      </w:r>
    </w:p>
    <w:p w14:paraId="573C4E83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8  Rugby union football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_Toc152065583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3</w:t>
      </w:r>
      <w:r w:rsidRPr="006A2E2D">
        <w:rPr>
          <w:noProof/>
        </w:rPr>
        <w:fldChar w:fldCharType="end"/>
      </w:r>
    </w:p>
    <w:p w14:paraId="3F9CD746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9  Cricket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_Toc152065584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4</w:t>
      </w:r>
      <w:r w:rsidRPr="006A2E2D">
        <w:rPr>
          <w:noProof/>
        </w:rPr>
        <w:fldChar w:fldCharType="end"/>
      </w:r>
    </w:p>
    <w:p w14:paraId="7EFB708B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10  Soccer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_Toc152065585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5</w:t>
      </w:r>
      <w:r w:rsidRPr="006A2E2D">
        <w:rPr>
          <w:noProof/>
        </w:rPr>
        <w:fldChar w:fldCharType="end"/>
      </w:r>
    </w:p>
    <w:p w14:paraId="0F1975B7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11  Tennis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_Toc152065586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5</w:t>
      </w:r>
      <w:r w:rsidRPr="006A2E2D">
        <w:rPr>
          <w:noProof/>
        </w:rPr>
        <w:fldChar w:fldCharType="end"/>
      </w:r>
    </w:p>
    <w:p w14:paraId="5EC5B2A3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12  Netball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_Toc152065587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6</w:t>
      </w:r>
      <w:r w:rsidRPr="006A2E2D">
        <w:rPr>
          <w:noProof/>
        </w:rPr>
        <w:fldChar w:fldCharType="end"/>
      </w:r>
    </w:p>
    <w:p w14:paraId="61630A27" w14:textId="77777777" w:rsidR="00D67426" w:rsidRPr="006A2E2D" w:rsidRDefault="00D6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E2D">
        <w:rPr>
          <w:noProof/>
        </w:rPr>
        <w:t>13  Motor sports</w:t>
      </w:r>
      <w:r w:rsidRPr="006A2E2D">
        <w:rPr>
          <w:noProof/>
        </w:rPr>
        <w:tab/>
      </w:r>
      <w:r w:rsidRPr="006A2E2D">
        <w:rPr>
          <w:noProof/>
        </w:rPr>
        <w:fldChar w:fldCharType="begin"/>
      </w:r>
      <w:r w:rsidRPr="006A2E2D">
        <w:rPr>
          <w:noProof/>
        </w:rPr>
        <w:instrText xml:space="preserve"> PAGEREF _Toc152065588 \h </w:instrText>
      </w:r>
      <w:r w:rsidRPr="006A2E2D">
        <w:rPr>
          <w:noProof/>
        </w:rPr>
      </w:r>
      <w:r w:rsidRPr="006A2E2D">
        <w:rPr>
          <w:noProof/>
        </w:rPr>
        <w:fldChar w:fldCharType="separate"/>
      </w:r>
      <w:r w:rsidRPr="006A2E2D">
        <w:rPr>
          <w:noProof/>
        </w:rPr>
        <w:t>6</w:t>
      </w:r>
      <w:r w:rsidRPr="006A2E2D">
        <w:rPr>
          <w:noProof/>
        </w:rPr>
        <w:fldChar w:fldCharType="end"/>
      </w:r>
    </w:p>
    <w:p w14:paraId="2F896C6F" w14:textId="77777777" w:rsidR="00F6696E" w:rsidRPr="006A2E2D" w:rsidRDefault="00B418CB" w:rsidP="00F6696E">
      <w:pPr>
        <w:outlineLvl w:val="0"/>
      </w:pPr>
      <w:r w:rsidRPr="006A2E2D">
        <w:fldChar w:fldCharType="end"/>
      </w:r>
    </w:p>
    <w:p w14:paraId="4611B83D" w14:textId="77777777" w:rsidR="00F6696E" w:rsidRPr="006A2E2D" w:rsidRDefault="00F6696E" w:rsidP="00F6696E">
      <w:pPr>
        <w:outlineLvl w:val="0"/>
        <w:rPr>
          <w:sz w:val="20"/>
        </w:rPr>
      </w:pPr>
    </w:p>
    <w:p w14:paraId="27C28787" w14:textId="77777777" w:rsidR="00F6696E" w:rsidRPr="006A2E2D" w:rsidRDefault="00F6696E" w:rsidP="00F6696E">
      <w:pPr>
        <w:sectPr w:rsidR="00F6696E" w:rsidRPr="006A2E2D" w:rsidSect="001529E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D6079A" w14:textId="77777777" w:rsidR="00554826" w:rsidRPr="006A2E2D" w:rsidRDefault="00554826" w:rsidP="00554826">
      <w:pPr>
        <w:pStyle w:val="ActHead5"/>
      </w:pPr>
      <w:bookmarkStart w:id="2" w:name="_Toc152065570"/>
      <w:proofErr w:type="gramStart"/>
      <w:r w:rsidRPr="006A2E2D">
        <w:lastRenderedPageBreak/>
        <w:t>1  Name</w:t>
      </w:r>
      <w:bookmarkEnd w:id="2"/>
      <w:proofErr w:type="gramEnd"/>
    </w:p>
    <w:p w14:paraId="69EE9CAC" w14:textId="77777777" w:rsidR="00372CB6" w:rsidRPr="006A2E2D" w:rsidRDefault="00554826" w:rsidP="00A24384">
      <w:pPr>
        <w:pStyle w:val="subsection"/>
      </w:pPr>
      <w:r w:rsidRPr="006A2E2D">
        <w:tab/>
      </w:r>
      <w:r w:rsidRPr="006A2E2D">
        <w:tab/>
        <w:t xml:space="preserve">This instrument is the </w:t>
      </w:r>
      <w:bookmarkStart w:id="3" w:name="BKCheck15B_3"/>
      <w:bookmarkEnd w:id="3"/>
      <w:r w:rsidR="00B13D4C" w:rsidRPr="006A2E2D">
        <w:rPr>
          <w:i/>
        </w:rPr>
        <w:t>Broadcasting Services (Anti-Siphoning List) Instrument</w:t>
      </w:r>
      <w:r w:rsidR="00EC479E" w:rsidRPr="006A2E2D">
        <w:rPr>
          <w:i/>
        </w:rPr>
        <w:t xml:space="preserve"> </w:t>
      </w:r>
      <w:r w:rsidR="00471812" w:rsidRPr="006A2E2D">
        <w:rPr>
          <w:i/>
        </w:rPr>
        <w:t>2024</w:t>
      </w:r>
      <w:r w:rsidRPr="006A2E2D">
        <w:t>.</w:t>
      </w:r>
    </w:p>
    <w:p w14:paraId="01FD6AE6" w14:textId="77777777" w:rsidR="00554826" w:rsidRPr="006A2E2D" w:rsidRDefault="00554826" w:rsidP="00554826">
      <w:pPr>
        <w:pStyle w:val="ActHead5"/>
      </w:pPr>
      <w:bookmarkStart w:id="4" w:name="_Toc152065571"/>
      <w:proofErr w:type="gramStart"/>
      <w:r w:rsidRPr="006A2E2D">
        <w:t>2  Commencement</w:t>
      </w:r>
      <w:bookmarkEnd w:id="4"/>
      <w:proofErr w:type="gramEnd"/>
    </w:p>
    <w:p w14:paraId="71FAA90E" w14:textId="77777777" w:rsidR="00554826" w:rsidRPr="006A2E2D" w:rsidRDefault="00554826" w:rsidP="00554826">
      <w:pPr>
        <w:pStyle w:val="subsection"/>
      </w:pPr>
      <w:r w:rsidRPr="006A2E2D">
        <w:tab/>
      </w:r>
      <w:r w:rsidRPr="006A2E2D">
        <w:tab/>
        <w:t>This instrument commences</w:t>
      </w:r>
      <w:r w:rsidR="00B13D4C" w:rsidRPr="006A2E2D">
        <w:t xml:space="preserve"> at the same time as</w:t>
      </w:r>
      <w:r w:rsidR="00EA260A" w:rsidRPr="006A2E2D">
        <w:t xml:space="preserve"> Schedule 2 to the</w:t>
      </w:r>
      <w:r w:rsidR="0095230B" w:rsidRPr="006A2E2D">
        <w:t xml:space="preserve"> </w:t>
      </w:r>
      <w:r w:rsidR="0095230B" w:rsidRPr="006A2E2D">
        <w:rPr>
          <w:i/>
        </w:rPr>
        <w:t>Communications Legislation Amendment (Prominence and Anti</w:t>
      </w:r>
      <w:r w:rsidR="000D35AB" w:rsidRPr="006A2E2D">
        <w:rPr>
          <w:i/>
        </w:rPr>
        <w:t>-</w:t>
      </w:r>
      <w:r w:rsidR="0095230B" w:rsidRPr="006A2E2D">
        <w:rPr>
          <w:i/>
        </w:rPr>
        <w:t xml:space="preserve">siphoning) </w:t>
      </w:r>
      <w:r w:rsidR="00471812" w:rsidRPr="006A2E2D">
        <w:rPr>
          <w:i/>
        </w:rPr>
        <w:t>Act 2024</w:t>
      </w:r>
      <w:r w:rsidRPr="006A2E2D">
        <w:t>.</w:t>
      </w:r>
    </w:p>
    <w:p w14:paraId="3834846F" w14:textId="77777777" w:rsidR="00CF3031" w:rsidRPr="006A2E2D" w:rsidRDefault="00CF3031" w:rsidP="000C0245">
      <w:pPr>
        <w:pStyle w:val="notetext"/>
      </w:pPr>
      <w:r w:rsidRPr="006A2E2D">
        <w:t>Note:</w:t>
      </w:r>
      <w:r w:rsidRPr="006A2E2D">
        <w:tab/>
        <w:t xml:space="preserve">This instrument replaces any </w:t>
      </w:r>
      <w:r w:rsidR="000C0245" w:rsidRPr="006A2E2D">
        <w:t>instruments</w:t>
      </w:r>
      <w:r w:rsidRPr="006A2E2D">
        <w:t xml:space="preserve"> previously made under subsection 115(1) of the Act as in force immediately before the commencement of this instrument. Those instruments will be impliedly repealed.</w:t>
      </w:r>
    </w:p>
    <w:p w14:paraId="51C97AF4" w14:textId="77777777" w:rsidR="00554826" w:rsidRPr="006A2E2D" w:rsidRDefault="00554826" w:rsidP="00554826">
      <w:pPr>
        <w:pStyle w:val="ActHead5"/>
      </w:pPr>
      <w:bookmarkStart w:id="5" w:name="_Toc152065572"/>
      <w:proofErr w:type="gramStart"/>
      <w:r w:rsidRPr="006A2E2D">
        <w:t>3  Authority</w:t>
      </w:r>
      <w:bookmarkEnd w:id="5"/>
      <w:proofErr w:type="gramEnd"/>
    </w:p>
    <w:p w14:paraId="397EBA4F" w14:textId="77777777" w:rsidR="00554826" w:rsidRPr="006A2E2D" w:rsidRDefault="00554826" w:rsidP="00554826">
      <w:pPr>
        <w:pStyle w:val="subsection"/>
      </w:pPr>
      <w:r w:rsidRPr="006A2E2D">
        <w:tab/>
      </w:r>
      <w:r w:rsidRPr="006A2E2D">
        <w:tab/>
        <w:t>This instrument is made under</w:t>
      </w:r>
      <w:r w:rsidR="00B13D4C" w:rsidRPr="006A2E2D">
        <w:t xml:space="preserve"> </w:t>
      </w:r>
      <w:r w:rsidR="00EA260A" w:rsidRPr="006A2E2D">
        <w:t>subsection 146</w:t>
      </w:r>
      <w:proofErr w:type="gramStart"/>
      <w:r w:rsidR="00EC479E" w:rsidRPr="006A2E2D">
        <w:t>V</w:t>
      </w:r>
      <w:r w:rsidR="00EA260A" w:rsidRPr="006A2E2D">
        <w:t>(</w:t>
      </w:r>
      <w:proofErr w:type="gramEnd"/>
      <w:r w:rsidR="00EA260A" w:rsidRPr="006A2E2D">
        <w:t xml:space="preserve">1) of </w:t>
      </w:r>
      <w:r w:rsidR="00A01D74" w:rsidRPr="006A2E2D">
        <w:t xml:space="preserve">the </w:t>
      </w:r>
      <w:r w:rsidR="00A01D74" w:rsidRPr="006A2E2D">
        <w:rPr>
          <w:i/>
        </w:rPr>
        <w:t>Broadcasting Services Act 1992</w:t>
      </w:r>
      <w:r w:rsidRPr="006A2E2D">
        <w:t>.</w:t>
      </w:r>
    </w:p>
    <w:p w14:paraId="4DBE301B" w14:textId="77777777" w:rsidR="00554826" w:rsidRPr="006A2E2D" w:rsidRDefault="00554826" w:rsidP="00554826">
      <w:pPr>
        <w:pStyle w:val="ActHead5"/>
      </w:pPr>
      <w:bookmarkStart w:id="6" w:name="_Toc152065573"/>
      <w:proofErr w:type="gramStart"/>
      <w:r w:rsidRPr="006A2E2D">
        <w:t>4  Definitions</w:t>
      </w:r>
      <w:bookmarkEnd w:id="6"/>
      <w:proofErr w:type="gramEnd"/>
    </w:p>
    <w:p w14:paraId="1448599F" w14:textId="77777777" w:rsidR="00554826" w:rsidRPr="006A2E2D" w:rsidRDefault="00554826" w:rsidP="00554826">
      <w:pPr>
        <w:pStyle w:val="subsection"/>
      </w:pPr>
      <w:r w:rsidRPr="006A2E2D">
        <w:tab/>
      </w:r>
      <w:r w:rsidRPr="006A2E2D">
        <w:tab/>
        <w:t>In this instrument:</w:t>
      </w:r>
    </w:p>
    <w:p w14:paraId="36A2EC20" w14:textId="77777777" w:rsidR="00AB6AE4" w:rsidRPr="006A2E2D" w:rsidRDefault="00554826" w:rsidP="00AB6AE4">
      <w:pPr>
        <w:pStyle w:val="Definition"/>
      </w:pPr>
      <w:r w:rsidRPr="006A2E2D">
        <w:rPr>
          <w:b/>
          <w:i/>
        </w:rPr>
        <w:t>Act</w:t>
      </w:r>
      <w:r w:rsidRPr="006A2E2D">
        <w:t xml:space="preserve"> means the </w:t>
      </w:r>
      <w:r w:rsidR="00EA260A" w:rsidRPr="006A2E2D">
        <w:rPr>
          <w:i/>
        </w:rPr>
        <w:t>Broadcasting Services Act 1992</w:t>
      </w:r>
      <w:r w:rsidRPr="006A2E2D">
        <w:t>.</w:t>
      </w:r>
    </w:p>
    <w:p w14:paraId="2349466B" w14:textId="77777777" w:rsidR="001529E0" w:rsidRPr="006A2E2D" w:rsidRDefault="00A01D74" w:rsidP="00AB6AE4">
      <w:pPr>
        <w:pStyle w:val="ActHead5"/>
      </w:pPr>
      <w:bookmarkStart w:id="7" w:name="_Toc152065574"/>
      <w:proofErr w:type="gramStart"/>
      <w:r w:rsidRPr="006A2E2D">
        <w:t>5</w:t>
      </w:r>
      <w:r w:rsidR="00AB6AE4" w:rsidRPr="006A2E2D">
        <w:t xml:space="preserve">  </w:t>
      </w:r>
      <w:r w:rsidR="001227AE" w:rsidRPr="006A2E2D">
        <w:t>Specification</w:t>
      </w:r>
      <w:proofErr w:type="gramEnd"/>
      <w:r w:rsidR="001227AE" w:rsidRPr="006A2E2D">
        <w:t xml:space="preserve"> of</w:t>
      </w:r>
      <w:r w:rsidR="00B976A5" w:rsidRPr="006A2E2D">
        <w:t xml:space="preserve"> events</w:t>
      </w:r>
      <w:bookmarkEnd w:id="7"/>
    </w:p>
    <w:p w14:paraId="4D1F3297" w14:textId="77777777" w:rsidR="003B7590" w:rsidRPr="006A2E2D" w:rsidRDefault="00554826" w:rsidP="00A24384">
      <w:pPr>
        <w:pStyle w:val="subsection"/>
      </w:pPr>
      <w:r w:rsidRPr="006A2E2D">
        <w:tab/>
      </w:r>
      <w:r w:rsidRPr="006A2E2D">
        <w:tab/>
      </w:r>
      <w:r w:rsidR="004D6174" w:rsidRPr="006A2E2D">
        <w:t>For the purposes of subsection 146</w:t>
      </w:r>
      <w:proofErr w:type="gramStart"/>
      <w:r w:rsidR="00EC479E" w:rsidRPr="006A2E2D">
        <w:t>V</w:t>
      </w:r>
      <w:r w:rsidR="004D6174" w:rsidRPr="006A2E2D">
        <w:t>(</w:t>
      </w:r>
      <w:proofErr w:type="gramEnd"/>
      <w:r w:rsidR="004D6174" w:rsidRPr="006A2E2D">
        <w:t xml:space="preserve">1) of the Act, </w:t>
      </w:r>
      <w:r w:rsidR="005F68F4" w:rsidRPr="006A2E2D">
        <w:t>an</w:t>
      </w:r>
      <w:r w:rsidR="004D6174" w:rsidRPr="006A2E2D">
        <w:t xml:space="preserve"> event, or event of a kind, </w:t>
      </w:r>
      <w:r w:rsidR="001D06D4" w:rsidRPr="006A2E2D">
        <w:t>mentioned</w:t>
      </w:r>
      <w:r w:rsidR="00C3123B" w:rsidRPr="006A2E2D">
        <w:t xml:space="preserve"> in Schedule 1</w:t>
      </w:r>
      <w:r w:rsidR="004D6174" w:rsidRPr="006A2E2D">
        <w:t xml:space="preserve"> </w:t>
      </w:r>
      <w:r w:rsidR="00C3123B" w:rsidRPr="006A2E2D">
        <w:t>is specified</w:t>
      </w:r>
      <w:r w:rsidR="005F68F4" w:rsidRPr="006A2E2D">
        <w:t xml:space="preserve"> as an event, or event of a kind, the televising of which should, in my opinion, be available free to the general public</w:t>
      </w:r>
      <w:r w:rsidR="009451DD" w:rsidRPr="006A2E2D">
        <w:t>.</w:t>
      </w:r>
      <w:r w:rsidR="003B7590" w:rsidRPr="006A2E2D">
        <w:br w:type="page"/>
      </w:r>
    </w:p>
    <w:p w14:paraId="40E49BC7" w14:textId="77777777" w:rsidR="004D4347" w:rsidRPr="006A2E2D" w:rsidRDefault="004D4347" w:rsidP="004D4347">
      <w:pPr>
        <w:pStyle w:val="ActHead6"/>
      </w:pPr>
      <w:bookmarkStart w:id="8" w:name="_Toc152065575"/>
      <w:r w:rsidRPr="006A2E2D">
        <w:lastRenderedPageBreak/>
        <w:t>Schedule 1—</w:t>
      </w:r>
      <w:r w:rsidR="001F57C3" w:rsidRPr="006A2E2D">
        <w:t>Events</w:t>
      </w:r>
      <w:bookmarkEnd w:id="8"/>
    </w:p>
    <w:p w14:paraId="1D3901BA" w14:textId="77777777" w:rsidR="00766E43" w:rsidRPr="006A2E2D" w:rsidRDefault="00FF0FE0" w:rsidP="003F6264">
      <w:pPr>
        <w:pStyle w:val="ActHead5"/>
      </w:pPr>
      <w:bookmarkStart w:id="9" w:name="_Toc152065576"/>
      <w:proofErr w:type="gramStart"/>
      <w:r w:rsidRPr="006A2E2D">
        <w:t>1  Interpretation</w:t>
      </w:r>
      <w:bookmarkEnd w:id="9"/>
      <w:proofErr w:type="gramEnd"/>
    </w:p>
    <w:p w14:paraId="2F040DA5" w14:textId="77777777" w:rsidR="001227AE" w:rsidRPr="006A2E2D" w:rsidRDefault="00766E43" w:rsidP="00FF0FE0">
      <w:pPr>
        <w:pStyle w:val="subsection"/>
      </w:pPr>
      <w:r w:rsidRPr="006A2E2D">
        <w:tab/>
      </w:r>
      <w:r w:rsidR="00AC2E05" w:rsidRPr="006A2E2D">
        <w:t>(1)</w:t>
      </w:r>
      <w:r w:rsidR="00FF0FE0" w:rsidRPr="006A2E2D">
        <w:tab/>
      </w:r>
      <w:r w:rsidR="001227AE" w:rsidRPr="006A2E2D">
        <w:t>This clause applies to the interpretation of this schedule.</w:t>
      </w:r>
    </w:p>
    <w:p w14:paraId="498C3AF2" w14:textId="77777777" w:rsidR="00AC2E05" w:rsidRPr="006A2E2D" w:rsidRDefault="001227AE" w:rsidP="00BD3AFB">
      <w:pPr>
        <w:pStyle w:val="subsection"/>
      </w:pPr>
      <w:r w:rsidRPr="006A2E2D">
        <w:tab/>
        <w:t>(2)</w:t>
      </w:r>
      <w:r w:rsidRPr="006A2E2D">
        <w:tab/>
        <w:t>A</w:t>
      </w:r>
      <w:r w:rsidR="00C90972" w:rsidRPr="006A2E2D">
        <w:t xml:space="preserve"> reference to an event, or an event of a kind, is a reference to that event</w:t>
      </w:r>
      <w:r w:rsidR="00C71AE0" w:rsidRPr="006A2E2D">
        <w:t>,</w:t>
      </w:r>
      <w:r w:rsidR="00C90972" w:rsidRPr="006A2E2D">
        <w:t xml:space="preserve"> or kind of event</w:t>
      </w:r>
      <w:r w:rsidR="00C71AE0" w:rsidRPr="006A2E2D">
        <w:t>,</w:t>
      </w:r>
      <w:r w:rsidR="00C90972" w:rsidRPr="006A2E2D">
        <w:t xml:space="preserve"> held from time to time.</w:t>
      </w:r>
    </w:p>
    <w:p w14:paraId="23BE451C" w14:textId="77777777" w:rsidR="00AE3986" w:rsidRPr="006A2E2D" w:rsidRDefault="00F17DA3" w:rsidP="00F17DA3">
      <w:pPr>
        <w:pStyle w:val="subsection"/>
        <w:rPr>
          <w:color w:val="000000" w:themeColor="text1"/>
        </w:rPr>
      </w:pPr>
      <w:r w:rsidRPr="006A2E2D">
        <w:rPr>
          <w:color w:val="000000" w:themeColor="text1"/>
        </w:rPr>
        <w:tab/>
        <w:t>(3)</w:t>
      </w:r>
      <w:r w:rsidRPr="006A2E2D">
        <w:rPr>
          <w:color w:val="000000" w:themeColor="text1"/>
        </w:rPr>
        <w:tab/>
      </w:r>
      <w:r w:rsidR="00AE3986" w:rsidRPr="006A2E2D">
        <w:rPr>
          <w:color w:val="000000" w:themeColor="text1"/>
        </w:rPr>
        <w:t xml:space="preserve">Unless </w:t>
      </w:r>
      <w:r w:rsidR="000D7595" w:rsidRPr="006A2E2D">
        <w:rPr>
          <w:color w:val="000000" w:themeColor="text1"/>
        </w:rPr>
        <w:t>otherwise provided</w:t>
      </w:r>
      <w:r w:rsidR="00AE3986" w:rsidRPr="006A2E2D">
        <w:rPr>
          <w:color w:val="000000" w:themeColor="text1"/>
        </w:rPr>
        <w:t>, a</w:t>
      </w:r>
      <w:r w:rsidRPr="006A2E2D">
        <w:rPr>
          <w:color w:val="000000" w:themeColor="text1"/>
        </w:rPr>
        <w:t xml:space="preserve"> reference to a named sporting competition</w:t>
      </w:r>
      <w:r w:rsidR="00FA2151" w:rsidRPr="006A2E2D">
        <w:rPr>
          <w:color w:val="000000" w:themeColor="text1"/>
        </w:rPr>
        <w:t xml:space="preserve"> </w:t>
      </w:r>
      <w:r w:rsidR="00AE3986" w:rsidRPr="006A2E2D">
        <w:rPr>
          <w:color w:val="000000" w:themeColor="text1"/>
        </w:rPr>
        <w:t>includes each of the following</w:t>
      </w:r>
      <w:r w:rsidR="000D7595" w:rsidRPr="006A2E2D">
        <w:rPr>
          <w:color w:val="000000" w:themeColor="text1"/>
        </w:rPr>
        <w:t xml:space="preserve"> references</w:t>
      </w:r>
      <w:r w:rsidR="00AE3986" w:rsidRPr="006A2E2D">
        <w:rPr>
          <w:color w:val="000000" w:themeColor="text1"/>
        </w:rPr>
        <w:t>:</w:t>
      </w:r>
    </w:p>
    <w:p w14:paraId="556E0BED" w14:textId="77777777" w:rsidR="00AE3986" w:rsidRPr="006A2E2D" w:rsidRDefault="00F17DA3" w:rsidP="00F17DA3">
      <w:pPr>
        <w:pStyle w:val="paragraph"/>
        <w:rPr>
          <w:color w:val="000000" w:themeColor="text1"/>
        </w:rPr>
      </w:pPr>
      <w:r w:rsidRPr="006A2E2D">
        <w:rPr>
          <w:color w:val="000000" w:themeColor="text1"/>
        </w:rPr>
        <w:tab/>
        <w:t>(a)</w:t>
      </w:r>
      <w:r w:rsidRPr="006A2E2D">
        <w:rPr>
          <w:color w:val="000000" w:themeColor="text1"/>
        </w:rPr>
        <w:tab/>
      </w:r>
      <w:r w:rsidR="00AE3986" w:rsidRPr="006A2E2D">
        <w:rPr>
          <w:color w:val="000000" w:themeColor="text1"/>
        </w:rPr>
        <w:t xml:space="preserve">if </w:t>
      </w:r>
      <w:r w:rsidR="00304434" w:rsidRPr="006A2E2D">
        <w:rPr>
          <w:color w:val="000000" w:themeColor="text1"/>
        </w:rPr>
        <w:t>the sporting competition</w:t>
      </w:r>
      <w:r w:rsidR="00AE3986" w:rsidRPr="006A2E2D">
        <w:rPr>
          <w:color w:val="000000" w:themeColor="text1"/>
        </w:rPr>
        <w:t xml:space="preserve"> consists of more than one event—</w:t>
      </w:r>
      <w:r w:rsidRPr="006A2E2D">
        <w:rPr>
          <w:color w:val="000000" w:themeColor="text1"/>
        </w:rPr>
        <w:t>a reference to each of the events</w:t>
      </w:r>
      <w:r w:rsidR="00AE3986" w:rsidRPr="006A2E2D">
        <w:rPr>
          <w:color w:val="000000" w:themeColor="text1"/>
        </w:rPr>
        <w:t>;</w:t>
      </w:r>
    </w:p>
    <w:p w14:paraId="79CC6B3F" w14:textId="77777777" w:rsidR="00F17DA3" w:rsidRPr="006A2E2D" w:rsidRDefault="00AE3986" w:rsidP="00AE3986">
      <w:pPr>
        <w:pStyle w:val="notepara"/>
        <w:rPr>
          <w:color w:val="000000" w:themeColor="text1"/>
        </w:rPr>
      </w:pPr>
      <w:r w:rsidRPr="006A2E2D">
        <w:rPr>
          <w:color w:val="000000" w:themeColor="text1"/>
        </w:rPr>
        <w:t>Examples:</w:t>
      </w:r>
      <w:r w:rsidRPr="006A2E2D">
        <w:rPr>
          <w:color w:val="000000" w:themeColor="text1"/>
        </w:rPr>
        <w:tab/>
        <w:t xml:space="preserve">A multi-event tournament; an annual competition; the competition </w:t>
      </w:r>
      <w:r w:rsidR="005756DA" w:rsidRPr="006A2E2D">
        <w:rPr>
          <w:color w:val="000000" w:themeColor="text1"/>
        </w:rPr>
        <w:t xml:space="preserve">series </w:t>
      </w:r>
      <w:r w:rsidRPr="006A2E2D">
        <w:rPr>
          <w:color w:val="000000" w:themeColor="text1"/>
        </w:rPr>
        <w:t xml:space="preserve">of a </w:t>
      </w:r>
      <w:r w:rsidR="000D7595" w:rsidRPr="006A2E2D">
        <w:rPr>
          <w:color w:val="000000" w:themeColor="text1"/>
        </w:rPr>
        <w:t xml:space="preserve">sporting </w:t>
      </w:r>
      <w:r w:rsidRPr="006A2E2D">
        <w:rPr>
          <w:color w:val="000000" w:themeColor="text1"/>
        </w:rPr>
        <w:t>league or association</w:t>
      </w:r>
      <w:r w:rsidR="000D7595" w:rsidRPr="006A2E2D">
        <w:rPr>
          <w:color w:val="000000" w:themeColor="text1"/>
        </w:rPr>
        <w:t>.</w:t>
      </w:r>
    </w:p>
    <w:p w14:paraId="323B3C29" w14:textId="77777777" w:rsidR="000D7595" w:rsidRPr="006A2E2D" w:rsidRDefault="00F17DA3" w:rsidP="000D7595">
      <w:pPr>
        <w:pStyle w:val="paragraph"/>
        <w:rPr>
          <w:color w:val="000000" w:themeColor="text1"/>
        </w:rPr>
      </w:pPr>
      <w:r w:rsidRPr="006A2E2D">
        <w:rPr>
          <w:color w:val="000000" w:themeColor="text1"/>
        </w:rPr>
        <w:tab/>
        <w:t>(b)</w:t>
      </w:r>
      <w:r w:rsidRPr="006A2E2D">
        <w:rPr>
          <w:color w:val="000000" w:themeColor="text1"/>
        </w:rPr>
        <w:tab/>
      </w:r>
      <w:r w:rsidR="00364246" w:rsidRPr="006A2E2D">
        <w:rPr>
          <w:color w:val="000000" w:themeColor="text1"/>
        </w:rPr>
        <w:t xml:space="preserve">if </w:t>
      </w:r>
      <w:r w:rsidR="00304434" w:rsidRPr="006A2E2D">
        <w:rPr>
          <w:color w:val="000000" w:themeColor="text1"/>
        </w:rPr>
        <w:t xml:space="preserve">the sporting competition is </w:t>
      </w:r>
      <w:r w:rsidR="00364246" w:rsidRPr="006A2E2D">
        <w:rPr>
          <w:color w:val="000000" w:themeColor="text1"/>
        </w:rPr>
        <w:t>held more than once—</w:t>
      </w:r>
      <w:r w:rsidRPr="006A2E2D">
        <w:rPr>
          <w:color w:val="000000" w:themeColor="text1"/>
        </w:rPr>
        <w:t>a reference to the sporting competition as held from time to time, irrespective of any other name by which it is also known or any change in its name</w:t>
      </w:r>
      <w:r w:rsidR="009F2197" w:rsidRPr="006A2E2D">
        <w:rPr>
          <w:color w:val="000000" w:themeColor="text1"/>
        </w:rPr>
        <w:t>;</w:t>
      </w:r>
    </w:p>
    <w:p w14:paraId="257FB681" w14:textId="77777777" w:rsidR="00AE3986" w:rsidRPr="006A2E2D" w:rsidRDefault="00AE3986" w:rsidP="00F17DA3">
      <w:pPr>
        <w:pStyle w:val="paragraph"/>
        <w:rPr>
          <w:color w:val="000000" w:themeColor="text1"/>
        </w:rPr>
      </w:pPr>
      <w:r w:rsidRPr="006A2E2D">
        <w:rPr>
          <w:color w:val="000000" w:themeColor="text1"/>
        </w:rPr>
        <w:tab/>
        <w:t>(c)</w:t>
      </w:r>
      <w:r w:rsidRPr="006A2E2D">
        <w:rPr>
          <w:color w:val="000000" w:themeColor="text1"/>
        </w:rPr>
        <w:tab/>
        <w:t xml:space="preserve">if </w:t>
      </w:r>
      <w:r w:rsidR="00EC175E" w:rsidRPr="006A2E2D">
        <w:rPr>
          <w:color w:val="000000" w:themeColor="text1"/>
        </w:rPr>
        <w:t>the sporting competition</w:t>
      </w:r>
      <w:r w:rsidR="000D7595" w:rsidRPr="006A2E2D">
        <w:rPr>
          <w:color w:val="000000" w:themeColor="text1"/>
        </w:rPr>
        <w:t xml:space="preserve"> is </w:t>
      </w:r>
      <w:r w:rsidRPr="006A2E2D">
        <w:rPr>
          <w:color w:val="000000" w:themeColor="text1"/>
        </w:rPr>
        <w:t>restructured or rebranded into 2 or more sporting competitions—a reference to each of those sporting competitions;</w:t>
      </w:r>
    </w:p>
    <w:p w14:paraId="2F8942E3" w14:textId="77777777" w:rsidR="00FA2151" w:rsidRPr="006A2E2D" w:rsidRDefault="00FA2151" w:rsidP="00FA2151">
      <w:pPr>
        <w:pStyle w:val="paragraph"/>
        <w:rPr>
          <w:color w:val="000000" w:themeColor="text1"/>
        </w:rPr>
      </w:pPr>
      <w:r w:rsidRPr="006A2E2D">
        <w:rPr>
          <w:color w:val="000000" w:themeColor="text1"/>
        </w:rPr>
        <w:tab/>
        <w:t>(d)</w:t>
      </w:r>
      <w:r w:rsidRPr="006A2E2D">
        <w:rPr>
          <w:color w:val="000000" w:themeColor="text1"/>
        </w:rPr>
        <w:tab/>
        <w:t>if the sporting competition is expanded</w:t>
      </w:r>
      <w:r w:rsidR="000D7595" w:rsidRPr="006A2E2D">
        <w:rPr>
          <w:color w:val="000000" w:themeColor="text1"/>
        </w:rPr>
        <w:t xml:space="preserve"> by the inclusion of further sports</w:t>
      </w:r>
      <w:r w:rsidRPr="006A2E2D">
        <w:rPr>
          <w:color w:val="000000" w:themeColor="text1"/>
        </w:rPr>
        <w:t>—</w:t>
      </w:r>
      <w:r w:rsidR="00E62A16" w:rsidRPr="006A2E2D">
        <w:rPr>
          <w:color w:val="000000" w:themeColor="text1"/>
        </w:rPr>
        <w:t>a</w:t>
      </w:r>
      <w:r w:rsidRPr="006A2E2D">
        <w:rPr>
          <w:color w:val="000000" w:themeColor="text1"/>
        </w:rPr>
        <w:t xml:space="preserve"> reference to </w:t>
      </w:r>
      <w:r w:rsidR="009F2197" w:rsidRPr="006A2E2D">
        <w:rPr>
          <w:color w:val="000000" w:themeColor="text1"/>
        </w:rPr>
        <w:t xml:space="preserve">each of the events in the </w:t>
      </w:r>
      <w:r w:rsidR="000D7595" w:rsidRPr="006A2E2D">
        <w:rPr>
          <w:color w:val="000000" w:themeColor="text1"/>
        </w:rPr>
        <w:t>expanded sporting competition</w:t>
      </w:r>
      <w:r w:rsidR="009F2197" w:rsidRPr="006A2E2D">
        <w:rPr>
          <w:color w:val="000000" w:themeColor="text1"/>
        </w:rPr>
        <w:t>;</w:t>
      </w:r>
    </w:p>
    <w:p w14:paraId="3FD7D801" w14:textId="77777777" w:rsidR="00F17DA3" w:rsidRPr="006A2E2D" w:rsidRDefault="009F2197" w:rsidP="00C90972">
      <w:pPr>
        <w:pStyle w:val="paragraph"/>
        <w:rPr>
          <w:color w:val="000000" w:themeColor="text1"/>
        </w:rPr>
      </w:pPr>
      <w:r w:rsidRPr="006A2E2D">
        <w:rPr>
          <w:color w:val="000000" w:themeColor="text1"/>
        </w:rPr>
        <w:tab/>
        <w:t>(e)</w:t>
      </w:r>
      <w:r w:rsidRPr="006A2E2D">
        <w:rPr>
          <w:color w:val="000000" w:themeColor="text1"/>
        </w:rPr>
        <w:tab/>
        <w:t>if the sporting competition was previously limited to men’s events or to women’s events, and is expanded by including the other category—</w:t>
      </w:r>
      <w:r w:rsidR="00E62A16" w:rsidRPr="006A2E2D">
        <w:rPr>
          <w:color w:val="000000" w:themeColor="text1"/>
        </w:rPr>
        <w:t>a</w:t>
      </w:r>
      <w:r w:rsidRPr="006A2E2D">
        <w:rPr>
          <w:color w:val="000000" w:themeColor="text1"/>
        </w:rPr>
        <w:t xml:space="preserve"> reference to each of the events in the expanded sporting competition</w:t>
      </w:r>
      <w:r w:rsidR="00304434" w:rsidRPr="006A2E2D">
        <w:rPr>
          <w:color w:val="000000" w:themeColor="text1"/>
        </w:rPr>
        <w:t>;</w:t>
      </w:r>
    </w:p>
    <w:p w14:paraId="56867A86" w14:textId="77777777" w:rsidR="00304434" w:rsidRPr="006A2E2D" w:rsidRDefault="00304434" w:rsidP="00E94828">
      <w:pPr>
        <w:pStyle w:val="paragraph"/>
        <w:rPr>
          <w:color w:val="000000" w:themeColor="text1"/>
        </w:rPr>
      </w:pPr>
      <w:r w:rsidRPr="006A2E2D">
        <w:rPr>
          <w:color w:val="000000" w:themeColor="text1"/>
        </w:rPr>
        <w:tab/>
        <w:t>(f)</w:t>
      </w:r>
      <w:r w:rsidRPr="006A2E2D">
        <w:rPr>
          <w:color w:val="000000" w:themeColor="text1"/>
        </w:rPr>
        <w:tab/>
        <w:t xml:space="preserve">if the sporting competition </w:t>
      </w:r>
      <w:r w:rsidR="00EC175E" w:rsidRPr="006A2E2D">
        <w:rPr>
          <w:color w:val="000000" w:themeColor="text1"/>
        </w:rPr>
        <w:t>consists of</w:t>
      </w:r>
      <w:r w:rsidRPr="006A2E2D">
        <w:rPr>
          <w:color w:val="000000" w:themeColor="text1"/>
        </w:rPr>
        <w:t xml:space="preserve"> both a </w:t>
      </w:r>
      <w:r w:rsidR="006C4629" w:rsidRPr="006A2E2D">
        <w:rPr>
          <w:color w:val="000000" w:themeColor="text1"/>
        </w:rPr>
        <w:t>qualification phase</w:t>
      </w:r>
      <w:r w:rsidRPr="006A2E2D">
        <w:rPr>
          <w:color w:val="000000" w:themeColor="text1"/>
        </w:rPr>
        <w:t xml:space="preserve"> and a final tournament—a reference to the final tournament, but not the </w:t>
      </w:r>
      <w:r w:rsidR="006C4629" w:rsidRPr="006A2E2D">
        <w:rPr>
          <w:color w:val="000000" w:themeColor="text1"/>
        </w:rPr>
        <w:t>qualification</w:t>
      </w:r>
      <w:r w:rsidRPr="006A2E2D">
        <w:rPr>
          <w:color w:val="000000" w:themeColor="text1"/>
        </w:rPr>
        <w:t xml:space="preserve"> </w:t>
      </w:r>
      <w:r w:rsidR="006C4629" w:rsidRPr="006A2E2D">
        <w:rPr>
          <w:color w:val="000000" w:themeColor="text1"/>
        </w:rPr>
        <w:t>phase</w:t>
      </w:r>
      <w:r w:rsidRPr="006A2E2D">
        <w:rPr>
          <w:color w:val="000000" w:themeColor="text1"/>
        </w:rPr>
        <w:t>.</w:t>
      </w:r>
    </w:p>
    <w:p w14:paraId="0017508F" w14:textId="77777777" w:rsidR="00364246" w:rsidRPr="006A2E2D" w:rsidRDefault="00364246" w:rsidP="00364246">
      <w:pPr>
        <w:pStyle w:val="subsection"/>
      </w:pPr>
      <w:r w:rsidRPr="006A2E2D">
        <w:tab/>
        <w:t>(4)</w:t>
      </w:r>
      <w:r w:rsidRPr="006A2E2D">
        <w:tab/>
        <w:t>A reference to the name of a sporting body or organisation is a reference to that body or organisation irrespective of any other name by which it is also known or any change in its name from time to time.</w:t>
      </w:r>
    </w:p>
    <w:p w14:paraId="197A2451" w14:textId="77777777" w:rsidR="00F17DA3" w:rsidRPr="006A2E2D" w:rsidRDefault="00F17DA3" w:rsidP="00F17DA3">
      <w:pPr>
        <w:pStyle w:val="subsection"/>
      </w:pPr>
      <w:r w:rsidRPr="006A2E2D">
        <w:tab/>
        <w:t>(</w:t>
      </w:r>
      <w:r w:rsidR="00EC175E" w:rsidRPr="006A2E2D">
        <w:t>5</w:t>
      </w:r>
      <w:r w:rsidRPr="006A2E2D">
        <w:t>)</w:t>
      </w:r>
      <w:r w:rsidRPr="006A2E2D">
        <w:tab/>
        <w:t>A reference to:</w:t>
      </w:r>
    </w:p>
    <w:p w14:paraId="7DCFEAE6" w14:textId="77777777" w:rsidR="00F17DA3" w:rsidRPr="006A2E2D" w:rsidRDefault="00F17DA3" w:rsidP="00F17DA3">
      <w:pPr>
        <w:pStyle w:val="paragraph"/>
      </w:pPr>
      <w:r w:rsidRPr="006A2E2D">
        <w:tab/>
        <w:t>(a)</w:t>
      </w:r>
      <w:r w:rsidRPr="006A2E2D">
        <w:tab/>
        <w:t xml:space="preserve">a </w:t>
      </w:r>
      <w:r w:rsidRPr="006A2E2D">
        <w:rPr>
          <w:b/>
          <w:i/>
        </w:rPr>
        <w:t>men’s</w:t>
      </w:r>
      <w:r w:rsidRPr="006A2E2D">
        <w:t xml:space="preserve"> event means an event in which only men are competitors; and</w:t>
      </w:r>
    </w:p>
    <w:p w14:paraId="2C737F3F" w14:textId="77777777" w:rsidR="001D06D4" w:rsidRPr="006A2E2D" w:rsidRDefault="00F17DA3" w:rsidP="00F72709">
      <w:pPr>
        <w:pStyle w:val="paragraph"/>
      </w:pPr>
      <w:r w:rsidRPr="006A2E2D">
        <w:tab/>
        <w:t>(b)</w:t>
      </w:r>
      <w:r w:rsidRPr="006A2E2D">
        <w:tab/>
        <w:t xml:space="preserve">a </w:t>
      </w:r>
      <w:r w:rsidRPr="006A2E2D">
        <w:rPr>
          <w:b/>
          <w:i/>
        </w:rPr>
        <w:t xml:space="preserve">women’s </w:t>
      </w:r>
      <w:r w:rsidRPr="006A2E2D">
        <w:t>event means an event in which only women are competitors.</w:t>
      </w:r>
    </w:p>
    <w:p w14:paraId="65E567BB" w14:textId="77777777" w:rsidR="004D4347" w:rsidRPr="006A2E2D" w:rsidRDefault="00FF0FE0" w:rsidP="00AC2E05">
      <w:pPr>
        <w:pStyle w:val="ActHead5"/>
        <w:ind w:left="0" w:firstLine="0"/>
      </w:pPr>
      <w:bookmarkStart w:id="10" w:name="_Toc152065577"/>
      <w:proofErr w:type="gramStart"/>
      <w:r w:rsidRPr="006A2E2D">
        <w:t>2  Olympic</w:t>
      </w:r>
      <w:proofErr w:type="gramEnd"/>
      <w:r w:rsidRPr="006A2E2D">
        <w:t xml:space="preserve"> Games</w:t>
      </w:r>
      <w:bookmarkEnd w:id="10"/>
    </w:p>
    <w:p w14:paraId="2CC95497" w14:textId="77777777" w:rsidR="00FF0FE0" w:rsidRPr="006A2E2D" w:rsidRDefault="00FF0FE0" w:rsidP="00FF0FE0">
      <w:pPr>
        <w:pStyle w:val="subsection"/>
      </w:pPr>
      <w:r w:rsidRPr="006A2E2D">
        <w:tab/>
        <w:t>(1)</w:t>
      </w:r>
      <w:r w:rsidRPr="006A2E2D">
        <w:tab/>
        <w:t>Each event held as part of the Summer Olympic Games, including the opening ceremony and the closing ceremony.</w:t>
      </w:r>
    </w:p>
    <w:p w14:paraId="42BEEEA9" w14:textId="77777777" w:rsidR="00FF0FE0" w:rsidRPr="006A2E2D" w:rsidRDefault="00FF0FE0" w:rsidP="00FF0FE0">
      <w:pPr>
        <w:pStyle w:val="subsection"/>
      </w:pPr>
      <w:r w:rsidRPr="006A2E2D">
        <w:tab/>
        <w:t>(2)</w:t>
      </w:r>
      <w:r w:rsidRPr="006A2E2D">
        <w:tab/>
        <w:t>Each event held as part of the Winter Olympic Games, including the opening ceremony and the closing ceremony.</w:t>
      </w:r>
    </w:p>
    <w:p w14:paraId="31D6A003" w14:textId="77777777" w:rsidR="005D21C7" w:rsidRPr="006A2E2D" w:rsidRDefault="005D21C7" w:rsidP="005D21C7">
      <w:pPr>
        <w:pStyle w:val="ActHead5"/>
      </w:pPr>
      <w:bookmarkStart w:id="11" w:name="_Toc152065578"/>
      <w:proofErr w:type="gramStart"/>
      <w:r w:rsidRPr="006A2E2D">
        <w:t>3  Summer</w:t>
      </w:r>
      <w:proofErr w:type="gramEnd"/>
      <w:r w:rsidRPr="006A2E2D">
        <w:t xml:space="preserve"> Paralympic Games</w:t>
      </w:r>
      <w:bookmarkEnd w:id="11"/>
    </w:p>
    <w:p w14:paraId="11C56C08" w14:textId="77777777" w:rsidR="005D21C7" w:rsidRPr="006A2E2D" w:rsidRDefault="005D21C7" w:rsidP="005D21C7">
      <w:pPr>
        <w:pStyle w:val="subsection"/>
      </w:pPr>
      <w:r w:rsidRPr="006A2E2D">
        <w:tab/>
      </w:r>
      <w:r w:rsidRPr="006A2E2D">
        <w:tab/>
        <w:t>Each event held as part of the Summer Paralympic Games, including the opening ceremony and the closing ceremony.</w:t>
      </w:r>
    </w:p>
    <w:p w14:paraId="5DCE39AF" w14:textId="77777777" w:rsidR="005D21C7" w:rsidRPr="006A2E2D" w:rsidRDefault="005D21C7" w:rsidP="005D21C7">
      <w:pPr>
        <w:pStyle w:val="ActHead5"/>
      </w:pPr>
      <w:bookmarkStart w:id="12" w:name="_Toc152065579"/>
      <w:proofErr w:type="gramStart"/>
      <w:r w:rsidRPr="006A2E2D">
        <w:lastRenderedPageBreak/>
        <w:t>4  Commonwealth</w:t>
      </w:r>
      <w:proofErr w:type="gramEnd"/>
      <w:r w:rsidRPr="006A2E2D">
        <w:t xml:space="preserve"> Games</w:t>
      </w:r>
      <w:bookmarkEnd w:id="12"/>
    </w:p>
    <w:p w14:paraId="4B87D30D" w14:textId="77777777" w:rsidR="005D21C7" w:rsidRPr="006A2E2D" w:rsidRDefault="005D21C7" w:rsidP="005D21C7">
      <w:pPr>
        <w:pStyle w:val="subsection"/>
      </w:pPr>
      <w:r w:rsidRPr="006A2E2D">
        <w:tab/>
      </w:r>
      <w:r w:rsidRPr="006A2E2D">
        <w:tab/>
        <w:t>Each event held as part of the Commonwealth Games, including the opening ceremony and the closing ceremony.</w:t>
      </w:r>
    </w:p>
    <w:p w14:paraId="34B889D1" w14:textId="77777777" w:rsidR="005D21C7" w:rsidRPr="006A2E2D" w:rsidRDefault="005D21C7" w:rsidP="005D21C7">
      <w:pPr>
        <w:pStyle w:val="ActHead5"/>
      </w:pPr>
      <w:bookmarkStart w:id="13" w:name="_Toc152065580"/>
      <w:proofErr w:type="gramStart"/>
      <w:r w:rsidRPr="006A2E2D">
        <w:t>5  Horse</w:t>
      </w:r>
      <w:proofErr w:type="gramEnd"/>
      <w:r w:rsidRPr="006A2E2D">
        <w:t xml:space="preserve"> racing</w:t>
      </w:r>
      <w:bookmarkEnd w:id="13"/>
    </w:p>
    <w:p w14:paraId="268BE694" w14:textId="77777777" w:rsidR="005D21C7" w:rsidRPr="006A2E2D" w:rsidRDefault="005D21C7" w:rsidP="005D21C7">
      <w:pPr>
        <w:pStyle w:val="subsection"/>
      </w:pPr>
      <w:r w:rsidRPr="006A2E2D">
        <w:tab/>
      </w:r>
      <w:r w:rsidRPr="006A2E2D">
        <w:tab/>
        <w:t>Each running of the Melbourne Cup organised by the Victoria Racing Club.</w:t>
      </w:r>
    </w:p>
    <w:p w14:paraId="60197276" w14:textId="77777777" w:rsidR="005D21C7" w:rsidRPr="006A2E2D" w:rsidRDefault="005D21C7" w:rsidP="005D21C7">
      <w:pPr>
        <w:pStyle w:val="ActHead5"/>
      </w:pPr>
      <w:bookmarkStart w:id="14" w:name="_Toc152065581"/>
      <w:proofErr w:type="gramStart"/>
      <w:r w:rsidRPr="006A2E2D">
        <w:t>6  Australian</w:t>
      </w:r>
      <w:proofErr w:type="gramEnd"/>
      <w:r w:rsidRPr="006A2E2D">
        <w:t xml:space="preserve"> rules football</w:t>
      </w:r>
      <w:bookmarkEnd w:id="14"/>
    </w:p>
    <w:p w14:paraId="4B4909A2" w14:textId="77777777" w:rsidR="007E32A5" w:rsidRPr="006A2E2D" w:rsidRDefault="007E32A5" w:rsidP="007E32A5">
      <w:pPr>
        <w:pStyle w:val="SubsectionHead"/>
      </w:pPr>
      <w:r w:rsidRPr="006A2E2D">
        <w:t>Men’s matches</w:t>
      </w:r>
    </w:p>
    <w:p w14:paraId="4C0373DA" w14:textId="77777777" w:rsidR="005D21C7" w:rsidRPr="006A2E2D" w:rsidRDefault="005D21C7" w:rsidP="005D21C7">
      <w:pPr>
        <w:pStyle w:val="subsection"/>
      </w:pPr>
      <w:r w:rsidRPr="006A2E2D">
        <w:tab/>
        <w:t>(1)</w:t>
      </w:r>
      <w:r w:rsidRPr="006A2E2D">
        <w:tab/>
        <w:t xml:space="preserve">Each match </w:t>
      </w:r>
      <w:r w:rsidR="00A962B0" w:rsidRPr="006A2E2D">
        <w:t>in</w:t>
      </w:r>
      <w:r w:rsidRPr="006A2E2D">
        <w:t xml:space="preserve"> the</w:t>
      </w:r>
      <w:r w:rsidR="00556BD6" w:rsidRPr="006A2E2D">
        <w:t xml:space="preserve"> </w:t>
      </w:r>
      <w:r w:rsidR="003F6264" w:rsidRPr="006A2E2D">
        <w:t>Australian Football League</w:t>
      </w:r>
      <w:r w:rsidRPr="006A2E2D">
        <w:t xml:space="preserve"> Premiership, including the Finals Series.</w:t>
      </w:r>
    </w:p>
    <w:p w14:paraId="3B805088" w14:textId="77777777" w:rsidR="007E32A5" w:rsidRPr="006A2E2D" w:rsidRDefault="007E32A5" w:rsidP="007E32A5">
      <w:pPr>
        <w:pStyle w:val="SubsectionHead"/>
      </w:pPr>
      <w:r w:rsidRPr="006A2E2D">
        <w:t>Women’s matches</w:t>
      </w:r>
    </w:p>
    <w:p w14:paraId="449E3F2F" w14:textId="77777777" w:rsidR="005D21C7" w:rsidRPr="006A2E2D" w:rsidRDefault="005D21C7" w:rsidP="005D21C7">
      <w:pPr>
        <w:pStyle w:val="subsection"/>
      </w:pPr>
      <w:r w:rsidRPr="006A2E2D">
        <w:tab/>
        <w:t>(2)</w:t>
      </w:r>
      <w:r w:rsidRPr="006A2E2D">
        <w:tab/>
        <w:t xml:space="preserve">Each match in the Finals Series of </w:t>
      </w:r>
      <w:r w:rsidR="00A962B0" w:rsidRPr="006A2E2D">
        <w:t xml:space="preserve">the </w:t>
      </w:r>
      <w:r w:rsidR="003F6264" w:rsidRPr="006A2E2D">
        <w:t>Australian Football League Women’s</w:t>
      </w:r>
      <w:r w:rsidR="00A962B0" w:rsidRPr="006A2E2D">
        <w:t xml:space="preserve"> Premiership.</w:t>
      </w:r>
    </w:p>
    <w:p w14:paraId="05EAB662" w14:textId="77777777" w:rsidR="00A962B0" w:rsidRPr="006A2E2D" w:rsidRDefault="00A962B0" w:rsidP="00A962B0">
      <w:pPr>
        <w:pStyle w:val="ActHead5"/>
      </w:pPr>
      <w:bookmarkStart w:id="15" w:name="_Toc152065582"/>
      <w:proofErr w:type="gramStart"/>
      <w:r w:rsidRPr="006A2E2D">
        <w:t>7  Rugby</w:t>
      </w:r>
      <w:proofErr w:type="gramEnd"/>
      <w:r w:rsidRPr="006A2E2D">
        <w:t xml:space="preserve"> league football</w:t>
      </w:r>
      <w:bookmarkEnd w:id="15"/>
    </w:p>
    <w:p w14:paraId="18638BF2" w14:textId="77777777" w:rsidR="00556BD6" w:rsidRPr="006A2E2D" w:rsidRDefault="00556BD6" w:rsidP="00556BD6">
      <w:pPr>
        <w:pStyle w:val="SubsectionHead"/>
      </w:pPr>
      <w:r w:rsidRPr="006A2E2D">
        <w:t>Men’s matches</w:t>
      </w:r>
    </w:p>
    <w:p w14:paraId="3DFC7B30" w14:textId="77777777" w:rsidR="00C3123B" w:rsidRPr="006A2E2D" w:rsidRDefault="00A962B0" w:rsidP="00B6305D">
      <w:pPr>
        <w:pStyle w:val="subsection"/>
      </w:pPr>
      <w:r w:rsidRPr="006A2E2D">
        <w:tab/>
        <w:t>(1)</w:t>
      </w:r>
      <w:r w:rsidRPr="006A2E2D">
        <w:tab/>
        <w:t>Each match in the National Rugby League Premiership, including the Finals Series.</w:t>
      </w:r>
    </w:p>
    <w:p w14:paraId="1A0EA3BA" w14:textId="77777777" w:rsidR="00556BD6" w:rsidRPr="006A2E2D" w:rsidRDefault="00556BD6" w:rsidP="00556BD6">
      <w:pPr>
        <w:pStyle w:val="subsection"/>
        <w:rPr>
          <w:rFonts w:cstheme="minorHAnsi"/>
        </w:rPr>
      </w:pPr>
      <w:r w:rsidRPr="006A2E2D">
        <w:tab/>
        <w:t>(2)</w:t>
      </w:r>
      <w:r w:rsidRPr="006A2E2D">
        <w:tab/>
        <w:t xml:space="preserve">Each match in the </w:t>
      </w:r>
      <w:r w:rsidRPr="006A2E2D">
        <w:rPr>
          <w:rFonts w:cstheme="minorHAnsi"/>
        </w:rPr>
        <w:t>National Rugby League State of Origin Series.</w:t>
      </w:r>
    </w:p>
    <w:p w14:paraId="3EABCE64" w14:textId="77777777" w:rsidR="00556BD6" w:rsidRPr="006A2E2D" w:rsidRDefault="00556BD6" w:rsidP="00556BD6">
      <w:pPr>
        <w:pStyle w:val="SubsectionHead"/>
      </w:pPr>
      <w:r w:rsidRPr="006A2E2D">
        <w:t>Women’s matches</w:t>
      </w:r>
    </w:p>
    <w:p w14:paraId="6019B887" w14:textId="77777777" w:rsidR="00A962B0" w:rsidRPr="006A2E2D" w:rsidRDefault="00A962B0" w:rsidP="00A962B0">
      <w:pPr>
        <w:pStyle w:val="subsection"/>
      </w:pPr>
      <w:r w:rsidRPr="006A2E2D">
        <w:tab/>
        <w:t>(</w:t>
      </w:r>
      <w:r w:rsidR="00556BD6" w:rsidRPr="006A2E2D">
        <w:t>3</w:t>
      </w:r>
      <w:r w:rsidRPr="006A2E2D">
        <w:t>)</w:t>
      </w:r>
      <w:r w:rsidRPr="006A2E2D">
        <w:tab/>
        <w:t>Each match in the Finals Series of the National Rugby League Women’s Premiership.</w:t>
      </w:r>
    </w:p>
    <w:p w14:paraId="55C909F4" w14:textId="77777777" w:rsidR="00B6305D" w:rsidRPr="006A2E2D" w:rsidRDefault="00B6305D" w:rsidP="00B6305D">
      <w:pPr>
        <w:pStyle w:val="subsection"/>
        <w:rPr>
          <w:rFonts w:cstheme="minorHAnsi"/>
        </w:rPr>
      </w:pPr>
      <w:r w:rsidRPr="006A2E2D">
        <w:rPr>
          <w:rFonts w:cstheme="minorHAnsi"/>
        </w:rPr>
        <w:tab/>
        <w:t>(4)</w:t>
      </w:r>
      <w:r w:rsidRPr="006A2E2D">
        <w:rPr>
          <w:rFonts w:cstheme="minorHAnsi"/>
        </w:rPr>
        <w:tab/>
        <w:t>Each match in the National Rugby League Women’s State of Origin Series.</w:t>
      </w:r>
    </w:p>
    <w:p w14:paraId="1C8FB999" w14:textId="77777777" w:rsidR="00556BD6" w:rsidRPr="006A2E2D" w:rsidRDefault="00556BD6" w:rsidP="00556BD6">
      <w:pPr>
        <w:pStyle w:val="SubsectionHead"/>
      </w:pPr>
      <w:r w:rsidRPr="006A2E2D">
        <w:t>Men’s and women’s matches</w:t>
      </w:r>
    </w:p>
    <w:p w14:paraId="50CFE1E5" w14:textId="77777777" w:rsidR="003F6264" w:rsidRPr="006A2E2D" w:rsidRDefault="003F6264" w:rsidP="003F6264">
      <w:pPr>
        <w:pStyle w:val="subsection"/>
        <w:rPr>
          <w:rFonts w:cstheme="minorHAnsi"/>
        </w:rPr>
      </w:pPr>
      <w:r w:rsidRPr="006A2E2D">
        <w:t xml:space="preserve"> </w:t>
      </w:r>
      <w:r w:rsidR="00731668" w:rsidRPr="006A2E2D">
        <w:t xml:space="preserve"> </w:t>
      </w:r>
      <w:r w:rsidRPr="006A2E2D">
        <w:tab/>
        <w:t>(</w:t>
      </w:r>
      <w:r w:rsidR="00B6305D" w:rsidRPr="006A2E2D">
        <w:t>5</w:t>
      </w:r>
      <w:r w:rsidRPr="006A2E2D">
        <w:t>)</w:t>
      </w:r>
      <w:r w:rsidRPr="006A2E2D">
        <w:tab/>
        <w:t>Each</w:t>
      </w:r>
      <w:r w:rsidR="00AA15BA" w:rsidRPr="006A2E2D">
        <w:t xml:space="preserve"> men’s </w:t>
      </w:r>
      <w:r w:rsidR="00C01EEF" w:rsidRPr="006A2E2D">
        <w:t>or</w:t>
      </w:r>
      <w:r w:rsidR="00AA15BA" w:rsidRPr="006A2E2D">
        <w:t xml:space="preserve"> women’s</w:t>
      </w:r>
      <w:r w:rsidRPr="006A2E2D">
        <w:t xml:space="preserve"> international rugby league test match that</w:t>
      </w:r>
      <w:r w:rsidRPr="006A2E2D">
        <w:rPr>
          <w:rFonts w:cstheme="minorHAnsi"/>
        </w:rPr>
        <w:t>:</w:t>
      </w:r>
    </w:p>
    <w:p w14:paraId="5219FAB0" w14:textId="77777777" w:rsidR="003F6264" w:rsidRPr="006A2E2D" w:rsidRDefault="003F6264" w:rsidP="003F6264">
      <w:pPr>
        <w:pStyle w:val="paragraph"/>
      </w:pPr>
      <w:r w:rsidRPr="006A2E2D">
        <w:tab/>
        <w:t>(a)</w:t>
      </w:r>
      <w:r w:rsidRPr="006A2E2D">
        <w:tab/>
        <w:t>involves the s</w:t>
      </w:r>
      <w:r w:rsidR="00333784" w:rsidRPr="006A2E2D">
        <w:t xml:space="preserve">enior </w:t>
      </w:r>
      <w:r w:rsidRPr="006A2E2D">
        <w:t>Australian representative team; and</w:t>
      </w:r>
    </w:p>
    <w:p w14:paraId="49B30C60" w14:textId="77777777" w:rsidR="003F6264" w:rsidRPr="006A2E2D" w:rsidRDefault="003F6264" w:rsidP="003F6264">
      <w:pPr>
        <w:pStyle w:val="paragraph"/>
      </w:pPr>
      <w:r w:rsidRPr="006A2E2D">
        <w:tab/>
        <w:t>(b)</w:t>
      </w:r>
      <w:r w:rsidRPr="006A2E2D">
        <w:tab/>
        <w:t>is played in Australia or New Zealand.</w:t>
      </w:r>
    </w:p>
    <w:p w14:paraId="74EEA1ED" w14:textId="77777777" w:rsidR="003F6264" w:rsidRPr="006A2E2D" w:rsidRDefault="003F6264" w:rsidP="003F6264">
      <w:pPr>
        <w:pStyle w:val="subsection"/>
      </w:pPr>
      <w:r w:rsidRPr="006A2E2D">
        <w:tab/>
        <w:t>(</w:t>
      </w:r>
      <w:r w:rsidR="00B6305D" w:rsidRPr="006A2E2D">
        <w:t>6</w:t>
      </w:r>
      <w:r w:rsidRPr="006A2E2D">
        <w:t>)</w:t>
      </w:r>
      <w:r w:rsidRPr="006A2E2D">
        <w:tab/>
        <w:t xml:space="preserve">Each </w:t>
      </w:r>
      <w:r w:rsidR="00AA15BA" w:rsidRPr="006A2E2D">
        <w:t xml:space="preserve">men’s </w:t>
      </w:r>
      <w:r w:rsidR="00C01EEF" w:rsidRPr="006A2E2D">
        <w:t>or</w:t>
      </w:r>
      <w:r w:rsidR="00AA15BA" w:rsidRPr="006A2E2D">
        <w:t xml:space="preserve"> women’s </w:t>
      </w:r>
      <w:r w:rsidRPr="006A2E2D">
        <w:t xml:space="preserve">match </w:t>
      </w:r>
      <w:r w:rsidR="00AA15BA" w:rsidRPr="006A2E2D">
        <w:t>in</w:t>
      </w:r>
      <w:r w:rsidRPr="006A2E2D">
        <w:t xml:space="preserve"> the Rugby League World Cup that:</w:t>
      </w:r>
    </w:p>
    <w:p w14:paraId="01C70640" w14:textId="77777777" w:rsidR="003F6264" w:rsidRPr="006A2E2D" w:rsidRDefault="00A92840" w:rsidP="00A92840">
      <w:pPr>
        <w:pStyle w:val="paragraph"/>
      </w:pPr>
      <w:r w:rsidRPr="006A2E2D">
        <w:tab/>
        <w:t>(a)</w:t>
      </w:r>
      <w:r w:rsidRPr="006A2E2D">
        <w:tab/>
        <w:t xml:space="preserve">involves </w:t>
      </w:r>
      <w:r w:rsidR="00AA15BA" w:rsidRPr="006A2E2D">
        <w:t>the</w:t>
      </w:r>
      <w:r w:rsidR="00333784" w:rsidRPr="006A2E2D">
        <w:t xml:space="preserve"> </w:t>
      </w:r>
      <w:r w:rsidRPr="006A2E2D">
        <w:t>senior Australian</w:t>
      </w:r>
      <w:r w:rsidR="00333784" w:rsidRPr="006A2E2D">
        <w:t xml:space="preserve"> </w:t>
      </w:r>
      <w:r w:rsidRPr="006A2E2D">
        <w:t>representative team; and</w:t>
      </w:r>
    </w:p>
    <w:p w14:paraId="4B47702F" w14:textId="77777777" w:rsidR="00A92840" w:rsidRPr="006A2E2D" w:rsidRDefault="00A92840" w:rsidP="00A92840">
      <w:pPr>
        <w:pStyle w:val="paragraph"/>
      </w:pPr>
      <w:r w:rsidRPr="006A2E2D">
        <w:tab/>
        <w:t>(b)</w:t>
      </w:r>
      <w:r w:rsidRPr="006A2E2D">
        <w:tab/>
        <w:t>is played in Australia, New Zealand or Papua New Guinea.</w:t>
      </w:r>
    </w:p>
    <w:p w14:paraId="0EA797FE" w14:textId="77777777" w:rsidR="008C180D" w:rsidRPr="006A2E2D" w:rsidRDefault="008C180D" w:rsidP="00F72709">
      <w:pPr>
        <w:pStyle w:val="ActHead5"/>
      </w:pPr>
      <w:bookmarkStart w:id="16" w:name="_Toc152065583"/>
      <w:proofErr w:type="gramStart"/>
      <w:r w:rsidRPr="006A2E2D">
        <w:t>8  Rugby</w:t>
      </w:r>
      <w:proofErr w:type="gramEnd"/>
      <w:r w:rsidRPr="006A2E2D">
        <w:t xml:space="preserve"> union football</w:t>
      </w:r>
      <w:bookmarkEnd w:id="16"/>
    </w:p>
    <w:p w14:paraId="4E7E9861" w14:textId="77777777" w:rsidR="008C180D" w:rsidRPr="006A2E2D" w:rsidRDefault="009857ED" w:rsidP="008C180D">
      <w:pPr>
        <w:pStyle w:val="subsection"/>
      </w:pPr>
      <w:r w:rsidRPr="006A2E2D">
        <w:tab/>
      </w:r>
      <w:r w:rsidR="008C180D" w:rsidRPr="006A2E2D">
        <w:t>(1)</w:t>
      </w:r>
      <w:r w:rsidR="008C180D" w:rsidRPr="006A2E2D">
        <w:tab/>
        <w:t>Each</w:t>
      </w:r>
      <w:r w:rsidR="00AA15BA" w:rsidRPr="006A2E2D">
        <w:t xml:space="preserve"> men’s or women’s</w:t>
      </w:r>
      <w:r w:rsidR="008C180D" w:rsidRPr="006A2E2D">
        <w:t xml:space="preserve"> international rugby union test match that:</w:t>
      </w:r>
    </w:p>
    <w:p w14:paraId="69A8A86A" w14:textId="77777777" w:rsidR="008C180D" w:rsidRPr="006A2E2D" w:rsidRDefault="008C180D" w:rsidP="008C180D">
      <w:pPr>
        <w:pStyle w:val="paragraph"/>
      </w:pPr>
      <w:r w:rsidRPr="006A2E2D">
        <w:tab/>
        <w:t>(a)</w:t>
      </w:r>
      <w:r w:rsidRPr="006A2E2D">
        <w:tab/>
        <w:t>involves the</w:t>
      </w:r>
      <w:r w:rsidR="00333784" w:rsidRPr="006A2E2D">
        <w:t xml:space="preserve"> </w:t>
      </w:r>
      <w:r w:rsidRPr="006A2E2D">
        <w:t>senior Australian representative team selected by Rugby Australia; and</w:t>
      </w:r>
    </w:p>
    <w:p w14:paraId="0651C8EC" w14:textId="77777777" w:rsidR="008C180D" w:rsidRPr="006A2E2D" w:rsidRDefault="008C180D" w:rsidP="008C180D">
      <w:pPr>
        <w:pStyle w:val="paragraph"/>
      </w:pPr>
      <w:r w:rsidRPr="006A2E2D">
        <w:lastRenderedPageBreak/>
        <w:tab/>
        <w:t>(b)</w:t>
      </w:r>
      <w:r w:rsidRPr="006A2E2D">
        <w:tab/>
        <w:t>is played in Australia or New Zealand.</w:t>
      </w:r>
    </w:p>
    <w:p w14:paraId="0A95B41E" w14:textId="77777777" w:rsidR="008C180D" w:rsidRPr="006A2E2D" w:rsidRDefault="008C180D" w:rsidP="008C180D">
      <w:pPr>
        <w:pStyle w:val="subsection"/>
      </w:pPr>
      <w:r w:rsidRPr="006A2E2D">
        <w:tab/>
        <w:t>(2)</w:t>
      </w:r>
      <w:r w:rsidRPr="006A2E2D">
        <w:tab/>
        <w:t>Each</w:t>
      </w:r>
      <w:r w:rsidR="00AA15BA" w:rsidRPr="006A2E2D">
        <w:t xml:space="preserve"> men’s or women’s</w:t>
      </w:r>
      <w:r w:rsidRPr="006A2E2D">
        <w:t xml:space="preserve"> match </w:t>
      </w:r>
      <w:r w:rsidR="00C01EEF" w:rsidRPr="006A2E2D">
        <w:t>in</w:t>
      </w:r>
      <w:r w:rsidRPr="006A2E2D">
        <w:t xml:space="preserve"> the Rugby World Cup that involve</w:t>
      </w:r>
      <w:r w:rsidR="00333784" w:rsidRPr="006A2E2D">
        <w:t>s</w:t>
      </w:r>
      <w:r w:rsidRPr="006A2E2D">
        <w:t xml:space="preserve"> the</w:t>
      </w:r>
      <w:r w:rsidR="00333784" w:rsidRPr="006A2E2D">
        <w:t xml:space="preserve"> </w:t>
      </w:r>
      <w:r w:rsidRPr="006A2E2D">
        <w:t>senior Australian representative team selected by Rugby Australia.</w:t>
      </w:r>
    </w:p>
    <w:p w14:paraId="2C2BA716" w14:textId="77777777" w:rsidR="00F72709" w:rsidRPr="006A2E2D" w:rsidRDefault="008C180D" w:rsidP="00F72709">
      <w:pPr>
        <w:pStyle w:val="subsection"/>
      </w:pPr>
      <w:r w:rsidRPr="006A2E2D">
        <w:tab/>
        <w:t>(3)</w:t>
      </w:r>
      <w:r w:rsidRPr="006A2E2D">
        <w:tab/>
        <w:t>The</w:t>
      </w:r>
      <w:r w:rsidR="00333784" w:rsidRPr="006A2E2D">
        <w:t xml:space="preserve"> men’s </w:t>
      </w:r>
      <w:r w:rsidR="00AC2E05" w:rsidRPr="006A2E2D">
        <w:t>or</w:t>
      </w:r>
      <w:r w:rsidR="00333784" w:rsidRPr="006A2E2D">
        <w:t xml:space="preserve"> women’s</w:t>
      </w:r>
      <w:r w:rsidRPr="006A2E2D">
        <w:t xml:space="preserve"> finals of the Rugby World Cup.</w:t>
      </w:r>
    </w:p>
    <w:p w14:paraId="21B5B5B6" w14:textId="77777777" w:rsidR="00333784" w:rsidRPr="006A2E2D" w:rsidRDefault="00333784" w:rsidP="00A8010D">
      <w:pPr>
        <w:pStyle w:val="ActHead5"/>
        <w:ind w:left="0" w:firstLine="0"/>
      </w:pPr>
      <w:bookmarkStart w:id="17" w:name="_Toc152065584"/>
      <w:proofErr w:type="gramStart"/>
      <w:r w:rsidRPr="006A2E2D">
        <w:t>9  Cricket</w:t>
      </w:r>
      <w:bookmarkEnd w:id="17"/>
      <w:proofErr w:type="gramEnd"/>
    </w:p>
    <w:p w14:paraId="5308BBDE" w14:textId="77777777" w:rsidR="00333784" w:rsidRPr="006A2E2D" w:rsidRDefault="001C3973" w:rsidP="00333784">
      <w:pPr>
        <w:pStyle w:val="subsection"/>
      </w:pPr>
      <w:r w:rsidRPr="006A2E2D">
        <w:tab/>
      </w:r>
      <w:r w:rsidR="00333784" w:rsidRPr="006A2E2D">
        <w:t>(1)</w:t>
      </w:r>
      <w:r w:rsidR="00333784" w:rsidRPr="006A2E2D">
        <w:tab/>
        <w:t xml:space="preserve">Each </w:t>
      </w:r>
      <w:r w:rsidR="00AA15BA" w:rsidRPr="006A2E2D">
        <w:t>men’s or women’s cricket</w:t>
      </w:r>
      <w:r w:rsidR="00C90972" w:rsidRPr="006A2E2D">
        <w:t xml:space="preserve"> test match</w:t>
      </w:r>
      <w:r w:rsidR="00AA15BA" w:rsidRPr="006A2E2D">
        <w:t xml:space="preserve"> that:</w:t>
      </w:r>
    </w:p>
    <w:p w14:paraId="111C08B2" w14:textId="77777777" w:rsidR="00AA15BA" w:rsidRPr="006A2E2D" w:rsidRDefault="00AA15BA" w:rsidP="00AA15BA">
      <w:pPr>
        <w:pStyle w:val="paragraph"/>
      </w:pPr>
      <w:r w:rsidRPr="006A2E2D">
        <w:tab/>
        <w:t>(a)</w:t>
      </w:r>
      <w:r w:rsidRPr="006A2E2D">
        <w:tab/>
        <w:t>involves the senior Australian representative team selected by Cricket Australia; and</w:t>
      </w:r>
    </w:p>
    <w:p w14:paraId="7B864E5B" w14:textId="77777777" w:rsidR="00AA15BA" w:rsidRPr="006A2E2D" w:rsidRDefault="00AA15BA" w:rsidP="00AA758A">
      <w:pPr>
        <w:pStyle w:val="paragraph"/>
      </w:pPr>
      <w:r w:rsidRPr="006A2E2D">
        <w:tab/>
        <w:t>(b)</w:t>
      </w:r>
      <w:r w:rsidRPr="006A2E2D">
        <w:tab/>
        <w:t>is played in Australia.</w:t>
      </w:r>
    </w:p>
    <w:p w14:paraId="6A78F403" w14:textId="77777777" w:rsidR="00AA15BA" w:rsidRPr="006A2E2D" w:rsidRDefault="00AA15BA" w:rsidP="00AA15BA">
      <w:pPr>
        <w:pStyle w:val="subsection"/>
      </w:pPr>
      <w:r w:rsidRPr="006A2E2D">
        <w:tab/>
        <w:t>(2)</w:t>
      </w:r>
      <w:r w:rsidRPr="006A2E2D">
        <w:tab/>
        <w:t>Each men’s or women’s</w:t>
      </w:r>
      <w:r w:rsidR="00AA758A" w:rsidRPr="006A2E2D">
        <w:t xml:space="preserve"> cricket</w:t>
      </w:r>
      <w:r w:rsidRPr="006A2E2D">
        <w:t xml:space="preserve"> </w:t>
      </w:r>
      <w:r w:rsidR="00AA758A" w:rsidRPr="006A2E2D">
        <w:t>match of an Ashes series</w:t>
      </w:r>
      <w:r w:rsidRPr="006A2E2D">
        <w:t xml:space="preserve"> that:</w:t>
      </w:r>
    </w:p>
    <w:p w14:paraId="3D361A24" w14:textId="77777777" w:rsidR="00AA15BA" w:rsidRPr="006A2E2D" w:rsidRDefault="00AA15BA" w:rsidP="00AA15BA">
      <w:pPr>
        <w:pStyle w:val="paragraph"/>
      </w:pPr>
      <w:r w:rsidRPr="006A2E2D">
        <w:tab/>
        <w:t>(a)</w:t>
      </w:r>
      <w:r w:rsidRPr="006A2E2D">
        <w:tab/>
        <w:t>involves the senior Australian representative team selected by Cricket Australia; and</w:t>
      </w:r>
    </w:p>
    <w:p w14:paraId="5F95A500" w14:textId="77777777" w:rsidR="00AA15BA" w:rsidRPr="006A2E2D" w:rsidRDefault="00AA15BA" w:rsidP="00AA15BA">
      <w:pPr>
        <w:pStyle w:val="paragraph"/>
      </w:pPr>
      <w:r w:rsidRPr="006A2E2D">
        <w:tab/>
        <w:t>(b)</w:t>
      </w:r>
      <w:r w:rsidRPr="006A2E2D">
        <w:tab/>
        <w:t>involves the senior English representative team; and</w:t>
      </w:r>
    </w:p>
    <w:p w14:paraId="0AE7ED9C" w14:textId="77777777" w:rsidR="00AA15BA" w:rsidRPr="006A2E2D" w:rsidRDefault="00AA15BA" w:rsidP="00AA15BA">
      <w:pPr>
        <w:pStyle w:val="paragraph"/>
      </w:pPr>
      <w:r w:rsidRPr="006A2E2D">
        <w:tab/>
        <w:t>(c)</w:t>
      </w:r>
      <w:r w:rsidRPr="006A2E2D">
        <w:tab/>
        <w:t>is played in</w:t>
      </w:r>
      <w:r w:rsidR="00AA758A" w:rsidRPr="006A2E2D">
        <w:t xml:space="preserve"> Australia or</w:t>
      </w:r>
      <w:r w:rsidRPr="006A2E2D">
        <w:t xml:space="preserve"> the United Kingdom.</w:t>
      </w:r>
    </w:p>
    <w:p w14:paraId="7E932FC4" w14:textId="77777777" w:rsidR="00AA758A" w:rsidRPr="006A2E2D" w:rsidRDefault="00AA758A" w:rsidP="00AA758A">
      <w:pPr>
        <w:pStyle w:val="subsection"/>
      </w:pPr>
      <w:r w:rsidRPr="006A2E2D">
        <w:tab/>
        <w:t>(3)</w:t>
      </w:r>
      <w:r w:rsidRPr="006A2E2D">
        <w:tab/>
        <w:t>Each</w:t>
      </w:r>
      <w:r w:rsidR="00F72709" w:rsidRPr="006A2E2D">
        <w:t xml:space="preserve"> men’s or women’s</w:t>
      </w:r>
      <w:r w:rsidRPr="006A2E2D">
        <w:t xml:space="preserve"> One Day International cricket match that:</w:t>
      </w:r>
    </w:p>
    <w:p w14:paraId="6F9C77F3" w14:textId="77777777" w:rsidR="00AA758A" w:rsidRPr="006A2E2D" w:rsidRDefault="00AA758A" w:rsidP="00AA758A">
      <w:pPr>
        <w:pStyle w:val="paragraph"/>
      </w:pPr>
      <w:r w:rsidRPr="006A2E2D">
        <w:tab/>
        <w:t>(a)</w:t>
      </w:r>
      <w:r w:rsidRPr="006A2E2D">
        <w:tab/>
        <w:t>involves the senior Australian representative team selected by Cricket Australia; and</w:t>
      </w:r>
    </w:p>
    <w:p w14:paraId="60B287F5" w14:textId="77777777" w:rsidR="00D40421" w:rsidRPr="006A2E2D" w:rsidRDefault="00AA758A">
      <w:pPr>
        <w:pStyle w:val="paragraph"/>
      </w:pPr>
      <w:r w:rsidRPr="006A2E2D">
        <w:tab/>
        <w:t>(b)</w:t>
      </w:r>
      <w:r w:rsidRPr="006A2E2D">
        <w:tab/>
        <w:t>is played in Australia.</w:t>
      </w:r>
    </w:p>
    <w:p w14:paraId="3C16A463" w14:textId="77777777" w:rsidR="00F72709" w:rsidRPr="006A2E2D" w:rsidRDefault="00F72709" w:rsidP="00F72709">
      <w:pPr>
        <w:pStyle w:val="notetext"/>
      </w:pPr>
      <w:r w:rsidRPr="006A2E2D">
        <w:t>Note:</w:t>
      </w:r>
      <w:r w:rsidRPr="006A2E2D">
        <w:tab/>
        <w:t xml:space="preserve">This </w:t>
      </w:r>
      <w:r w:rsidR="007F16EC" w:rsidRPr="006A2E2D">
        <w:t>subclause covers</w:t>
      </w:r>
      <w:r w:rsidRPr="006A2E2D">
        <w:t xml:space="preserve"> matches </w:t>
      </w:r>
      <w:r w:rsidR="007F16EC" w:rsidRPr="006A2E2D">
        <w:t>played under both the One Day International and the Women’s One Day International formats.</w:t>
      </w:r>
      <w:r w:rsidRPr="006A2E2D">
        <w:t xml:space="preserve"> </w:t>
      </w:r>
    </w:p>
    <w:p w14:paraId="4BAD3066" w14:textId="77777777" w:rsidR="00D40421" w:rsidRPr="006A2E2D" w:rsidRDefault="00D40421" w:rsidP="00D40421">
      <w:pPr>
        <w:pStyle w:val="subsection"/>
      </w:pPr>
      <w:r w:rsidRPr="006A2E2D">
        <w:tab/>
        <w:t>(4)</w:t>
      </w:r>
      <w:r w:rsidRPr="006A2E2D">
        <w:tab/>
        <w:t>Each</w:t>
      </w:r>
      <w:r w:rsidR="007F16EC" w:rsidRPr="006A2E2D">
        <w:t xml:space="preserve"> men’s or women’s</w:t>
      </w:r>
      <w:r w:rsidRPr="006A2E2D">
        <w:t xml:space="preserve"> Twenty20 International cricket match that:</w:t>
      </w:r>
    </w:p>
    <w:p w14:paraId="4E268901" w14:textId="77777777" w:rsidR="00D40421" w:rsidRPr="006A2E2D" w:rsidRDefault="00D40421" w:rsidP="00D40421">
      <w:pPr>
        <w:pStyle w:val="paragraph"/>
      </w:pPr>
      <w:r w:rsidRPr="006A2E2D">
        <w:tab/>
        <w:t>(a)</w:t>
      </w:r>
      <w:r w:rsidRPr="006A2E2D">
        <w:tab/>
        <w:t>involves the senior Australian representative team selected by Cricket Australia; and</w:t>
      </w:r>
    </w:p>
    <w:p w14:paraId="3762BDEF" w14:textId="77777777" w:rsidR="00D40421" w:rsidRPr="006A2E2D" w:rsidRDefault="00D40421" w:rsidP="00D40421">
      <w:pPr>
        <w:pStyle w:val="paragraph"/>
      </w:pPr>
      <w:r w:rsidRPr="006A2E2D">
        <w:tab/>
        <w:t>(b)</w:t>
      </w:r>
      <w:r w:rsidRPr="006A2E2D">
        <w:tab/>
        <w:t>is played in Australia.</w:t>
      </w:r>
    </w:p>
    <w:p w14:paraId="621D5A1B" w14:textId="77777777" w:rsidR="007F16EC" w:rsidRPr="006A2E2D" w:rsidRDefault="007F16EC" w:rsidP="007F16EC">
      <w:pPr>
        <w:pStyle w:val="notetext"/>
      </w:pPr>
      <w:r w:rsidRPr="006A2E2D">
        <w:t>Note:</w:t>
      </w:r>
      <w:r w:rsidRPr="006A2E2D">
        <w:tab/>
        <w:t>This subclause covers matches played under both the Twenty20 International and the Women’s Twenty20 International formats.</w:t>
      </w:r>
    </w:p>
    <w:p w14:paraId="1B16A74F" w14:textId="77777777" w:rsidR="00A24384" w:rsidRPr="006A2E2D" w:rsidRDefault="00A24384" w:rsidP="00A24384">
      <w:pPr>
        <w:pStyle w:val="subsection"/>
      </w:pPr>
      <w:r w:rsidRPr="006A2E2D">
        <w:tab/>
        <w:t>(5)</w:t>
      </w:r>
      <w:r w:rsidRPr="006A2E2D">
        <w:tab/>
        <w:t>Each match of the International Cricket Council Men’s Cricket World Cup and the International Cricket Council Women’s Cricket World Cup that:</w:t>
      </w:r>
    </w:p>
    <w:p w14:paraId="4F1D51F2" w14:textId="77777777" w:rsidR="00D40421" w:rsidRPr="006A2E2D" w:rsidRDefault="00D40421" w:rsidP="00D40421">
      <w:pPr>
        <w:pStyle w:val="paragraph"/>
      </w:pPr>
      <w:r w:rsidRPr="006A2E2D">
        <w:tab/>
        <w:t>(a)</w:t>
      </w:r>
      <w:r w:rsidRPr="006A2E2D">
        <w:tab/>
        <w:t>involves the senior Australian representative team selected by Cricket Australia; and</w:t>
      </w:r>
    </w:p>
    <w:p w14:paraId="32DD9F5C" w14:textId="77777777" w:rsidR="00D40421" w:rsidRPr="006A2E2D" w:rsidRDefault="00D40421" w:rsidP="00D40421">
      <w:pPr>
        <w:pStyle w:val="paragraph"/>
      </w:pPr>
      <w:r w:rsidRPr="006A2E2D">
        <w:tab/>
        <w:t>(b)</w:t>
      </w:r>
      <w:r w:rsidRPr="006A2E2D">
        <w:tab/>
        <w:t>is played in Australia or New Zealand.</w:t>
      </w:r>
    </w:p>
    <w:p w14:paraId="7B375C38" w14:textId="77777777" w:rsidR="00D40421" w:rsidRPr="006A2E2D" w:rsidRDefault="00D40421" w:rsidP="00D40421">
      <w:pPr>
        <w:pStyle w:val="subsection"/>
      </w:pPr>
      <w:r w:rsidRPr="006A2E2D">
        <w:tab/>
        <w:t>(6)</w:t>
      </w:r>
      <w:r w:rsidRPr="006A2E2D">
        <w:tab/>
        <w:t>The final of the International Cricket Council Men’s Cricket World Cup and the International Cricket Council Women’s Cricket World Cup</w:t>
      </w:r>
      <w:r w:rsidR="00843B79" w:rsidRPr="006A2E2D">
        <w:t>, if the final is played in Australia or New Zealand.</w:t>
      </w:r>
    </w:p>
    <w:p w14:paraId="15D9BB58" w14:textId="77777777" w:rsidR="00843B79" w:rsidRPr="006A2E2D" w:rsidRDefault="00843B79" w:rsidP="00843B79">
      <w:pPr>
        <w:pStyle w:val="subsection"/>
      </w:pPr>
      <w:r w:rsidRPr="006A2E2D">
        <w:tab/>
        <w:t>(7)</w:t>
      </w:r>
      <w:r w:rsidRPr="006A2E2D">
        <w:tab/>
        <w:t>Each match of the International Cricket Council Men’s T20 World Cup and the International Cricket Council Women’s T20 World Cup that:</w:t>
      </w:r>
    </w:p>
    <w:p w14:paraId="5CF4E121" w14:textId="77777777" w:rsidR="00843B79" w:rsidRPr="006A2E2D" w:rsidRDefault="00843B79" w:rsidP="00843B79">
      <w:pPr>
        <w:pStyle w:val="paragraph"/>
      </w:pPr>
      <w:r w:rsidRPr="006A2E2D">
        <w:tab/>
        <w:t>(a)</w:t>
      </w:r>
      <w:r w:rsidRPr="006A2E2D">
        <w:tab/>
        <w:t>involves the senior Australian representative team selected by Cricket Australia; and</w:t>
      </w:r>
    </w:p>
    <w:p w14:paraId="396D97BD" w14:textId="77777777" w:rsidR="00843B79" w:rsidRPr="006A2E2D" w:rsidRDefault="00843B79" w:rsidP="00843B79">
      <w:pPr>
        <w:pStyle w:val="paragraph"/>
      </w:pPr>
      <w:r w:rsidRPr="006A2E2D">
        <w:tab/>
        <w:t>(b)</w:t>
      </w:r>
      <w:r w:rsidRPr="006A2E2D">
        <w:tab/>
        <w:t>is played in Australia or New Zealand.</w:t>
      </w:r>
    </w:p>
    <w:p w14:paraId="3C6304F4" w14:textId="77777777" w:rsidR="00843B79" w:rsidRPr="006A2E2D" w:rsidRDefault="00843B79" w:rsidP="00843B79">
      <w:pPr>
        <w:pStyle w:val="subsection"/>
      </w:pPr>
      <w:r w:rsidRPr="006A2E2D">
        <w:lastRenderedPageBreak/>
        <w:tab/>
        <w:t>(8)</w:t>
      </w:r>
      <w:r w:rsidRPr="006A2E2D">
        <w:tab/>
        <w:t>The final of the International Cricket Council Men’s T20 World Cup and the International Cricket Council Women’s T20 World Cup, if the final is played in Australia</w:t>
      </w:r>
      <w:r w:rsidR="00E94828" w:rsidRPr="006A2E2D">
        <w:t xml:space="preserve"> or New Zealand</w:t>
      </w:r>
      <w:r w:rsidRPr="006A2E2D">
        <w:t>.</w:t>
      </w:r>
    </w:p>
    <w:p w14:paraId="3DC1CF92" w14:textId="77777777" w:rsidR="00843B79" w:rsidRPr="006A2E2D" w:rsidRDefault="00843B79" w:rsidP="00843B79">
      <w:pPr>
        <w:pStyle w:val="ActHead5"/>
      </w:pPr>
      <w:bookmarkStart w:id="18" w:name="_Toc152065585"/>
      <w:proofErr w:type="gramStart"/>
      <w:r w:rsidRPr="006A2E2D">
        <w:t>10  Soccer</w:t>
      </w:r>
      <w:bookmarkEnd w:id="18"/>
      <w:proofErr w:type="gramEnd"/>
    </w:p>
    <w:p w14:paraId="4F44E017" w14:textId="77777777" w:rsidR="00C01EEF" w:rsidRPr="006A2E2D" w:rsidRDefault="00C01EEF" w:rsidP="00C01EEF">
      <w:pPr>
        <w:pStyle w:val="SubsectionHead"/>
      </w:pPr>
      <w:r w:rsidRPr="006A2E2D">
        <w:t>Men’s matches</w:t>
      </w:r>
    </w:p>
    <w:p w14:paraId="2055BA35" w14:textId="77777777" w:rsidR="00C01EEF" w:rsidRPr="006A2E2D" w:rsidRDefault="00C01EEF" w:rsidP="00C01EEF">
      <w:pPr>
        <w:pStyle w:val="subsection"/>
      </w:pPr>
      <w:r w:rsidRPr="006A2E2D">
        <w:tab/>
        <w:t>(1)</w:t>
      </w:r>
      <w:r w:rsidRPr="006A2E2D">
        <w:tab/>
        <w:t>Each match of the Fédération Internationale de Football Association World Cup that involves the senior Australian representative team selected by Football Australia.</w:t>
      </w:r>
    </w:p>
    <w:p w14:paraId="13D553A8" w14:textId="77777777" w:rsidR="00C01EEF" w:rsidRPr="006A2E2D" w:rsidRDefault="00C01EEF" w:rsidP="00C01EEF">
      <w:pPr>
        <w:pStyle w:val="subsection"/>
        <w:rPr>
          <w:rFonts w:cstheme="minorHAnsi"/>
        </w:rPr>
      </w:pPr>
      <w:r w:rsidRPr="006A2E2D">
        <w:tab/>
        <w:t>(2)</w:t>
      </w:r>
      <w:r w:rsidRPr="006A2E2D">
        <w:tab/>
      </w:r>
      <w:r w:rsidRPr="006A2E2D">
        <w:rPr>
          <w:rFonts w:cstheme="minorHAnsi"/>
        </w:rPr>
        <w:t>The final of the Fédération Internationale de Football Association World Cup.</w:t>
      </w:r>
    </w:p>
    <w:p w14:paraId="79F703AF" w14:textId="77777777" w:rsidR="00C01EEF" w:rsidRPr="006A2E2D" w:rsidRDefault="00C01EEF" w:rsidP="00C01EEF">
      <w:pPr>
        <w:pStyle w:val="subsection"/>
        <w:rPr>
          <w:rFonts w:cstheme="minorHAnsi"/>
        </w:rPr>
      </w:pPr>
      <w:r w:rsidRPr="006A2E2D">
        <w:tab/>
        <w:t>(3)</w:t>
      </w:r>
      <w:r w:rsidRPr="006A2E2D">
        <w:tab/>
      </w:r>
      <w:r w:rsidRPr="006A2E2D">
        <w:rPr>
          <w:rFonts w:cstheme="minorHAnsi"/>
        </w:rPr>
        <w:t xml:space="preserve">Each match in the Fédération Internationale de Football Association World Cup Qualification tournament that: </w:t>
      </w:r>
    </w:p>
    <w:p w14:paraId="14553E7F" w14:textId="77777777" w:rsidR="00C01EEF" w:rsidRPr="006A2E2D" w:rsidRDefault="00C01EEF" w:rsidP="00C01EEF">
      <w:pPr>
        <w:pStyle w:val="paragraph"/>
      </w:pPr>
      <w:r w:rsidRPr="006A2E2D">
        <w:tab/>
        <w:t>(a)</w:t>
      </w:r>
      <w:r w:rsidRPr="006A2E2D">
        <w:tab/>
        <w:t>involves the senior Australian representative team selected by Football Australia; and</w:t>
      </w:r>
    </w:p>
    <w:p w14:paraId="254B5399" w14:textId="77777777" w:rsidR="00C01EEF" w:rsidRPr="006A2E2D" w:rsidRDefault="00C01EEF" w:rsidP="00C01EEF">
      <w:pPr>
        <w:pStyle w:val="paragraph"/>
      </w:pPr>
      <w:r w:rsidRPr="006A2E2D">
        <w:tab/>
        <w:t>(b)</w:t>
      </w:r>
      <w:r w:rsidRPr="006A2E2D">
        <w:tab/>
        <w:t>is played in Australia.</w:t>
      </w:r>
    </w:p>
    <w:p w14:paraId="55D2D6AB" w14:textId="77777777" w:rsidR="00C01EEF" w:rsidRPr="006A2E2D" w:rsidRDefault="00C01EEF" w:rsidP="00C01EEF">
      <w:pPr>
        <w:pStyle w:val="SubsectionHead"/>
      </w:pPr>
      <w:r w:rsidRPr="006A2E2D">
        <w:t>Women’s matches</w:t>
      </w:r>
    </w:p>
    <w:p w14:paraId="14823FE8" w14:textId="77777777" w:rsidR="00C01EEF" w:rsidRPr="006A2E2D" w:rsidRDefault="00C01EEF" w:rsidP="00C01EEF">
      <w:pPr>
        <w:pStyle w:val="subsection"/>
      </w:pPr>
      <w:r w:rsidRPr="006A2E2D">
        <w:tab/>
        <w:t>(4)</w:t>
      </w:r>
      <w:r w:rsidRPr="006A2E2D">
        <w:tab/>
        <w:t>Each match of the Fédération Internationale de Football Association Women’s World Cup that involves the senior Australian representative team selected by Football Australia.</w:t>
      </w:r>
    </w:p>
    <w:p w14:paraId="63DA5C54" w14:textId="77777777" w:rsidR="00C01EEF" w:rsidRPr="006A2E2D" w:rsidRDefault="00C01EEF" w:rsidP="00C01EEF">
      <w:pPr>
        <w:pStyle w:val="subsection"/>
      </w:pPr>
      <w:r w:rsidRPr="006A2E2D">
        <w:tab/>
        <w:t>(5)</w:t>
      </w:r>
      <w:r w:rsidRPr="006A2E2D">
        <w:tab/>
        <w:t>The final of the Fédération Internationale de Football Association Women’s World Cup.</w:t>
      </w:r>
    </w:p>
    <w:p w14:paraId="4B14F36F" w14:textId="77777777" w:rsidR="00AF175E" w:rsidRPr="006A2E2D" w:rsidRDefault="00C01EEF" w:rsidP="00C01EEF">
      <w:pPr>
        <w:pStyle w:val="subsection"/>
      </w:pPr>
      <w:r w:rsidRPr="006A2E2D">
        <w:tab/>
        <w:t>(6)</w:t>
      </w:r>
      <w:r w:rsidRPr="006A2E2D">
        <w:tab/>
        <w:t xml:space="preserve">Each </w:t>
      </w:r>
      <w:r w:rsidR="000C0245" w:rsidRPr="006A2E2D">
        <w:t xml:space="preserve">women’s </w:t>
      </w:r>
      <w:r w:rsidR="00B576F8" w:rsidRPr="006A2E2D">
        <w:t>soccer</w:t>
      </w:r>
      <w:r w:rsidR="000C0245" w:rsidRPr="006A2E2D">
        <w:t xml:space="preserve"> </w:t>
      </w:r>
      <w:r w:rsidRPr="006A2E2D">
        <w:t>match</w:t>
      </w:r>
      <w:r w:rsidR="00AF175E" w:rsidRPr="006A2E2D">
        <w:t xml:space="preserve"> that:</w:t>
      </w:r>
    </w:p>
    <w:p w14:paraId="7DCBB8E5" w14:textId="77777777" w:rsidR="00C01EEF" w:rsidRPr="006A2E2D" w:rsidRDefault="00AF175E" w:rsidP="00AF175E">
      <w:pPr>
        <w:pStyle w:val="paragraph"/>
      </w:pPr>
      <w:r w:rsidRPr="006A2E2D">
        <w:tab/>
        <w:t>(a)</w:t>
      </w:r>
      <w:r w:rsidRPr="006A2E2D">
        <w:tab/>
        <w:t>is part of a tournament by which teams may qualify for</w:t>
      </w:r>
      <w:r w:rsidR="00C01EEF" w:rsidRPr="006A2E2D">
        <w:t xml:space="preserve"> the Fédération Internationale de Football Association Women’s World Cup</w:t>
      </w:r>
      <w:r w:rsidRPr="006A2E2D">
        <w:t>; and</w:t>
      </w:r>
      <w:r w:rsidR="00C01EEF" w:rsidRPr="006A2E2D">
        <w:t xml:space="preserve"> </w:t>
      </w:r>
    </w:p>
    <w:p w14:paraId="0B8125A7" w14:textId="77777777" w:rsidR="0095230B" w:rsidRPr="006A2E2D" w:rsidRDefault="0095230B" w:rsidP="0095230B">
      <w:pPr>
        <w:pStyle w:val="notepara"/>
      </w:pPr>
      <w:r w:rsidRPr="006A2E2D">
        <w:t>Example:</w:t>
      </w:r>
      <w:r w:rsidRPr="006A2E2D">
        <w:tab/>
        <w:t>The 2022 AFC Women’s Asian Cup was a tournament by which teams could qualify for the 2023 Fédération Internationale de Football Association Women’s World Cup.</w:t>
      </w:r>
    </w:p>
    <w:p w14:paraId="748E1FE7" w14:textId="77777777" w:rsidR="00C01EEF" w:rsidRPr="006A2E2D" w:rsidRDefault="00C01EEF" w:rsidP="00C01EEF">
      <w:pPr>
        <w:pStyle w:val="paragraph"/>
      </w:pPr>
      <w:r w:rsidRPr="006A2E2D">
        <w:tab/>
        <w:t>(</w:t>
      </w:r>
      <w:r w:rsidR="00AF175E" w:rsidRPr="006A2E2D">
        <w:t>b</w:t>
      </w:r>
      <w:r w:rsidRPr="006A2E2D">
        <w:t>)</w:t>
      </w:r>
      <w:r w:rsidRPr="006A2E2D">
        <w:tab/>
        <w:t>involves the senior Australian representative team selected by Football Australia; and</w:t>
      </w:r>
    </w:p>
    <w:p w14:paraId="0B6ACF84" w14:textId="77777777" w:rsidR="00C01EEF" w:rsidRPr="006A2E2D" w:rsidRDefault="00C01EEF" w:rsidP="00C01EEF">
      <w:pPr>
        <w:pStyle w:val="paragraph"/>
      </w:pPr>
      <w:r w:rsidRPr="006A2E2D">
        <w:tab/>
        <w:t>(</w:t>
      </w:r>
      <w:r w:rsidR="00AF175E" w:rsidRPr="006A2E2D">
        <w:t>c</w:t>
      </w:r>
      <w:r w:rsidRPr="006A2E2D">
        <w:t>)</w:t>
      </w:r>
      <w:r w:rsidRPr="006A2E2D">
        <w:tab/>
        <w:t>is played in Australia.</w:t>
      </w:r>
    </w:p>
    <w:p w14:paraId="1BA7B254" w14:textId="77777777" w:rsidR="00C01EEF" w:rsidRPr="006A2E2D" w:rsidRDefault="00C01EEF" w:rsidP="00C01EEF">
      <w:pPr>
        <w:pStyle w:val="ActHead5"/>
      </w:pPr>
      <w:bookmarkStart w:id="19" w:name="_Toc152065586"/>
      <w:proofErr w:type="gramStart"/>
      <w:r w:rsidRPr="006A2E2D">
        <w:t>11  Tennis</w:t>
      </w:r>
      <w:bookmarkEnd w:id="19"/>
      <w:proofErr w:type="gramEnd"/>
    </w:p>
    <w:p w14:paraId="0B70FCE9" w14:textId="77777777" w:rsidR="00C01EEF" w:rsidRPr="006A2E2D" w:rsidRDefault="00C01EEF" w:rsidP="00C01EEF">
      <w:pPr>
        <w:pStyle w:val="subsection"/>
      </w:pPr>
      <w:r w:rsidRPr="006A2E2D">
        <w:tab/>
        <w:t>(1)</w:t>
      </w:r>
      <w:r w:rsidRPr="006A2E2D">
        <w:tab/>
        <w:t>Each</w:t>
      </w:r>
      <w:r w:rsidR="00EC175E" w:rsidRPr="006A2E2D">
        <w:t xml:space="preserve"> </w:t>
      </w:r>
      <w:r w:rsidRPr="006A2E2D">
        <w:t>match in the Australian Open.</w:t>
      </w:r>
    </w:p>
    <w:p w14:paraId="08A3398F" w14:textId="77777777" w:rsidR="00C01EEF" w:rsidRPr="006A2E2D" w:rsidRDefault="00C01EEF" w:rsidP="00C01EEF">
      <w:pPr>
        <w:pStyle w:val="subsection"/>
      </w:pPr>
      <w:bookmarkStart w:id="20" w:name="_Hlk150758794"/>
      <w:r w:rsidRPr="006A2E2D">
        <w:tab/>
        <w:t>(2)</w:t>
      </w:r>
      <w:r w:rsidRPr="006A2E2D">
        <w:tab/>
      </w:r>
      <w:r w:rsidR="00946741" w:rsidRPr="006A2E2D">
        <w:t xml:space="preserve">Each match in each tie of the International Tennis Federation Davis Cup World </w:t>
      </w:r>
      <w:bookmarkEnd w:id="20"/>
      <w:r w:rsidR="00946741" w:rsidRPr="006A2E2D">
        <w:t>Group that:</w:t>
      </w:r>
    </w:p>
    <w:p w14:paraId="78E3DE4A" w14:textId="77777777" w:rsidR="00946741" w:rsidRPr="006A2E2D" w:rsidRDefault="00946741" w:rsidP="00946741">
      <w:pPr>
        <w:pStyle w:val="paragraph"/>
      </w:pPr>
      <w:r w:rsidRPr="006A2E2D">
        <w:tab/>
        <w:t>(a)</w:t>
      </w:r>
      <w:r w:rsidRPr="006A2E2D">
        <w:tab/>
        <w:t>involves an Australian representative team; and</w:t>
      </w:r>
    </w:p>
    <w:p w14:paraId="58D3B7B0" w14:textId="77777777" w:rsidR="00946741" w:rsidRPr="006A2E2D" w:rsidRDefault="00946741" w:rsidP="00946741">
      <w:pPr>
        <w:pStyle w:val="paragraph"/>
      </w:pPr>
      <w:r w:rsidRPr="006A2E2D">
        <w:tab/>
        <w:t>(b)</w:t>
      </w:r>
      <w:r w:rsidRPr="006A2E2D">
        <w:tab/>
        <w:t>is played in Australia.</w:t>
      </w:r>
    </w:p>
    <w:p w14:paraId="4D3AD00D" w14:textId="77777777" w:rsidR="00D33AA1" w:rsidRPr="006A2E2D" w:rsidRDefault="00946741" w:rsidP="00A24384">
      <w:pPr>
        <w:pStyle w:val="subsection"/>
      </w:pPr>
      <w:r w:rsidRPr="006A2E2D">
        <w:tab/>
        <w:t>(2)</w:t>
      </w:r>
      <w:r w:rsidRPr="006A2E2D">
        <w:tab/>
        <w:t>The final of the International Tennis Federation Davis Cup World Group, if the final involves an Australian representative team.</w:t>
      </w:r>
    </w:p>
    <w:p w14:paraId="644C58E3" w14:textId="77777777" w:rsidR="00946741" w:rsidRPr="006A2E2D" w:rsidRDefault="00946741" w:rsidP="00946741">
      <w:pPr>
        <w:pStyle w:val="ActHead5"/>
      </w:pPr>
      <w:bookmarkStart w:id="21" w:name="_Toc152065587"/>
      <w:proofErr w:type="gramStart"/>
      <w:r w:rsidRPr="006A2E2D">
        <w:lastRenderedPageBreak/>
        <w:t>1</w:t>
      </w:r>
      <w:r w:rsidR="00C733B0" w:rsidRPr="006A2E2D">
        <w:t>2</w:t>
      </w:r>
      <w:r w:rsidRPr="006A2E2D">
        <w:t xml:space="preserve">  Netball</w:t>
      </w:r>
      <w:bookmarkEnd w:id="21"/>
      <w:proofErr w:type="gramEnd"/>
    </w:p>
    <w:p w14:paraId="5FFAF852" w14:textId="77777777" w:rsidR="00946741" w:rsidRPr="006A2E2D" w:rsidRDefault="00946741" w:rsidP="00946741">
      <w:pPr>
        <w:pStyle w:val="subsection"/>
      </w:pPr>
      <w:r w:rsidRPr="006A2E2D">
        <w:tab/>
      </w:r>
      <w:r w:rsidRPr="006A2E2D">
        <w:tab/>
        <w:t>Each semi-final or final of the Netball World Cup that involves the senior Australian representative team selected by Netball Australia.</w:t>
      </w:r>
    </w:p>
    <w:p w14:paraId="3A15454B" w14:textId="77777777" w:rsidR="00946741" w:rsidRPr="006A2E2D" w:rsidRDefault="00946741" w:rsidP="00946741">
      <w:pPr>
        <w:pStyle w:val="ActHead5"/>
      </w:pPr>
      <w:bookmarkStart w:id="22" w:name="_Toc152065588"/>
      <w:proofErr w:type="gramStart"/>
      <w:r w:rsidRPr="006A2E2D">
        <w:t>1</w:t>
      </w:r>
      <w:r w:rsidR="00C733B0" w:rsidRPr="006A2E2D">
        <w:t>3</w:t>
      </w:r>
      <w:r w:rsidRPr="006A2E2D">
        <w:t xml:space="preserve">  Motor</w:t>
      </w:r>
      <w:proofErr w:type="gramEnd"/>
      <w:r w:rsidRPr="006A2E2D">
        <w:t xml:space="preserve"> sports</w:t>
      </w:r>
      <w:bookmarkEnd w:id="22"/>
    </w:p>
    <w:p w14:paraId="5D10307A" w14:textId="77777777" w:rsidR="00946741" w:rsidRPr="006A2E2D" w:rsidRDefault="00946741" w:rsidP="00946741">
      <w:pPr>
        <w:pStyle w:val="subsection"/>
      </w:pPr>
      <w:r w:rsidRPr="006A2E2D">
        <w:tab/>
        <w:t>(1)</w:t>
      </w:r>
      <w:r w:rsidRPr="006A2E2D">
        <w:tab/>
        <w:t xml:space="preserve">Each race in the Fédération Internationale de </w:t>
      </w:r>
      <w:proofErr w:type="spellStart"/>
      <w:r w:rsidRPr="006A2E2D">
        <w:t>l’Automobile</w:t>
      </w:r>
      <w:proofErr w:type="spellEnd"/>
      <w:r w:rsidRPr="006A2E2D">
        <w:t xml:space="preserve"> Formula One World Championship (Grand Prix) held in Australia.</w:t>
      </w:r>
    </w:p>
    <w:p w14:paraId="5120972E" w14:textId="77777777" w:rsidR="00946741" w:rsidRPr="006A2E2D" w:rsidRDefault="00946741" w:rsidP="00946741">
      <w:pPr>
        <w:pStyle w:val="subsection"/>
      </w:pPr>
      <w:r w:rsidRPr="006A2E2D">
        <w:tab/>
        <w:t>(2)</w:t>
      </w:r>
      <w:r w:rsidRPr="006A2E2D">
        <w:tab/>
        <w:t xml:space="preserve">Each race in the Fédération Internationale de </w:t>
      </w:r>
      <w:proofErr w:type="spellStart"/>
      <w:r w:rsidRPr="006A2E2D">
        <w:t>Motocyclisme</w:t>
      </w:r>
      <w:proofErr w:type="spellEnd"/>
      <w:r w:rsidRPr="006A2E2D">
        <w:t xml:space="preserve"> MotoGP World Championship held in Australia.</w:t>
      </w:r>
    </w:p>
    <w:p w14:paraId="6A5497E6" w14:textId="77777777" w:rsidR="00946741" w:rsidRPr="00946741" w:rsidRDefault="00946741" w:rsidP="00946741">
      <w:pPr>
        <w:pStyle w:val="subsection"/>
      </w:pPr>
      <w:r w:rsidRPr="006A2E2D">
        <w:tab/>
        <w:t>(3)</w:t>
      </w:r>
      <w:r w:rsidRPr="006A2E2D">
        <w:tab/>
        <w:t>Each Bathurst 1000 race in the Supercars Championship.</w:t>
      </w:r>
    </w:p>
    <w:p w14:paraId="4A544ABD" w14:textId="77777777" w:rsidR="00D40421" w:rsidRDefault="00D40421" w:rsidP="00D40421">
      <w:pPr>
        <w:pStyle w:val="paragraph"/>
      </w:pPr>
    </w:p>
    <w:p w14:paraId="1EC41BFD" w14:textId="77777777" w:rsidR="00D40421" w:rsidRDefault="00D40421" w:rsidP="00D40421">
      <w:pPr>
        <w:pStyle w:val="paragraph"/>
      </w:pPr>
    </w:p>
    <w:p w14:paraId="64727EE4" w14:textId="77777777" w:rsidR="00AA758A" w:rsidRDefault="00AA758A" w:rsidP="00AA15BA">
      <w:pPr>
        <w:pStyle w:val="paragraph"/>
      </w:pPr>
    </w:p>
    <w:p w14:paraId="177AE3B2" w14:textId="77777777" w:rsidR="00EA260A" w:rsidRPr="00EA260A" w:rsidRDefault="00EA260A" w:rsidP="00B576F8">
      <w:pPr>
        <w:pStyle w:val="ActHead7"/>
        <w:ind w:left="0" w:firstLine="0"/>
      </w:pPr>
    </w:p>
    <w:sectPr w:rsidR="00EA260A" w:rsidRPr="00EA260A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AF3CB" w14:textId="77777777" w:rsidR="00910755" w:rsidRDefault="00910755" w:rsidP="00715914">
      <w:pPr>
        <w:spacing w:line="240" w:lineRule="auto"/>
      </w:pPr>
      <w:r>
        <w:separator/>
      </w:r>
    </w:p>
  </w:endnote>
  <w:endnote w:type="continuationSeparator" w:id="0">
    <w:p w14:paraId="1ED77ECD" w14:textId="77777777" w:rsidR="00910755" w:rsidRDefault="0091075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281DF" w14:textId="77777777" w:rsidR="00EC479E" w:rsidRPr="00E33C1C" w:rsidRDefault="00EC479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479E" w14:paraId="5E311AC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7CE8E7" w14:textId="77777777" w:rsidR="00EC479E" w:rsidRDefault="00EC479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FFDC28" w14:textId="77777777" w:rsidR="00EC479E" w:rsidRPr="004E1307" w:rsidRDefault="00EC479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ADB621" w14:textId="77777777" w:rsidR="00EC479E" w:rsidRDefault="00EC479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C479E" w14:paraId="49A5C2E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DC473D" w14:textId="77777777" w:rsidR="00EC479E" w:rsidRDefault="00EC479E" w:rsidP="00A369E3">
          <w:pPr>
            <w:jc w:val="right"/>
            <w:rPr>
              <w:sz w:val="18"/>
            </w:rPr>
          </w:pPr>
        </w:p>
      </w:tc>
    </w:tr>
  </w:tbl>
  <w:p w14:paraId="77340125" w14:textId="77777777" w:rsidR="00EC479E" w:rsidRPr="00ED79B6" w:rsidRDefault="00EC479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C82C" w14:textId="77777777" w:rsidR="00EC479E" w:rsidRPr="00E33C1C" w:rsidRDefault="00EC479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479E" w14:paraId="2A2AA74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A842CE" w14:textId="77777777" w:rsidR="00EC479E" w:rsidRDefault="00EC479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17DEBD" w14:textId="77777777" w:rsidR="00EC479E" w:rsidRDefault="00EC479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89C8E" w14:textId="77777777" w:rsidR="00EC479E" w:rsidRDefault="00EC479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C479E" w14:paraId="3025024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608D99" w14:textId="77777777" w:rsidR="00EC479E" w:rsidRDefault="00EC479E" w:rsidP="00A369E3">
          <w:pPr>
            <w:rPr>
              <w:sz w:val="18"/>
            </w:rPr>
          </w:pPr>
        </w:p>
      </w:tc>
    </w:tr>
  </w:tbl>
  <w:p w14:paraId="16D46DB4" w14:textId="77777777" w:rsidR="00EC479E" w:rsidRPr="00ED79B6" w:rsidRDefault="00EC479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15BB" w14:textId="77777777" w:rsidR="00EC479E" w:rsidRPr="00E33C1C" w:rsidRDefault="00EC479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C479E" w14:paraId="606F411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F38F76" w14:textId="77777777" w:rsidR="00EC479E" w:rsidRDefault="00EC479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D36454" w14:textId="77777777" w:rsidR="00EC479E" w:rsidRDefault="00EC479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CC8C7" w14:textId="77777777" w:rsidR="00EC479E" w:rsidRDefault="00EC479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7214EE0" w14:textId="77777777" w:rsidR="00EC479E" w:rsidRPr="00ED79B6" w:rsidRDefault="00EC479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6E481" w14:textId="77777777" w:rsidR="00EC479E" w:rsidRPr="002B0EA5" w:rsidRDefault="00EC479E" w:rsidP="001529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C479E" w14:paraId="71DB0B11" w14:textId="77777777" w:rsidTr="001529E0">
      <w:tc>
        <w:tcPr>
          <w:tcW w:w="365" w:type="pct"/>
        </w:tcPr>
        <w:p w14:paraId="2B48EBC7" w14:textId="77777777" w:rsidR="00EC479E" w:rsidRDefault="00EC479E" w:rsidP="001529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89ECA3" w14:textId="77777777" w:rsidR="00EC479E" w:rsidRDefault="00EC479E" w:rsidP="001529E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D35AB">
            <w:rPr>
              <w:i/>
              <w:noProof/>
              <w:sz w:val="18"/>
            </w:rPr>
            <w:t>Broadcasting Services (Anti-Siphoning List) Instrument [Year]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47FDA8" w14:textId="77777777" w:rsidR="00EC479E" w:rsidRDefault="00EC479E" w:rsidP="001529E0">
          <w:pPr>
            <w:spacing w:line="0" w:lineRule="atLeast"/>
            <w:jc w:val="right"/>
            <w:rPr>
              <w:sz w:val="18"/>
            </w:rPr>
          </w:pPr>
        </w:p>
      </w:tc>
    </w:tr>
    <w:tr w:rsidR="00EC479E" w14:paraId="0E116C18" w14:textId="77777777" w:rsidTr="001529E0">
      <w:tc>
        <w:tcPr>
          <w:tcW w:w="5000" w:type="pct"/>
          <w:gridSpan w:val="3"/>
        </w:tcPr>
        <w:p w14:paraId="7B4480E3" w14:textId="77777777" w:rsidR="00EC479E" w:rsidRDefault="00EC479E" w:rsidP="001529E0">
          <w:pPr>
            <w:jc w:val="right"/>
            <w:rPr>
              <w:sz w:val="18"/>
            </w:rPr>
          </w:pPr>
        </w:p>
      </w:tc>
    </w:tr>
  </w:tbl>
  <w:p w14:paraId="4D6C9049" w14:textId="77777777" w:rsidR="00EC479E" w:rsidRPr="00ED79B6" w:rsidRDefault="00EC479E" w:rsidP="001529E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B1252" w14:textId="77777777" w:rsidR="00EC479E" w:rsidRPr="002B0EA5" w:rsidRDefault="00EC479E" w:rsidP="001529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C479E" w14:paraId="70D005CF" w14:textId="77777777" w:rsidTr="001529E0">
      <w:tc>
        <w:tcPr>
          <w:tcW w:w="947" w:type="pct"/>
        </w:tcPr>
        <w:p w14:paraId="211ACA7A" w14:textId="77777777" w:rsidR="00EC479E" w:rsidRDefault="00EC479E" w:rsidP="001529E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D6795F" w14:textId="3D2B67C8" w:rsidR="00EC479E" w:rsidRDefault="00EC479E" w:rsidP="001529E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7517D">
            <w:rPr>
              <w:i/>
              <w:noProof/>
              <w:sz w:val="18"/>
            </w:rPr>
            <w:t>Broadcasting Services (Anti-Siphoning List)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DFAFD31" w14:textId="77777777" w:rsidR="00EC479E" w:rsidRDefault="00EC479E" w:rsidP="001529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C479E" w14:paraId="60C98E09" w14:textId="77777777" w:rsidTr="001529E0">
      <w:tc>
        <w:tcPr>
          <w:tcW w:w="5000" w:type="pct"/>
          <w:gridSpan w:val="3"/>
        </w:tcPr>
        <w:p w14:paraId="777BBB33" w14:textId="77777777" w:rsidR="00EC479E" w:rsidRDefault="00EC479E" w:rsidP="001529E0">
          <w:pPr>
            <w:rPr>
              <w:sz w:val="18"/>
            </w:rPr>
          </w:pPr>
        </w:p>
      </w:tc>
    </w:tr>
  </w:tbl>
  <w:p w14:paraId="2F5AC883" w14:textId="77777777" w:rsidR="00EC479E" w:rsidRPr="00ED79B6" w:rsidRDefault="00EC479E" w:rsidP="001529E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48D81" w14:textId="77777777" w:rsidR="00EC479E" w:rsidRPr="002B0EA5" w:rsidRDefault="00EC479E" w:rsidP="001529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C479E" w14:paraId="36F53075" w14:textId="77777777" w:rsidTr="001529E0">
      <w:tc>
        <w:tcPr>
          <w:tcW w:w="365" w:type="pct"/>
        </w:tcPr>
        <w:p w14:paraId="76956D18" w14:textId="77777777" w:rsidR="00EC479E" w:rsidRDefault="00EC479E" w:rsidP="001529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872CC0" w14:textId="71BADAE1" w:rsidR="00EC479E" w:rsidRDefault="00EC479E" w:rsidP="001529E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7517D">
            <w:rPr>
              <w:i/>
              <w:noProof/>
              <w:sz w:val="18"/>
            </w:rPr>
            <w:t>Broadcasting Services (Anti-Siphoning List)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CCA57B" w14:textId="77777777" w:rsidR="00EC479E" w:rsidRDefault="00EC479E" w:rsidP="001529E0">
          <w:pPr>
            <w:spacing w:line="0" w:lineRule="atLeast"/>
            <w:jc w:val="right"/>
            <w:rPr>
              <w:sz w:val="18"/>
            </w:rPr>
          </w:pPr>
        </w:p>
      </w:tc>
    </w:tr>
    <w:tr w:rsidR="00EC479E" w14:paraId="71889850" w14:textId="77777777" w:rsidTr="001529E0">
      <w:tc>
        <w:tcPr>
          <w:tcW w:w="5000" w:type="pct"/>
          <w:gridSpan w:val="3"/>
        </w:tcPr>
        <w:p w14:paraId="7750CAFF" w14:textId="77777777" w:rsidR="00EC479E" w:rsidRDefault="00EC479E" w:rsidP="001529E0">
          <w:pPr>
            <w:jc w:val="right"/>
            <w:rPr>
              <w:sz w:val="18"/>
            </w:rPr>
          </w:pPr>
        </w:p>
      </w:tc>
    </w:tr>
  </w:tbl>
  <w:p w14:paraId="204822AF" w14:textId="77777777" w:rsidR="00EC479E" w:rsidRPr="00ED79B6" w:rsidRDefault="00EC479E" w:rsidP="001529E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DE40" w14:textId="77777777" w:rsidR="00EC479E" w:rsidRPr="002B0EA5" w:rsidRDefault="00EC479E" w:rsidP="001529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C479E" w14:paraId="66C7987C" w14:textId="77777777" w:rsidTr="001529E0">
      <w:tc>
        <w:tcPr>
          <w:tcW w:w="947" w:type="pct"/>
        </w:tcPr>
        <w:p w14:paraId="34981D89" w14:textId="77777777" w:rsidR="00EC479E" w:rsidRDefault="00EC479E" w:rsidP="001529E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B1D3E8" w14:textId="324D7EDA" w:rsidR="00EC479E" w:rsidRDefault="00EC479E" w:rsidP="001529E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7517D">
            <w:rPr>
              <w:i/>
              <w:noProof/>
              <w:sz w:val="18"/>
            </w:rPr>
            <w:t>Broadcasting Services (Anti-Siphoning List)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31B3B88" w14:textId="77777777" w:rsidR="00EC479E" w:rsidRDefault="00EC479E" w:rsidP="001529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C479E" w14:paraId="1A1AB341" w14:textId="77777777" w:rsidTr="001529E0">
      <w:tc>
        <w:tcPr>
          <w:tcW w:w="5000" w:type="pct"/>
          <w:gridSpan w:val="3"/>
        </w:tcPr>
        <w:p w14:paraId="1231C336" w14:textId="77777777" w:rsidR="00EC479E" w:rsidRDefault="00EC479E" w:rsidP="001529E0">
          <w:pPr>
            <w:rPr>
              <w:sz w:val="18"/>
            </w:rPr>
          </w:pPr>
        </w:p>
      </w:tc>
    </w:tr>
  </w:tbl>
  <w:p w14:paraId="0D5B86C7" w14:textId="77777777" w:rsidR="00EC479E" w:rsidRPr="00ED79B6" w:rsidRDefault="00EC479E" w:rsidP="001529E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E42AF" w14:textId="77777777" w:rsidR="00910755" w:rsidRDefault="00910755" w:rsidP="00715914">
      <w:pPr>
        <w:spacing w:line="240" w:lineRule="auto"/>
      </w:pPr>
      <w:r>
        <w:separator/>
      </w:r>
    </w:p>
  </w:footnote>
  <w:footnote w:type="continuationSeparator" w:id="0">
    <w:p w14:paraId="5460E480" w14:textId="77777777" w:rsidR="00910755" w:rsidRDefault="0091075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2C5E" w14:textId="77777777" w:rsidR="00EC479E" w:rsidRPr="005F1388" w:rsidRDefault="00EC479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8A184" w14:textId="77777777" w:rsidR="00EC479E" w:rsidRPr="005F1388" w:rsidRDefault="00EC479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91BE" w14:textId="77777777" w:rsidR="00EC479E" w:rsidRPr="00ED79B6" w:rsidRDefault="00EC479E" w:rsidP="001529E0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665C" w14:textId="77777777" w:rsidR="00EC479E" w:rsidRPr="00ED79B6" w:rsidRDefault="00EC479E" w:rsidP="001529E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D0BC" w14:textId="77777777" w:rsidR="00EC479E" w:rsidRPr="00ED79B6" w:rsidRDefault="00EC479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1139E" w14:textId="77777777" w:rsidR="00EC479E" w:rsidRDefault="00EC479E" w:rsidP="00715914">
    <w:pPr>
      <w:rPr>
        <w:sz w:val="20"/>
      </w:rPr>
    </w:pPr>
  </w:p>
  <w:p w14:paraId="166A6CAB" w14:textId="77777777" w:rsidR="00EC479E" w:rsidRDefault="00EC479E" w:rsidP="00715914">
    <w:pPr>
      <w:rPr>
        <w:sz w:val="20"/>
      </w:rPr>
    </w:pPr>
  </w:p>
  <w:p w14:paraId="0BD78E8D" w14:textId="77777777" w:rsidR="00EC479E" w:rsidRPr="007A1328" w:rsidRDefault="00EC479E" w:rsidP="00715914">
    <w:pPr>
      <w:rPr>
        <w:sz w:val="20"/>
      </w:rPr>
    </w:pPr>
  </w:p>
  <w:p w14:paraId="67847410" w14:textId="77777777" w:rsidR="00EC479E" w:rsidRPr="007A1328" w:rsidRDefault="00EC479E" w:rsidP="00715914">
    <w:pPr>
      <w:rPr>
        <w:b/>
        <w:sz w:val="24"/>
      </w:rPr>
    </w:pPr>
  </w:p>
  <w:p w14:paraId="5F657688" w14:textId="77777777" w:rsidR="00EC479E" w:rsidRPr="007A1328" w:rsidRDefault="00EC479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5271" w14:textId="77777777" w:rsidR="00EC479E" w:rsidRPr="007A1328" w:rsidRDefault="00EC479E" w:rsidP="00715914">
    <w:pPr>
      <w:jc w:val="right"/>
      <w:rPr>
        <w:sz w:val="20"/>
      </w:rPr>
    </w:pPr>
  </w:p>
  <w:p w14:paraId="1EC698F6" w14:textId="77777777" w:rsidR="00EC479E" w:rsidRPr="007A1328" w:rsidRDefault="00EC479E" w:rsidP="00715914">
    <w:pPr>
      <w:jc w:val="right"/>
      <w:rPr>
        <w:sz w:val="20"/>
      </w:rPr>
    </w:pPr>
  </w:p>
  <w:p w14:paraId="43E6DC06" w14:textId="77777777" w:rsidR="00EC479E" w:rsidRPr="007A1328" w:rsidRDefault="00EC479E" w:rsidP="00715914">
    <w:pPr>
      <w:jc w:val="right"/>
      <w:rPr>
        <w:sz w:val="20"/>
      </w:rPr>
    </w:pPr>
  </w:p>
  <w:p w14:paraId="0A93B709" w14:textId="77777777" w:rsidR="00EC479E" w:rsidRPr="007A1328" w:rsidRDefault="00EC479E" w:rsidP="00715914">
    <w:pPr>
      <w:jc w:val="right"/>
      <w:rPr>
        <w:b/>
        <w:sz w:val="24"/>
      </w:rPr>
    </w:pPr>
  </w:p>
  <w:p w14:paraId="5FE19A7A" w14:textId="77777777" w:rsidR="00EC479E" w:rsidRPr="007A1328" w:rsidRDefault="00EC479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02C5E"/>
    <w:multiLevelType w:val="hybridMultilevel"/>
    <w:tmpl w:val="BE80E982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4C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38CD"/>
    <w:rsid w:val="0006709C"/>
    <w:rsid w:val="00074376"/>
    <w:rsid w:val="000978F5"/>
    <w:rsid w:val="000B15CD"/>
    <w:rsid w:val="000B35EB"/>
    <w:rsid w:val="000C0245"/>
    <w:rsid w:val="000D05EF"/>
    <w:rsid w:val="000D35AB"/>
    <w:rsid w:val="000D7595"/>
    <w:rsid w:val="000E1458"/>
    <w:rsid w:val="000E2261"/>
    <w:rsid w:val="000E78B7"/>
    <w:rsid w:val="000F0A2E"/>
    <w:rsid w:val="000F21C1"/>
    <w:rsid w:val="0010745C"/>
    <w:rsid w:val="0011376A"/>
    <w:rsid w:val="001227AE"/>
    <w:rsid w:val="00132CEB"/>
    <w:rsid w:val="001339B0"/>
    <w:rsid w:val="0013584A"/>
    <w:rsid w:val="00137364"/>
    <w:rsid w:val="00142B62"/>
    <w:rsid w:val="001441B7"/>
    <w:rsid w:val="001516CB"/>
    <w:rsid w:val="00152336"/>
    <w:rsid w:val="001529E0"/>
    <w:rsid w:val="00153EA5"/>
    <w:rsid w:val="00157B8B"/>
    <w:rsid w:val="001668E6"/>
    <w:rsid w:val="00166C2F"/>
    <w:rsid w:val="001809D7"/>
    <w:rsid w:val="001939E1"/>
    <w:rsid w:val="00194C3E"/>
    <w:rsid w:val="00195382"/>
    <w:rsid w:val="001B2CB6"/>
    <w:rsid w:val="001C3973"/>
    <w:rsid w:val="001C61C5"/>
    <w:rsid w:val="001C69C4"/>
    <w:rsid w:val="001D06D4"/>
    <w:rsid w:val="001D37EF"/>
    <w:rsid w:val="001D6CBC"/>
    <w:rsid w:val="001E1E84"/>
    <w:rsid w:val="001E3590"/>
    <w:rsid w:val="001E7407"/>
    <w:rsid w:val="001F57C3"/>
    <w:rsid w:val="001F5D5E"/>
    <w:rsid w:val="001F6219"/>
    <w:rsid w:val="001F6CD4"/>
    <w:rsid w:val="00206C4D"/>
    <w:rsid w:val="00215AF1"/>
    <w:rsid w:val="00220FB3"/>
    <w:rsid w:val="002321E8"/>
    <w:rsid w:val="00232984"/>
    <w:rsid w:val="0024010F"/>
    <w:rsid w:val="00240749"/>
    <w:rsid w:val="00243018"/>
    <w:rsid w:val="00250E5D"/>
    <w:rsid w:val="002564A4"/>
    <w:rsid w:val="0026736C"/>
    <w:rsid w:val="00267B86"/>
    <w:rsid w:val="00273F2A"/>
    <w:rsid w:val="00281308"/>
    <w:rsid w:val="00284719"/>
    <w:rsid w:val="00297ECB"/>
    <w:rsid w:val="002A7BCF"/>
    <w:rsid w:val="002C3FD1"/>
    <w:rsid w:val="002D043A"/>
    <w:rsid w:val="002D266B"/>
    <w:rsid w:val="002D38F6"/>
    <w:rsid w:val="002D6224"/>
    <w:rsid w:val="00304434"/>
    <w:rsid w:val="00304F8B"/>
    <w:rsid w:val="00313BED"/>
    <w:rsid w:val="00326B12"/>
    <w:rsid w:val="00333784"/>
    <w:rsid w:val="003343C4"/>
    <w:rsid w:val="00335BC6"/>
    <w:rsid w:val="003415D3"/>
    <w:rsid w:val="00344338"/>
    <w:rsid w:val="00344701"/>
    <w:rsid w:val="00352B0F"/>
    <w:rsid w:val="00360459"/>
    <w:rsid w:val="00364246"/>
    <w:rsid w:val="00372CB6"/>
    <w:rsid w:val="0038049F"/>
    <w:rsid w:val="003B109B"/>
    <w:rsid w:val="003B7590"/>
    <w:rsid w:val="003C6231"/>
    <w:rsid w:val="003D0BFE"/>
    <w:rsid w:val="003D5700"/>
    <w:rsid w:val="003E341B"/>
    <w:rsid w:val="003E4D00"/>
    <w:rsid w:val="003F6264"/>
    <w:rsid w:val="004116CD"/>
    <w:rsid w:val="004159A2"/>
    <w:rsid w:val="00417EB9"/>
    <w:rsid w:val="00424CA9"/>
    <w:rsid w:val="004276DF"/>
    <w:rsid w:val="00431CEA"/>
    <w:rsid w:val="00431E9B"/>
    <w:rsid w:val="004379E3"/>
    <w:rsid w:val="0044015E"/>
    <w:rsid w:val="0044291A"/>
    <w:rsid w:val="0045132E"/>
    <w:rsid w:val="00467661"/>
    <w:rsid w:val="00471812"/>
    <w:rsid w:val="00472DBE"/>
    <w:rsid w:val="00474A19"/>
    <w:rsid w:val="004764D7"/>
    <w:rsid w:val="00477830"/>
    <w:rsid w:val="00487764"/>
    <w:rsid w:val="00496F97"/>
    <w:rsid w:val="004B0DD2"/>
    <w:rsid w:val="004B1197"/>
    <w:rsid w:val="004B6C48"/>
    <w:rsid w:val="004C4E59"/>
    <w:rsid w:val="004C6809"/>
    <w:rsid w:val="004D2702"/>
    <w:rsid w:val="004D3206"/>
    <w:rsid w:val="004D4347"/>
    <w:rsid w:val="004D6174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56BD6"/>
    <w:rsid w:val="005619D0"/>
    <w:rsid w:val="00562877"/>
    <w:rsid w:val="005756DA"/>
    <w:rsid w:val="0057572E"/>
    <w:rsid w:val="00584811"/>
    <w:rsid w:val="00585784"/>
    <w:rsid w:val="00593AA6"/>
    <w:rsid w:val="00594161"/>
    <w:rsid w:val="00594749"/>
    <w:rsid w:val="005A65D5"/>
    <w:rsid w:val="005B1681"/>
    <w:rsid w:val="005B4067"/>
    <w:rsid w:val="005C3F41"/>
    <w:rsid w:val="005D1D92"/>
    <w:rsid w:val="005D21C7"/>
    <w:rsid w:val="005D2D09"/>
    <w:rsid w:val="005D3C25"/>
    <w:rsid w:val="005F68F4"/>
    <w:rsid w:val="00600219"/>
    <w:rsid w:val="00604F2A"/>
    <w:rsid w:val="00620076"/>
    <w:rsid w:val="00627E0A"/>
    <w:rsid w:val="00644CFC"/>
    <w:rsid w:val="0065488B"/>
    <w:rsid w:val="00670EA1"/>
    <w:rsid w:val="00677CC2"/>
    <w:rsid w:val="0068744B"/>
    <w:rsid w:val="006905DE"/>
    <w:rsid w:val="0069207B"/>
    <w:rsid w:val="00693C50"/>
    <w:rsid w:val="006A154F"/>
    <w:rsid w:val="006A2E2D"/>
    <w:rsid w:val="006A3201"/>
    <w:rsid w:val="006A437B"/>
    <w:rsid w:val="006B0CB8"/>
    <w:rsid w:val="006B1D58"/>
    <w:rsid w:val="006B5789"/>
    <w:rsid w:val="006C1FA1"/>
    <w:rsid w:val="006C30C5"/>
    <w:rsid w:val="006C4629"/>
    <w:rsid w:val="006C7F8C"/>
    <w:rsid w:val="006D0EED"/>
    <w:rsid w:val="006D24DA"/>
    <w:rsid w:val="006E2E1C"/>
    <w:rsid w:val="006E6246"/>
    <w:rsid w:val="006E69C2"/>
    <w:rsid w:val="006E6DCC"/>
    <w:rsid w:val="006F318F"/>
    <w:rsid w:val="0070017E"/>
    <w:rsid w:val="00700B2C"/>
    <w:rsid w:val="007050A2"/>
    <w:rsid w:val="0071210F"/>
    <w:rsid w:val="00713084"/>
    <w:rsid w:val="00714F20"/>
    <w:rsid w:val="0071590F"/>
    <w:rsid w:val="00715914"/>
    <w:rsid w:val="0072147A"/>
    <w:rsid w:val="00723791"/>
    <w:rsid w:val="00731668"/>
    <w:rsid w:val="00731E00"/>
    <w:rsid w:val="007440B7"/>
    <w:rsid w:val="007500C8"/>
    <w:rsid w:val="00756272"/>
    <w:rsid w:val="00762D38"/>
    <w:rsid w:val="00766E43"/>
    <w:rsid w:val="007715C9"/>
    <w:rsid w:val="00771613"/>
    <w:rsid w:val="00774EDD"/>
    <w:rsid w:val="007757EC"/>
    <w:rsid w:val="00783E89"/>
    <w:rsid w:val="007868F7"/>
    <w:rsid w:val="00793915"/>
    <w:rsid w:val="007A046D"/>
    <w:rsid w:val="007C2253"/>
    <w:rsid w:val="007C748B"/>
    <w:rsid w:val="007D7911"/>
    <w:rsid w:val="007D7DB1"/>
    <w:rsid w:val="007E163D"/>
    <w:rsid w:val="007E32A5"/>
    <w:rsid w:val="007E667A"/>
    <w:rsid w:val="007F16EC"/>
    <w:rsid w:val="007F28C9"/>
    <w:rsid w:val="007F51B2"/>
    <w:rsid w:val="007F528D"/>
    <w:rsid w:val="008021A9"/>
    <w:rsid w:val="008040DD"/>
    <w:rsid w:val="008117E9"/>
    <w:rsid w:val="00816955"/>
    <w:rsid w:val="00821F2D"/>
    <w:rsid w:val="00824498"/>
    <w:rsid w:val="00826BD1"/>
    <w:rsid w:val="00843B79"/>
    <w:rsid w:val="00844727"/>
    <w:rsid w:val="00854D0B"/>
    <w:rsid w:val="00856A31"/>
    <w:rsid w:val="00860B4E"/>
    <w:rsid w:val="008676F4"/>
    <w:rsid w:val="00867B37"/>
    <w:rsid w:val="0087517D"/>
    <w:rsid w:val="008754D0"/>
    <w:rsid w:val="00875D13"/>
    <w:rsid w:val="00880F79"/>
    <w:rsid w:val="008855C9"/>
    <w:rsid w:val="00886456"/>
    <w:rsid w:val="00894B6E"/>
    <w:rsid w:val="00896176"/>
    <w:rsid w:val="008A46E1"/>
    <w:rsid w:val="008A4F43"/>
    <w:rsid w:val="008B2706"/>
    <w:rsid w:val="008C180D"/>
    <w:rsid w:val="008C2EAC"/>
    <w:rsid w:val="008D0EE0"/>
    <w:rsid w:val="008E0027"/>
    <w:rsid w:val="008E6067"/>
    <w:rsid w:val="008F54E7"/>
    <w:rsid w:val="00903422"/>
    <w:rsid w:val="00905CFD"/>
    <w:rsid w:val="00910755"/>
    <w:rsid w:val="009254C3"/>
    <w:rsid w:val="00932377"/>
    <w:rsid w:val="00941236"/>
    <w:rsid w:val="00943FD5"/>
    <w:rsid w:val="009451DD"/>
    <w:rsid w:val="00946741"/>
    <w:rsid w:val="00947D5A"/>
    <w:rsid w:val="0095230B"/>
    <w:rsid w:val="009532A5"/>
    <w:rsid w:val="009545BD"/>
    <w:rsid w:val="00964CF0"/>
    <w:rsid w:val="00977806"/>
    <w:rsid w:val="00981F14"/>
    <w:rsid w:val="00982242"/>
    <w:rsid w:val="009857ED"/>
    <w:rsid w:val="009868E9"/>
    <w:rsid w:val="009900A3"/>
    <w:rsid w:val="009B5BBF"/>
    <w:rsid w:val="009C3413"/>
    <w:rsid w:val="009C4B96"/>
    <w:rsid w:val="009D22BF"/>
    <w:rsid w:val="009F2197"/>
    <w:rsid w:val="00A01D74"/>
    <w:rsid w:val="00A03EA0"/>
    <w:rsid w:val="00A0441E"/>
    <w:rsid w:val="00A07288"/>
    <w:rsid w:val="00A12128"/>
    <w:rsid w:val="00A22C98"/>
    <w:rsid w:val="00A231E2"/>
    <w:rsid w:val="00A24384"/>
    <w:rsid w:val="00A320FF"/>
    <w:rsid w:val="00A369E3"/>
    <w:rsid w:val="00A42B07"/>
    <w:rsid w:val="00A42F37"/>
    <w:rsid w:val="00A57600"/>
    <w:rsid w:val="00A64912"/>
    <w:rsid w:val="00A70A74"/>
    <w:rsid w:val="00A75FE9"/>
    <w:rsid w:val="00A8010D"/>
    <w:rsid w:val="00A92840"/>
    <w:rsid w:val="00A962B0"/>
    <w:rsid w:val="00AA15BA"/>
    <w:rsid w:val="00AA1DA3"/>
    <w:rsid w:val="00AA758A"/>
    <w:rsid w:val="00AB2303"/>
    <w:rsid w:val="00AB6AE4"/>
    <w:rsid w:val="00AC2E05"/>
    <w:rsid w:val="00AD3087"/>
    <w:rsid w:val="00AD53CC"/>
    <w:rsid w:val="00AD5641"/>
    <w:rsid w:val="00AE18C5"/>
    <w:rsid w:val="00AE3986"/>
    <w:rsid w:val="00AF06CF"/>
    <w:rsid w:val="00AF175E"/>
    <w:rsid w:val="00B06D8E"/>
    <w:rsid w:val="00B07CDB"/>
    <w:rsid w:val="00B13D4C"/>
    <w:rsid w:val="00B16A31"/>
    <w:rsid w:val="00B17DFD"/>
    <w:rsid w:val="00B24272"/>
    <w:rsid w:val="00B25306"/>
    <w:rsid w:val="00B27831"/>
    <w:rsid w:val="00B308FE"/>
    <w:rsid w:val="00B33709"/>
    <w:rsid w:val="00B33B3C"/>
    <w:rsid w:val="00B36392"/>
    <w:rsid w:val="00B418CB"/>
    <w:rsid w:val="00B47444"/>
    <w:rsid w:val="00B508A8"/>
    <w:rsid w:val="00B50ADC"/>
    <w:rsid w:val="00B566B1"/>
    <w:rsid w:val="00B576F8"/>
    <w:rsid w:val="00B5796B"/>
    <w:rsid w:val="00B6305D"/>
    <w:rsid w:val="00B63834"/>
    <w:rsid w:val="00B71DC7"/>
    <w:rsid w:val="00B80199"/>
    <w:rsid w:val="00B83204"/>
    <w:rsid w:val="00B856E7"/>
    <w:rsid w:val="00B976A5"/>
    <w:rsid w:val="00BA220B"/>
    <w:rsid w:val="00BA3A57"/>
    <w:rsid w:val="00BB1533"/>
    <w:rsid w:val="00BB4E1A"/>
    <w:rsid w:val="00BC015E"/>
    <w:rsid w:val="00BC76AC"/>
    <w:rsid w:val="00BD0ECB"/>
    <w:rsid w:val="00BD3AFB"/>
    <w:rsid w:val="00BE2155"/>
    <w:rsid w:val="00BE3C39"/>
    <w:rsid w:val="00BE719A"/>
    <w:rsid w:val="00BE720A"/>
    <w:rsid w:val="00BF0D73"/>
    <w:rsid w:val="00BF2465"/>
    <w:rsid w:val="00C01EEF"/>
    <w:rsid w:val="00C048BE"/>
    <w:rsid w:val="00C16619"/>
    <w:rsid w:val="00C25E7F"/>
    <w:rsid w:val="00C2746F"/>
    <w:rsid w:val="00C3123B"/>
    <w:rsid w:val="00C323D6"/>
    <w:rsid w:val="00C324A0"/>
    <w:rsid w:val="00C42BF8"/>
    <w:rsid w:val="00C44B17"/>
    <w:rsid w:val="00C50043"/>
    <w:rsid w:val="00C51503"/>
    <w:rsid w:val="00C71AE0"/>
    <w:rsid w:val="00C733B0"/>
    <w:rsid w:val="00C7573B"/>
    <w:rsid w:val="00C90972"/>
    <w:rsid w:val="00C97A54"/>
    <w:rsid w:val="00CA5B23"/>
    <w:rsid w:val="00CB602E"/>
    <w:rsid w:val="00CB7E90"/>
    <w:rsid w:val="00CC0422"/>
    <w:rsid w:val="00CC57D3"/>
    <w:rsid w:val="00CD01FA"/>
    <w:rsid w:val="00CE051D"/>
    <w:rsid w:val="00CE1335"/>
    <w:rsid w:val="00CE493D"/>
    <w:rsid w:val="00CF07FA"/>
    <w:rsid w:val="00CF0BB2"/>
    <w:rsid w:val="00CF3031"/>
    <w:rsid w:val="00CF3EE8"/>
    <w:rsid w:val="00D13441"/>
    <w:rsid w:val="00D150E7"/>
    <w:rsid w:val="00D31385"/>
    <w:rsid w:val="00D33AA1"/>
    <w:rsid w:val="00D40421"/>
    <w:rsid w:val="00D45DF6"/>
    <w:rsid w:val="00D46784"/>
    <w:rsid w:val="00D51755"/>
    <w:rsid w:val="00D52DC2"/>
    <w:rsid w:val="00D53BCC"/>
    <w:rsid w:val="00D54C9E"/>
    <w:rsid w:val="00D57AAD"/>
    <w:rsid w:val="00D609FF"/>
    <w:rsid w:val="00D62592"/>
    <w:rsid w:val="00D6537E"/>
    <w:rsid w:val="00D67426"/>
    <w:rsid w:val="00D70DFB"/>
    <w:rsid w:val="00D71D00"/>
    <w:rsid w:val="00D757B6"/>
    <w:rsid w:val="00D766DF"/>
    <w:rsid w:val="00D8206C"/>
    <w:rsid w:val="00D91F10"/>
    <w:rsid w:val="00D95882"/>
    <w:rsid w:val="00D97D33"/>
    <w:rsid w:val="00DA186E"/>
    <w:rsid w:val="00DA4116"/>
    <w:rsid w:val="00DB251C"/>
    <w:rsid w:val="00DB4630"/>
    <w:rsid w:val="00DC4F88"/>
    <w:rsid w:val="00DE107C"/>
    <w:rsid w:val="00DF2388"/>
    <w:rsid w:val="00DF4775"/>
    <w:rsid w:val="00E05704"/>
    <w:rsid w:val="00E338EF"/>
    <w:rsid w:val="00E41708"/>
    <w:rsid w:val="00E437EC"/>
    <w:rsid w:val="00E544BB"/>
    <w:rsid w:val="00E60E7F"/>
    <w:rsid w:val="00E62A16"/>
    <w:rsid w:val="00E74DC7"/>
    <w:rsid w:val="00E8075A"/>
    <w:rsid w:val="00E940D8"/>
    <w:rsid w:val="00E94828"/>
    <w:rsid w:val="00E94D5E"/>
    <w:rsid w:val="00E96CFF"/>
    <w:rsid w:val="00EA260A"/>
    <w:rsid w:val="00EA7100"/>
    <w:rsid w:val="00EA7F9F"/>
    <w:rsid w:val="00EB1274"/>
    <w:rsid w:val="00EC175E"/>
    <w:rsid w:val="00EC479E"/>
    <w:rsid w:val="00EC74DA"/>
    <w:rsid w:val="00ED2BB6"/>
    <w:rsid w:val="00ED34E1"/>
    <w:rsid w:val="00ED3AF4"/>
    <w:rsid w:val="00ED3B8D"/>
    <w:rsid w:val="00EE5E36"/>
    <w:rsid w:val="00EF2E3A"/>
    <w:rsid w:val="00F02695"/>
    <w:rsid w:val="00F02C7C"/>
    <w:rsid w:val="00F072A7"/>
    <w:rsid w:val="00F078DC"/>
    <w:rsid w:val="00F17DA3"/>
    <w:rsid w:val="00F24C25"/>
    <w:rsid w:val="00F32BA8"/>
    <w:rsid w:val="00F32EE0"/>
    <w:rsid w:val="00F349F1"/>
    <w:rsid w:val="00F4350D"/>
    <w:rsid w:val="00F479C4"/>
    <w:rsid w:val="00F47FE9"/>
    <w:rsid w:val="00F567F7"/>
    <w:rsid w:val="00F6696E"/>
    <w:rsid w:val="00F72709"/>
    <w:rsid w:val="00F73BD6"/>
    <w:rsid w:val="00F83989"/>
    <w:rsid w:val="00F85099"/>
    <w:rsid w:val="00F86C17"/>
    <w:rsid w:val="00F9379C"/>
    <w:rsid w:val="00F9632C"/>
    <w:rsid w:val="00FA1E52"/>
    <w:rsid w:val="00FA2151"/>
    <w:rsid w:val="00FB4363"/>
    <w:rsid w:val="00FB5A08"/>
    <w:rsid w:val="00FC6A80"/>
    <w:rsid w:val="00FE4688"/>
    <w:rsid w:val="00FE776E"/>
    <w:rsid w:val="00FF0FE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073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D2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4D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4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BCC6E8F-A1D7-43D3-B0EE-A8B0BD980C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B1DA76BF6C62D4982F70D6426DF47A4" ma:contentTypeVersion="" ma:contentTypeDescription="PDMS Document Site Content Type" ma:contentTypeScope="" ma:versionID="29bb3c36a5ae42110b6f63ffa1e419fb">
  <xsd:schema xmlns:xsd="http://www.w3.org/2001/XMLSchema" xmlns:xs="http://www.w3.org/2001/XMLSchema" xmlns:p="http://schemas.microsoft.com/office/2006/metadata/properties" xmlns:ns2="DBCC6E8F-A1D7-43D3-B0EE-A8B0BD980CF4" targetNamespace="http://schemas.microsoft.com/office/2006/metadata/properties" ma:root="true" ma:fieldsID="a3ecb7cef2ff544deb217c79192603d7" ns2:_="">
    <xsd:import namespace="DBCC6E8F-A1D7-43D3-B0EE-A8B0BD980C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6E8F-A1D7-43D3-B0EE-A8B0BD980C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DF293-FE6C-43AD-B3E2-B065274C3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9610B-DA64-46D4-BB9C-5917BCDF900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BCC6E8F-A1D7-43D3-B0EE-A8B0BD980CF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09509D-6284-4756-8167-05BCEA869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C6E8F-A1D7-43D3-B0EE-A8B0BD980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(Anti-Siphoning List) Instrument [Year]</vt:lpstr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(Anti-Siphoning List) Instrument [Year]</dc:title>
  <dc:creator/>
  <cp:lastModifiedBy/>
  <cp:revision>1</cp:revision>
  <dcterms:created xsi:type="dcterms:W3CDTF">2024-12-03T05:35:00Z</dcterms:created>
  <dcterms:modified xsi:type="dcterms:W3CDTF">2024-12-12T02:22:00Z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0x010100266966F133664895A6EE3632470D45F5007B1DA76BF6C62D4982F70D6426DF47A4</vt:lpwstr>
  </property>
</Properties>
</file>