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65F44" w14:textId="77777777" w:rsidR="00E00750" w:rsidRPr="00D24F72" w:rsidRDefault="00E00750" w:rsidP="00E00750">
      <w:pPr>
        <w:pStyle w:val="Title"/>
        <w:rPr>
          <w:color w:val="000000" w:themeColor="text1"/>
        </w:rPr>
      </w:pPr>
      <w:r w:rsidRPr="00D24F72">
        <w:rPr>
          <w:color w:val="000000" w:themeColor="text1"/>
        </w:rPr>
        <w:t xml:space="preserve">Explanatory Statement </w:t>
      </w:r>
    </w:p>
    <w:p w14:paraId="30D196C2" w14:textId="77777777" w:rsidR="00E00750" w:rsidRPr="00D24F72" w:rsidRDefault="00E00750" w:rsidP="00E00750">
      <w:pPr>
        <w:rPr>
          <w:color w:val="000000" w:themeColor="text1"/>
          <w:sz w:val="24"/>
        </w:rPr>
      </w:pPr>
    </w:p>
    <w:p w14:paraId="73916F68" w14:textId="77777777" w:rsidR="00E00750" w:rsidRPr="00D24F72" w:rsidRDefault="00D751F2" w:rsidP="004120B9">
      <w:pPr>
        <w:jc w:val="center"/>
        <w:rPr>
          <w:i/>
          <w:color w:val="000000" w:themeColor="text1"/>
          <w:sz w:val="24"/>
          <w:szCs w:val="24"/>
        </w:rPr>
      </w:pPr>
      <w:bookmarkStart w:id="0" w:name="_Toc113891895"/>
      <w:bookmarkStart w:id="1" w:name="_Toc113892419"/>
      <w:r w:rsidRPr="00D24F72">
        <w:rPr>
          <w:i/>
          <w:color w:val="000000" w:themeColor="text1"/>
          <w:sz w:val="24"/>
          <w:szCs w:val="24"/>
        </w:rPr>
        <w:t>Broadcasting Services Act 1992</w:t>
      </w:r>
      <w:bookmarkEnd w:id="0"/>
      <w:bookmarkEnd w:id="1"/>
    </w:p>
    <w:p w14:paraId="2D6BEE4E" w14:textId="77777777" w:rsidR="00E00750" w:rsidRPr="00D24F72" w:rsidRDefault="00E00750" w:rsidP="00E00750">
      <w:pPr>
        <w:rPr>
          <w:color w:val="000000" w:themeColor="text1"/>
        </w:rPr>
      </w:pPr>
    </w:p>
    <w:p w14:paraId="20A1F430" w14:textId="08FE3671" w:rsidR="00E00750" w:rsidRPr="00D24F72" w:rsidRDefault="00D50BAE" w:rsidP="00E00750">
      <w:pPr>
        <w:jc w:val="center"/>
        <w:rPr>
          <w:b/>
          <w:color w:val="000000" w:themeColor="text1"/>
          <w:sz w:val="28"/>
          <w:szCs w:val="28"/>
        </w:rPr>
      </w:pPr>
      <w:r>
        <w:rPr>
          <w:b/>
          <w:color w:val="000000" w:themeColor="text1"/>
          <w:sz w:val="28"/>
          <w:szCs w:val="28"/>
        </w:rPr>
        <w:t>Broadcasting Services (</w:t>
      </w:r>
      <w:r w:rsidR="005376E7">
        <w:rPr>
          <w:b/>
          <w:color w:val="000000" w:themeColor="text1"/>
          <w:sz w:val="28"/>
          <w:szCs w:val="28"/>
        </w:rPr>
        <w:t>Regulated Television Services) Determination</w:t>
      </w:r>
      <w:r>
        <w:rPr>
          <w:b/>
          <w:color w:val="000000" w:themeColor="text1"/>
          <w:sz w:val="28"/>
          <w:szCs w:val="28"/>
        </w:rPr>
        <w:t xml:space="preserve"> 2024</w:t>
      </w:r>
    </w:p>
    <w:p w14:paraId="43C41583" w14:textId="77777777" w:rsidR="007F6AB9" w:rsidRPr="00D24F72" w:rsidRDefault="007F6AB9" w:rsidP="007F6AB9">
      <w:pPr>
        <w:rPr>
          <w:color w:val="000000" w:themeColor="text1"/>
          <w:sz w:val="24"/>
        </w:rPr>
      </w:pPr>
    </w:p>
    <w:p w14:paraId="651EEB53" w14:textId="77777777" w:rsidR="007F6AB9" w:rsidRPr="00D24F72" w:rsidRDefault="007F6AB9" w:rsidP="007F6AB9">
      <w:pPr>
        <w:rPr>
          <w:color w:val="000000" w:themeColor="text1"/>
          <w:sz w:val="24"/>
        </w:rPr>
      </w:pPr>
    </w:p>
    <w:p w14:paraId="3ADF440A" w14:textId="587C2560" w:rsidR="00136308" w:rsidRPr="00D24F72" w:rsidRDefault="001C1979" w:rsidP="00136308">
      <w:pPr>
        <w:jc w:val="center"/>
        <w:rPr>
          <w:color w:val="000000" w:themeColor="text1"/>
          <w:sz w:val="24"/>
          <w:szCs w:val="24"/>
        </w:rPr>
      </w:pPr>
      <w:r w:rsidRPr="00D24F72">
        <w:rPr>
          <w:color w:val="000000" w:themeColor="text1"/>
          <w:sz w:val="24"/>
          <w:szCs w:val="24"/>
        </w:rPr>
        <w:t>Issued by the A</w:t>
      </w:r>
      <w:r w:rsidR="003D6754" w:rsidRPr="00D24F72">
        <w:rPr>
          <w:color w:val="000000" w:themeColor="text1"/>
          <w:sz w:val="24"/>
          <w:szCs w:val="24"/>
        </w:rPr>
        <w:t>uthority of the Minister for Commun</w:t>
      </w:r>
      <w:r w:rsidR="00BB5279" w:rsidRPr="00D24F72">
        <w:rPr>
          <w:color w:val="000000" w:themeColor="text1"/>
          <w:sz w:val="24"/>
          <w:szCs w:val="24"/>
        </w:rPr>
        <w:t>ications</w:t>
      </w:r>
    </w:p>
    <w:p w14:paraId="0535E798" w14:textId="77777777" w:rsidR="0034679C" w:rsidRPr="00D24F72" w:rsidRDefault="0034679C" w:rsidP="00E00750">
      <w:pPr>
        <w:rPr>
          <w:color w:val="000000" w:themeColor="text1"/>
          <w:sz w:val="24"/>
        </w:rPr>
      </w:pPr>
    </w:p>
    <w:p w14:paraId="594B40CD" w14:textId="77777777" w:rsidR="00E00750" w:rsidRPr="00D24F72" w:rsidRDefault="0014799A" w:rsidP="00E00750">
      <w:pPr>
        <w:rPr>
          <w:color w:val="000000" w:themeColor="text1"/>
          <w:sz w:val="24"/>
          <w:u w:val="single"/>
        </w:rPr>
      </w:pPr>
      <w:r w:rsidRPr="00D24F72">
        <w:rPr>
          <w:color w:val="000000" w:themeColor="text1"/>
          <w:sz w:val="24"/>
          <w:u w:val="single"/>
        </w:rPr>
        <w:t xml:space="preserve">Authority </w:t>
      </w:r>
    </w:p>
    <w:p w14:paraId="3701EEEF" w14:textId="77777777" w:rsidR="00E00750" w:rsidRPr="00D24F72" w:rsidRDefault="00E00750" w:rsidP="00E00750">
      <w:pPr>
        <w:rPr>
          <w:color w:val="000000" w:themeColor="text1"/>
          <w:sz w:val="24"/>
          <w:szCs w:val="24"/>
        </w:rPr>
      </w:pPr>
    </w:p>
    <w:p w14:paraId="60382755" w14:textId="4A3C42B4" w:rsidR="005914D6" w:rsidRDefault="36A87989" w:rsidP="36A87989">
      <w:pPr>
        <w:rPr>
          <w:color w:val="000000" w:themeColor="text1"/>
          <w:sz w:val="24"/>
          <w:szCs w:val="24"/>
        </w:rPr>
      </w:pPr>
      <w:bookmarkStart w:id="2" w:name="_Hlk129786456"/>
      <w:r w:rsidRPr="36A87989">
        <w:rPr>
          <w:color w:val="000000" w:themeColor="text1"/>
          <w:sz w:val="24"/>
          <w:szCs w:val="24"/>
        </w:rPr>
        <w:t xml:space="preserve">The </w:t>
      </w:r>
      <w:r w:rsidRPr="36A87989">
        <w:rPr>
          <w:i/>
          <w:iCs/>
          <w:color w:val="000000" w:themeColor="text1"/>
          <w:sz w:val="24"/>
          <w:szCs w:val="24"/>
        </w:rPr>
        <w:t>Broadcasting Services (</w:t>
      </w:r>
      <w:r w:rsidR="005376E7">
        <w:rPr>
          <w:i/>
          <w:iCs/>
          <w:color w:val="000000" w:themeColor="text1"/>
          <w:sz w:val="24"/>
          <w:szCs w:val="24"/>
        </w:rPr>
        <w:t>Regulated Television Services)</w:t>
      </w:r>
      <w:r w:rsidR="00F973EF">
        <w:rPr>
          <w:i/>
          <w:iCs/>
          <w:color w:val="000000" w:themeColor="text1"/>
          <w:sz w:val="24"/>
          <w:szCs w:val="24"/>
        </w:rPr>
        <w:t xml:space="preserve"> Determination</w:t>
      </w:r>
      <w:r w:rsidRPr="36A87989">
        <w:rPr>
          <w:i/>
          <w:iCs/>
          <w:color w:val="000000" w:themeColor="text1"/>
          <w:sz w:val="24"/>
          <w:szCs w:val="24"/>
        </w:rPr>
        <w:t xml:space="preserve"> 2024</w:t>
      </w:r>
      <w:r w:rsidRPr="36A87989">
        <w:rPr>
          <w:color w:val="000000" w:themeColor="text1"/>
          <w:sz w:val="24"/>
          <w:szCs w:val="24"/>
        </w:rPr>
        <w:t xml:space="preserve"> (</w:t>
      </w:r>
      <w:r w:rsidRPr="00915F02">
        <w:rPr>
          <w:color w:val="000000" w:themeColor="text1"/>
          <w:sz w:val="24"/>
          <w:szCs w:val="24"/>
        </w:rPr>
        <w:t xml:space="preserve">the </w:t>
      </w:r>
      <w:r w:rsidR="00F973EF">
        <w:rPr>
          <w:color w:val="000000" w:themeColor="text1"/>
          <w:sz w:val="24"/>
          <w:szCs w:val="24"/>
        </w:rPr>
        <w:t>Determination</w:t>
      </w:r>
      <w:r w:rsidRPr="00915F02">
        <w:rPr>
          <w:color w:val="000000" w:themeColor="text1"/>
          <w:sz w:val="24"/>
          <w:szCs w:val="24"/>
        </w:rPr>
        <w:t xml:space="preserve">) is made by the Minister for Communications (the Minister) under </w:t>
      </w:r>
      <w:r w:rsidR="00915F02" w:rsidRPr="00915F02">
        <w:rPr>
          <w:color w:val="000000" w:themeColor="text1"/>
          <w:sz w:val="24"/>
          <w:szCs w:val="24"/>
        </w:rPr>
        <w:t>sub</w:t>
      </w:r>
      <w:r w:rsidRPr="00915F02">
        <w:rPr>
          <w:color w:val="000000" w:themeColor="text1"/>
          <w:sz w:val="24"/>
          <w:szCs w:val="24"/>
        </w:rPr>
        <w:t>s</w:t>
      </w:r>
      <w:r w:rsidR="001934A6" w:rsidRPr="00915F02">
        <w:rPr>
          <w:color w:val="000000" w:themeColor="text1"/>
          <w:sz w:val="24"/>
          <w:szCs w:val="24"/>
        </w:rPr>
        <w:t>ection 130</w:t>
      </w:r>
      <w:proofErr w:type="gramStart"/>
      <w:r w:rsidR="001934A6" w:rsidRPr="00915F02">
        <w:rPr>
          <w:color w:val="000000" w:themeColor="text1"/>
          <w:sz w:val="24"/>
          <w:szCs w:val="24"/>
        </w:rPr>
        <w:t>ZZ</w:t>
      </w:r>
      <w:r w:rsidR="00915F02" w:rsidRPr="00915F02">
        <w:rPr>
          <w:color w:val="000000" w:themeColor="text1"/>
          <w:sz w:val="24"/>
          <w:szCs w:val="24"/>
        </w:rPr>
        <w:t>J(</w:t>
      </w:r>
      <w:proofErr w:type="gramEnd"/>
      <w:r w:rsidR="00915F02" w:rsidRPr="00915F02">
        <w:rPr>
          <w:color w:val="000000" w:themeColor="text1"/>
          <w:sz w:val="24"/>
          <w:szCs w:val="24"/>
        </w:rPr>
        <w:t xml:space="preserve">2) </w:t>
      </w:r>
      <w:r w:rsidRPr="00915F02">
        <w:rPr>
          <w:color w:val="000000" w:themeColor="text1"/>
          <w:sz w:val="24"/>
          <w:szCs w:val="24"/>
        </w:rPr>
        <w:t xml:space="preserve">of the </w:t>
      </w:r>
      <w:r w:rsidRPr="00915F02">
        <w:rPr>
          <w:i/>
          <w:iCs/>
          <w:color w:val="000000" w:themeColor="text1"/>
          <w:sz w:val="24"/>
          <w:szCs w:val="24"/>
        </w:rPr>
        <w:t>Broadcasting Services Act 1992</w:t>
      </w:r>
      <w:r w:rsidRPr="00915F02">
        <w:rPr>
          <w:color w:val="000000" w:themeColor="text1"/>
          <w:sz w:val="24"/>
          <w:szCs w:val="24"/>
        </w:rPr>
        <w:t xml:space="preserve"> (the </w:t>
      </w:r>
      <w:r w:rsidR="00924050">
        <w:rPr>
          <w:color w:val="000000" w:themeColor="text1"/>
          <w:sz w:val="24"/>
          <w:szCs w:val="24"/>
        </w:rPr>
        <w:t>Act</w:t>
      </w:r>
      <w:r w:rsidRPr="00915F02">
        <w:rPr>
          <w:color w:val="000000" w:themeColor="text1"/>
          <w:sz w:val="24"/>
          <w:szCs w:val="24"/>
        </w:rPr>
        <w:t>).</w:t>
      </w:r>
      <w:r w:rsidRPr="36A87989">
        <w:rPr>
          <w:color w:val="000000" w:themeColor="text1"/>
          <w:sz w:val="24"/>
          <w:szCs w:val="24"/>
        </w:rPr>
        <w:t xml:space="preserve">  </w:t>
      </w:r>
    </w:p>
    <w:p w14:paraId="6549BFEB" w14:textId="77777777" w:rsidR="00E00750" w:rsidRPr="00D24F72" w:rsidRDefault="00E00750" w:rsidP="00E00750">
      <w:pPr>
        <w:rPr>
          <w:color w:val="000000" w:themeColor="text1"/>
          <w:sz w:val="24"/>
          <w:szCs w:val="24"/>
        </w:rPr>
      </w:pPr>
    </w:p>
    <w:p w14:paraId="5954849E" w14:textId="77777777" w:rsidR="0014799A" w:rsidRPr="00D24F72" w:rsidRDefault="0014799A" w:rsidP="001318EF">
      <w:pPr>
        <w:rPr>
          <w:color w:val="000000" w:themeColor="text1"/>
          <w:sz w:val="24"/>
          <w:szCs w:val="24"/>
          <w:u w:val="single"/>
        </w:rPr>
      </w:pPr>
      <w:r w:rsidRPr="00D24F72">
        <w:rPr>
          <w:color w:val="000000" w:themeColor="text1"/>
          <w:sz w:val="24"/>
          <w:szCs w:val="24"/>
          <w:u w:val="single"/>
        </w:rPr>
        <w:t xml:space="preserve">Purpose </w:t>
      </w:r>
    </w:p>
    <w:p w14:paraId="2E7E5B84" w14:textId="77777777" w:rsidR="00C2387F" w:rsidRDefault="00C2387F" w:rsidP="00C2387F">
      <w:pPr>
        <w:shd w:val="clear" w:color="auto" w:fill="FFFFFF"/>
        <w:rPr>
          <w:color w:val="000000"/>
          <w:sz w:val="24"/>
          <w:szCs w:val="24"/>
        </w:rPr>
      </w:pPr>
    </w:p>
    <w:p w14:paraId="09B39F54" w14:textId="50028080" w:rsidR="00E05E44" w:rsidRDefault="00A66093" w:rsidP="00A66093">
      <w:pPr>
        <w:rPr>
          <w:color w:val="000000" w:themeColor="text1"/>
          <w:sz w:val="24"/>
          <w:szCs w:val="24"/>
        </w:rPr>
      </w:pPr>
      <w:bookmarkStart w:id="3" w:name="_Hlk129789014"/>
      <w:r w:rsidRPr="0052557C">
        <w:rPr>
          <w:color w:val="000000" w:themeColor="text1"/>
          <w:sz w:val="24"/>
          <w:szCs w:val="24"/>
        </w:rPr>
        <w:t xml:space="preserve">The prominence framework, legislated </w:t>
      </w:r>
      <w:r w:rsidR="00BB4BA4">
        <w:rPr>
          <w:color w:val="000000" w:themeColor="text1"/>
          <w:sz w:val="24"/>
          <w:szCs w:val="24"/>
        </w:rPr>
        <w:t xml:space="preserve">in Part 9E of </w:t>
      </w:r>
      <w:r w:rsidR="00924050">
        <w:rPr>
          <w:color w:val="000000" w:themeColor="text1"/>
          <w:sz w:val="24"/>
          <w:szCs w:val="24"/>
        </w:rPr>
        <w:t>the Act,</w:t>
      </w:r>
      <w:r w:rsidRPr="0052557C">
        <w:rPr>
          <w:color w:val="000000" w:themeColor="text1"/>
          <w:sz w:val="24"/>
          <w:szCs w:val="24"/>
        </w:rPr>
        <w:t xml:space="preserve"> supports the availability of </w:t>
      </w:r>
      <w:r w:rsidR="006B0550">
        <w:rPr>
          <w:color w:val="000000" w:themeColor="text1"/>
          <w:sz w:val="24"/>
          <w:szCs w:val="24"/>
        </w:rPr>
        <w:t xml:space="preserve">local </w:t>
      </w:r>
      <w:r w:rsidRPr="0052557C">
        <w:rPr>
          <w:color w:val="000000" w:themeColor="text1"/>
          <w:sz w:val="24"/>
          <w:szCs w:val="24"/>
        </w:rPr>
        <w:t xml:space="preserve">free-to-air </w:t>
      </w:r>
      <w:r w:rsidR="0005364F">
        <w:rPr>
          <w:color w:val="000000" w:themeColor="text1"/>
          <w:sz w:val="24"/>
          <w:szCs w:val="24"/>
        </w:rPr>
        <w:t>television</w:t>
      </w:r>
      <w:r w:rsidRPr="0052557C">
        <w:rPr>
          <w:color w:val="000000" w:themeColor="text1"/>
          <w:sz w:val="24"/>
          <w:szCs w:val="24"/>
        </w:rPr>
        <w:t xml:space="preserve"> services (‘regulated television services’)</w:t>
      </w:r>
      <w:r w:rsidR="00BB4BA4">
        <w:rPr>
          <w:color w:val="000000" w:themeColor="text1"/>
          <w:sz w:val="24"/>
          <w:szCs w:val="24"/>
        </w:rPr>
        <w:t xml:space="preserve">, by regulating their </w:t>
      </w:r>
      <w:r w:rsidR="00540FC8">
        <w:rPr>
          <w:color w:val="000000" w:themeColor="text1"/>
          <w:sz w:val="24"/>
          <w:szCs w:val="24"/>
        </w:rPr>
        <w:t xml:space="preserve">accessibility and display </w:t>
      </w:r>
      <w:r w:rsidRPr="0052557C">
        <w:rPr>
          <w:color w:val="000000" w:themeColor="text1"/>
          <w:sz w:val="24"/>
          <w:szCs w:val="24"/>
        </w:rPr>
        <w:t xml:space="preserve">on ‘regulated television devices’ (those that are primarily used to provide </w:t>
      </w:r>
      <w:r w:rsidR="0005364F">
        <w:rPr>
          <w:color w:val="000000" w:themeColor="text1"/>
          <w:sz w:val="24"/>
          <w:szCs w:val="24"/>
        </w:rPr>
        <w:t>television</w:t>
      </w:r>
      <w:r w:rsidRPr="0052557C">
        <w:rPr>
          <w:color w:val="000000" w:themeColor="text1"/>
          <w:sz w:val="24"/>
          <w:szCs w:val="24"/>
        </w:rPr>
        <w:t xml:space="preserve"> or </w:t>
      </w:r>
      <w:r w:rsidR="0005364F">
        <w:rPr>
          <w:color w:val="000000" w:themeColor="text1"/>
          <w:sz w:val="24"/>
          <w:szCs w:val="24"/>
        </w:rPr>
        <w:t>television</w:t>
      </w:r>
      <w:r w:rsidRPr="0052557C">
        <w:rPr>
          <w:color w:val="000000" w:themeColor="text1"/>
          <w:sz w:val="24"/>
          <w:szCs w:val="24"/>
        </w:rPr>
        <w:t xml:space="preserve">-like content). </w:t>
      </w:r>
    </w:p>
    <w:p w14:paraId="11D0E4DC" w14:textId="77777777" w:rsidR="00E05E44" w:rsidRDefault="00E05E44" w:rsidP="00A66093">
      <w:pPr>
        <w:rPr>
          <w:color w:val="000000" w:themeColor="text1"/>
          <w:sz w:val="24"/>
          <w:szCs w:val="24"/>
        </w:rPr>
      </w:pPr>
    </w:p>
    <w:p w14:paraId="561CCC50" w14:textId="325F6B66" w:rsidR="00D57BB4" w:rsidRDefault="00540FC8" w:rsidP="00A66093">
      <w:pPr>
        <w:rPr>
          <w:color w:val="000000" w:themeColor="text1"/>
          <w:sz w:val="24"/>
          <w:szCs w:val="24"/>
        </w:rPr>
      </w:pPr>
      <w:r w:rsidRPr="0052557C">
        <w:rPr>
          <w:color w:val="000000" w:themeColor="text1"/>
          <w:sz w:val="24"/>
          <w:szCs w:val="24"/>
        </w:rPr>
        <w:t>Subsection 130</w:t>
      </w:r>
      <w:proofErr w:type="gramStart"/>
      <w:r w:rsidRPr="0052557C">
        <w:rPr>
          <w:color w:val="000000" w:themeColor="text1"/>
          <w:sz w:val="24"/>
          <w:szCs w:val="24"/>
        </w:rPr>
        <w:t>ZZJ(</w:t>
      </w:r>
      <w:proofErr w:type="gramEnd"/>
      <w:r>
        <w:rPr>
          <w:color w:val="000000" w:themeColor="text1"/>
          <w:sz w:val="24"/>
          <w:szCs w:val="24"/>
        </w:rPr>
        <w:t>1</w:t>
      </w:r>
      <w:r w:rsidRPr="0052557C">
        <w:rPr>
          <w:color w:val="000000" w:themeColor="text1"/>
          <w:sz w:val="24"/>
          <w:szCs w:val="24"/>
        </w:rPr>
        <w:t xml:space="preserve">) of the </w:t>
      </w:r>
      <w:r>
        <w:rPr>
          <w:color w:val="000000" w:themeColor="text1"/>
          <w:sz w:val="24"/>
          <w:szCs w:val="24"/>
        </w:rPr>
        <w:t xml:space="preserve">Act </w:t>
      </w:r>
      <w:r w:rsidR="00537D6A">
        <w:rPr>
          <w:color w:val="000000" w:themeColor="text1"/>
          <w:sz w:val="24"/>
          <w:szCs w:val="24"/>
        </w:rPr>
        <w:t xml:space="preserve">establishes </w:t>
      </w:r>
      <w:r>
        <w:rPr>
          <w:color w:val="000000" w:themeColor="text1"/>
          <w:sz w:val="24"/>
          <w:szCs w:val="24"/>
        </w:rPr>
        <w:t>what is a ‘regulated television service’ for the purpose</w:t>
      </w:r>
      <w:r w:rsidR="00090CDA">
        <w:rPr>
          <w:color w:val="000000" w:themeColor="text1"/>
          <w:sz w:val="24"/>
          <w:szCs w:val="24"/>
        </w:rPr>
        <w:t>s</w:t>
      </w:r>
      <w:r>
        <w:rPr>
          <w:color w:val="000000" w:themeColor="text1"/>
          <w:sz w:val="24"/>
          <w:szCs w:val="24"/>
        </w:rPr>
        <w:t xml:space="preserve"> of the framework – this is, </w:t>
      </w:r>
      <w:r w:rsidR="00090CDA">
        <w:rPr>
          <w:color w:val="000000" w:themeColor="text1"/>
          <w:sz w:val="24"/>
          <w:szCs w:val="24"/>
        </w:rPr>
        <w:t>the</w:t>
      </w:r>
      <w:r>
        <w:rPr>
          <w:color w:val="000000" w:themeColor="text1"/>
          <w:sz w:val="24"/>
          <w:szCs w:val="24"/>
        </w:rPr>
        <w:t xml:space="preserve"> services to be afforded prominence. </w:t>
      </w:r>
      <w:r w:rsidR="00AE6B40">
        <w:rPr>
          <w:color w:val="000000" w:themeColor="text1"/>
          <w:sz w:val="24"/>
          <w:szCs w:val="24"/>
        </w:rPr>
        <w:t xml:space="preserve">Further, paragraph 130ZZJ(1)(c) of the Act provides that </w:t>
      </w:r>
      <w:r w:rsidR="00AE6B40" w:rsidRPr="00AE341F">
        <w:rPr>
          <w:color w:val="000000" w:themeColor="text1"/>
          <w:sz w:val="24"/>
          <w:szCs w:val="24"/>
        </w:rPr>
        <w:t xml:space="preserve">a specified service that the Minister determines, under subsection </w:t>
      </w:r>
      <w:r w:rsidR="00E05E44">
        <w:rPr>
          <w:color w:val="000000" w:themeColor="text1"/>
          <w:sz w:val="24"/>
          <w:szCs w:val="24"/>
        </w:rPr>
        <w:t>130</w:t>
      </w:r>
      <w:proofErr w:type="gramStart"/>
      <w:r w:rsidR="00E05E44">
        <w:rPr>
          <w:color w:val="000000" w:themeColor="text1"/>
          <w:sz w:val="24"/>
          <w:szCs w:val="24"/>
        </w:rPr>
        <w:t>ZZJ</w:t>
      </w:r>
      <w:r w:rsidR="00AE6B40" w:rsidRPr="00AE341F">
        <w:rPr>
          <w:color w:val="000000" w:themeColor="text1"/>
          <w:sz w:val="24"/>
          <w:szCs w:val="24"/>
        </w:rPr>
        <w:t>(</w:t>
      </w:r>
      <w:proofErr w:type="gramEnd"/>
      <w:r w:rsidR="00AE6B40" w:rsidRPr="00AE341F">
        <w:rPr>
          <w:color w:val="000000" w:themeColor="text1"/>
          <w:sz w:val="24"/>
          <w:szCs w:val="24"/>
        </w:rPr>
        <w:t>2), is a regulated television service</w:t>
      </w:r>
      <w:r w:rsidR="00AE6B40">
        <w:rPr>
          <w:color w:val="000000" w:themeColor="text1"/>
          <w:sz w:val="24"/>
          <w:szCs w:val="24"/>
        </w:rPr>
        <w:t>.</w:t>
      </w:r>
      <w:r w:rsidR="00E05E44">
        <w:rPr>
          <w:color w:val="000000" w:themeColor="text1"/>
          <w:sz w:val="24"/>
          <w:szCs w:val="24"/>
        </w:rPr>
        <w:t xml:space="preserve"> </w:t>
      </w:r>
      <w:r w:rsidR="00A66093" w:rsidRPr="0052557C">
        <w:rPr>
          <w:color w:val="000000" w:themeColor="text1"/>
          <w:sz w:val="24"/>
          <w:szCs w:val="24"/>
        </w:rPr>
        <w:t>Subsection 130</w:t>
      </w:r>
      <w:proofErr w:type="gramStart"/>
      <w:r w:rsidR="00A66093" w:rsidRPr="0052557C">
        <w:rPr>
          <w:color w:val="000000" w:themeColor="text1"/>
          <w:sz w:val="24"/>
          <w:szCs w:val="24"/>
        </w:rPr>
        <w:t>ZZJ(</w:t>
      </w:r>
      <w:proofErr w:type="gramEnd"/>
      <w:r w:rsidR="00A66093" w:rsidRPr="0052557C">
        <w:rPr>
          <w:color w:val="000000" w:themeColor="text1"/>
          <w:sz w:val="24"/>
          <w:szCs w:val="24"/>
        </w:rPr>
        <w:t xml:space="preserve">2) of the </w:t>
      </w:r>
      <w:r w:rsidR="00924050">
        <w:rPr>
          <w:color w:val="000000" w:themeColor="text1"/>
          <w:sz w:val="24"/>
          <w:szCs w:val="24"/>
        </w:rPr>
        <w:t xml:space="preserve">Act </w:t>
      </w:r>
      <w:r w:rsidR="00A66093" w:rsidRPr="0052557C">
        <w:rPr>
          <w:color w:val="000000" w:themeColor="text1"/>
          <w:sz w:val="24"/>
          <w:szCs w:val="24"/>
        </w:rPr>
        <w:t xml:space="preserve">provides the </w:t>
      </w:r>
      <w:r w:rsidR="00E05E44">
        <w:rPr>
          <w:color w:val="000000" w:themeColor="text1"/>
          <w:sz w:val="24"/>
          <w:szCs w:val="24"/>
        </w:rPr>
        <w:t xml:space="preserve">any such determination is </w:t>
      </w:r>
      <w:r w:rsidR="008C21E7">
        <w:rPr>
          <w:color w:val="000000" w:themeColor="text1"/>
          <w:sz w:val="24"/>
          <w:szCs w:val="24"/>
        </w:rPr>
        <w:t xml:space="preserve">made by </w:t>
      </w:r>
      <w:r w:rsidR="00E05E44">
        <w:rPr>
          <w:color w:val="000000" w:themeColor="text1"/>
          <w:sz w:val="24"/>
          <w:szCs w:val="24"/>
        </w:rPr>
        <w:t xml:space="preserve">a </w:t>
      </w:r>
      <w:r w:rsidR="00AE6B40">
        <w:rPr>
          <w:color w:val="000000" w:themeColor="text1"/>
          <w:sz w:val="24"/>
          <w:szCs w:val="24"/>
        </w:rPr>
        <w:t>legislative instrument.</w:t>
      </w:r>
    </w:p>
    <w:p w14:paraId="38BF42D4" w14:textId="77777777" w:rsidR="00AE6B40" w:rsidRDefault="00AE6B40" w:rsidP="00AE341F">
      <w:pPr>
        <w:rPr>
          <w:color w:val="000000" w:themeColor="text1"/>
          <w:sz w:val="24"/>
          <w:szCs w:val="24"/>
        </w:rPr>
      </w:pPr>
    </w:p>
    <w:p w14:paraId="4CE2AA01" w14:textId="220B613E" w:rsidR="003A5E60" w:rsidRDefault="003A5E60" w:rsidP="00A66093">
      <w:pPr>
        <w:rPr>
          <w:color w:val="000000" w:themeColor="text1"/>
          <w:sz w:val="24"/>
          <w:szCs w:val="24"/>
        </w:rPr>
      </w:pPr>
      <w:r w:rsidRPr="003A5E60">
        <w:rPr>
          <w:color w:val="000000" w:themeColor="text1"/>
          <w:sz w:val="24"/>
          <w:szCs w:val="24"/>
        </w:rPr>
        <w:t xml:space="preserve">The designation </w:t>
      </w:r>
      <w:r>
        <w:rPr>
          <w:color w:val="000000" w:themeColor="text1"/>
          <w:sz w:val="24"/>
          <w:szCs w:val="24"/>
        </w:rPr>
        <w:t xml:space="preserve">of services in </w:t>
      </w:r>
      <w:r w:rsidR="009F1199">
        <w:rPr>
          <w:color w:val="000000" w:themeColor="text1"/>
          <w:sz w:val="24"/>
          <w:szCs w:val="24"/>
        </w:rPr>
        <w:t xml:space="preserve">the </w:t>
      </w:r>
      <w:r w:rsidR="00AE6B40">
        <w:rPr>
          <w:color w:val="000000" w:themeColor="text1"/>
          <w:sz w:val="24"/>
          <w:szCs w:val="24"/>
        </w:rPr>
        <w:t>Determination</w:t>
      </w:r>
      <w:r w:rsidR="00EF7F84">
        <w:rPr>
          <w:color w:val="000000" w:themeColor="text1"/>
          <w:sz w:val="24"/>
          <w:szCs w:val="24"/>
        </w:rPr>
        <w:t xml:space="preserve"> </w:t>
      </w:r>
      <w:r w:rsidRPr="003A5E60">
        <w:rPr>
          <w:color w:val="000000" w:themeColor="text1"/>
          <w:sz w:val="24"/>
          <w:szCs w:val="24"/>
        </w:rPr>
        <w:t>require</w:t>
      </w:r>
      <w:r w:rsidR="00EF7F84">
        <w:rPr>
          <w:color w:val="000000" w:themeColor="text1"/>
          <w:sz w:val="24"/>
          <w:szCs w:val="24"/>
        </w:rPr>
        <w:t>s</w:t>
      </w:r>
      <w:r w:rsidRPr="003A5E60">
        <w:rPr>
          <w:color w:val="000000" w:themeColor="text1"/>
          <w:sz w:val="24"/>
          <w:szCs w:val="24"/>
        </w:rPr>
        <w:t xml:space="preserve"> the manufacturers of regulated television devices to ensure that the relevant requirements of the prominence framework</w:t>
      </w:r>
      <w:r w:rsidR="00BB4BA4">
        <w:rPr>
          <w:color w:val="000000" w:themeColor="text1"/>
          <w:sz w:val="24"/>
          <w:szCs w:val="24"/>
        </w:rPr>
        <w:t xml:space="preserve"> are complied with</w:t>
      </w:r>
      <w:r w:rsidRPr="003A5E60">
        <w:rPr>
          <w:color w:val="000000" w:themeColor="text1"/>
          <w:sz w:val="24"/>
          <w:szCs w:val="24"/>
        </w:rPr>
        <w:t xml:space="preserve"> in relation to</w:t>
      </w:r>
      <w:r w:rsidR="00BB4BA4">
        <w:rPr>
          <w:color w:val="000000" w:themeColor="text1"/>
          <w:sz w:val="24"/>
          <w:szCs w:val="24"/>
        </w:rPr>
        <w:t xml:space="preserve"> the service.</w:t>
      </w:r>
    </w:p>
    <w:p w14:paraId="644377B8" w14:textId="77777777" w:rsidR="00D57BB4" w:rsidRPr="0052557C" w:rsidRDefault="00D57BB4" w:rsidP="0052557C">
      <w:pPr>
        <w:rPr>
          <w:color w:val="000000" w:themeColor="text1"/>
          <w:sz w:val="24"/>
          <w:szCs w:val="24"/>
        </w:rPr>
      </w:pPr>
    </w:p>
    <w:p w14:paraId="6CF3DDF8" w14:textId="6B5F3476" w:rsidR="00E00750" w:rsidRDefault="00E00750" w:rsidP="00E00750">
      <w:pPr>
        <w:rPr>
          <w:color w:val="000000" w:themeColor="text1"/>
          <w:sz w:val="24"/>
          <w:szCs w:val="24"/>
          <w:u w:val="single"/>
        </w:rPr>
      </w:pPr>
      <w:r w:rsidRPr="00156A60">
        <w:rPr>
          <w:color w:val="000000" w:themeColor="text1"/>
          <w:sz w:val="24"/>
          <w:szCs w:val="24"/>
          <w:u w:val="single"/>
        </w:rPr>
        <w:t>Background</w:t>
      </w:r>
    </w:p>
    <w:p w14:paraId="0C90EB2D" w14:textId="77777777" w:rsidR="00E05E44" w:rsidRDefault="00E05E44" w:rsidP="00C45E53">
      <w:pPr>
        <w:rPr>
          <w:color w:val="000000" w:themeColor="text1"/>
          <w:sz w:val="24"/>
          <w:szCs w:val="24"/>
        </w:rPr>
      </w:pPr>
    </w:p>
    <w:p w14:paraId="374AA2F0" w14:textId="19AA00F1" w:rsidR="00C45E53" w:rsidRDefault="002148C6" w:rsidP="00C45E53">
      <w:pPr>
        <w:rPr>
          <w:color w:val="000000" w:themeColor="text1"/>
          <w:sz w:val="24"/>
          <w:szCs w:val="24"/>
        </w:rPr>
      </w:pPr>
      <w:r w:rsidRPr="002148C6">
        <w:rPr>
          <w:color w:val="000000" w:themeColor="text1"/>
          <w:sz w:val="24"/>
          <w:szCs w:val="24"/>
        </w:rPr>
        <w:t xml:space="preserve">The prominence framework for </w:t>
      </w:r>
      <w:r w:rsidR="003300D7">
        <w:rPr>
          <w:color w:val="000000" w:themeColor="text1"/>
          <w:sz w:val="24"/>
          <w:szCs w:val="24"/>
        </w:rPr>
        <w:t>internet</w:t>
      </w:r>
      <w:r w:rsidR="00006812">
        <w:rPr>
          <w:color w:val="000000" w:themeColor="text1"/>
          <w:sz w:val="24"/>
          <w:szCs w:val="24"/>
        </w:rPr>
        <w:t>-</w:t>
      </w:r>
      <w:r w:rsidRPr="002148C6">
        <w:rPr>
          <w:color w:val="000000" w:themeColor="text1"/>
          <w:sz w:val="24"/>
          <w:szCs w:val="24"/>
        </w:rPr>
        <w:t xml:space="preserve">connected television devices was legislated as part of the </w:t>
      </w:r>
      <w:r w:rsidRPr="00434FD9">
        <w:rPr>
          <w:i/>
          <w:color w:val="000000" w:themeColor="text1"/>
          <w:sz w:val="24"/>
          <w:szCs w:val="24"/>
        </w:rPr>
        <w:t>Communications Legislation Amendment (Prominence and Anti-siphoning) Act 2024</w:t>
      </w:r>
      <w:r w:rsidR="00FA03B1">
        <w:rPr>
          <w:i/>
          <w:color w:val="000000" w:themeColor="text1"/>
          <w:sz w:val="24"/>
          <w:szCs w:val="24"/>
        </w:rPr>
        <w:t xml:space="preserve"> </w:t>
      </w:r>
      <w:r w:rsidR="00FA03B1">
        <w:rPr>
          <w:color w:val="000000" w:themeColor="text1"/>
          <w:sz w:val="24"/>
          <w:szCs w:val="24"/>
        </w:rPr>
        <w:t>(the CLA Act)</w:t>
      </w:r>
      <w:r w:rsidRPr="002148C6">
        <w:rPr>
          <w:color w:val="000000" w:themeColor="text1"/>
          <w:sz w:val="24"/>
          <w:szCs w:val="24"/>
        </w:rPr>
        <w:t xml:space="preserve">, giving effect to the Government’s 2022 election commitment to implement such a framework. The </w:t>
      </w:r>
      <w:r w:rsidR="00540FC8">
        <w:rPr>
          <w:color w:val="000000" w:themeColor="text1"/>
          <w:sz w:val="24"/>
          <w:szCs w:val="24"/>
        </w:rPr>
        <w:t xml:space="preserve">Act provides </w:t>
      </w:r>
      <w:r w:rsidR="00C45E53">
        <w:rPr>
          <w:color w:val="000000" w:themeColor="text1"/>
          <w:sz w:val="24"/>
          <w:szCs w:val="24"/>
        </w:rPr>
        <w:t xml:space="preserve">that </w:t>
      </w:r>
      <w:r w:rsidR="00C45E53" w:rsidRPr="00C45E53">
        <w:rPr>
          <w:color w:val="000000" w:themeColor="text1"/>
          <w:sz w:val="24"/>
          <w:szCs w:val="24"/>
        </w:rPr>
        <w:t xml:space="preserve">the </w:t>
      </w:r>
      <w:r w:rsidR="00C45E53">
        <w:rPr>
          <w:color w:val="000000" w:themeColor="text1"/>
          <w:sz w:val="24"/>
          <w:szCs w:val="24"/>
        </w:rPr>
        <w:t>following services are ‘regulated television services’ for the purpose of the framework:</w:t>
      </w:r>
    </w:p>
    <w:p w14:paraId="04BCFB28" w14:textId="77777777" w:rsidR="00E05E44" w:rsidRDefault="00E05E44" w:rsidP="0017246E">
      <w:pPr>
        <w:pStyle w:val="ListParagraph"/>
        <w:ind w:left="360"/>
        <w:rPr>
          <w:color w:val="000000" w:themeColor="text1"/>
          <w:sz w:val="24"/>
          <w:szCs w:val="24"/>
        </w:rPr>
      </w:pPr>
    </w:p>
    <w:p w14:paraId="63B51F0D" w14:textId="6C60D833" w:rsidR="00C45E53" w:rsidRPr="00C45E53" w:rsidRDefault="00C45E53" w:rsidP="00C45E53">
      <w:pPr>
        <w:pStyle w:val="ListParagraph"/>
        <w:numPr>
          <w:ilvl w:val="0"/>
          <w:numId w:val="42"/>
        </w:numPr>
        <w:rPr>
          <w:color w:val="000000" w:themeColor="text1"/>
          <w:sz w:val="24"/>
          <w:szCs w:val="24"/>
        </w:rPr>
      </w:pPr>
      <w:r w:rsidRPr="00C45E53">
        <w:rPr>
          <w:color w:val="000000" w:themeColor="text1"/>
          <w:sz w:val="24"/>
          <w:szCs w:val="24"/>
        </w:rPr>
        <w:t>linear television broadcasting services provided by:</w:t>
      </w:r>
      <w:r w:rsidR="0059167A">
        <w:rPr>
          <w:color w:val="000000" w:themeColor="text1"/>
          <w:sz w:val="24"/>
          <w:szCs w:val="24"/>
        </w:rPr>
        <w:t xml:space="preserve"> </w:t>
      </w:r>
      <w:r w:rsidRPr="00C45E53">
        <w:rPr>
          <w:color w:val="000000" w:themeColor="text1"/>
          <w:sz w:val="24"/>
          <w:szCs w:val="24"/>
        </w:rPr>
        <w:t>national broadcasters</w:t>
      </w:r>
      <w:r w:rsidR="0059167A">
        <w:rPr>
          <w:color w:val="000000" w:themeColor="text1"/>
          <w:sz w:val="24"/>
          <w:szCs w:val="24"/>
        </w:rPr>
        <w:t xml:space="preserve">; </w:t>
      </w:r>
      <w:r w:rsidRPr="00C45E53">
        <w:rPr>
          <w:color w:val="000000" w:themeColor="text1"/>
          <w:sz w:val="24"/>
          <w:szCs w:val="24"/>
        </w:rPr>
        <w:t xml:space="preserve">commercial television broadcasting licensees (other than a licensee who holds a licence allocated under section 38C or subsection 40(1) of the </w:t>
      </w:r>
      <w:r w:rsidR="00FA03B1">
        <w:rPr>
          <w:color w:val="000000" w:themeColor="text1"/>
          <w:sz w:val="24"/>
          <w:szCs w:val="24"/>
        </w:rPr>
        <w:t>Act</w:t>
      </w:r>
      <w:r w:rsidRPr="00C45E53">
        <w:rPr>
          <w:color w:val="000000" w:themeColor="text1"/>
          <w:sz w:val="24"/>
          <w:szCs w:val="24"/>
        </w:rPr>
        <w:t>)</w:t>
      </w:r>
      <w:r w:rsidR="0059167A">
        <w:rPr>
          <w:color w:val="000000" w:themeColor="text1"/>
          <w:sz w:val="24"/>
          <w:szCs w:val="24"/>
        </w:rPr>
        <w:t xml:space="preserve">; </w:t>
      </w:r>
      <w:r w:rsidRPr="00C45E53">
        <w:rPr>
          <w:color w:val="000000" w:themeColor="text1"/>
          <w:sz w:val="24"/>
          <w:szCs w:val="24"/>
        </w:rPr>
        <w:t>and community television broadcasting licensees</w:t>
      </w:r>
      <w:r w:rsidR="00006812">
        <w:rPr>
          <w:color w:val="000000" w:themeColor="text1"/>
          <w:sz w:val="24"/>
          <w:szCs w:val="24"/>
        </w:rPr>
        <w:t>.</w:t>
      </w:r>
    </w:p>
    <w:p w14:paraId="382DAFD5" w14:textId="77777777" w:rsidR="00E05E44" w:rsidRDefault="00E05E44" w:rsidP="0017246E">
      <w:pPr>
        <w:pStyle w:val="ListParagraph"/>
        <w:ind w:left="360"/>
        <w:rPr>
          <w:color w:val="000000" w:themeColor="text1"/>
          <w:sz w:val="24"/>
          <w:szCs w:val="24"/>
        </w:rPr>
      </w:pPr>
    </w:p>
    <w:p w14:paraId="38294964" w14:textId="2AA7F3D5" w:rsidR="003A3B4E" w:rsidRDefault="00C45E53" w:rsidP="003A3B4E">
      <w:pPr>
        <w:pStyle w:val="ListParagraph"/>
        <w:numPr>
          <w:ilvl w:val="0"/>
          <w:numId w:val="42"/>
        </w:numPr>
        <w:rPr>
          <w:color w:val="000000" w:themeColor="text1"/>
          <w:sz w:val="24"/>
          <w:szCs w:val="24"/>
        </w:rPr>
      </w:pPr>
      <w:r w:rsidRPr="00C45E53">
        <w:rPr>
          <w:color w:val="000000" w:themeColor="text1"/>
          <w:sz w:val="24"/>
          <w:szCs w:val="24"/>
        </w:rPr>
        <w:t>BVOD services provided by</w:t>
      </w:r>
      <w:r w:rsidR="0059167A">
        <w:rPr>
          <w:color w:val="000000" w:themeColor="text1"/>
          <w:sz w:val="24"/>
          <w:szCs w:val="24"/>
        </w:rPr>
        <w:t>:</w:t>
      </w:r>
      <w:r w:rsidRPr="00C45E53">
        <w:rPr>
          <w:color w:val="000000" w:themeColor="text1"/>
          <w:sz w:val="24"/>
          <w:szCs w:val="24"/>
        </w:rPr>
        <w:t xml:space="preserve"> national broadcasters</w:t>
      </w:r>
      <w:r w:rsidR="0059167A">
        <w:rPr>
          <w:color w:val="000000" w:themeColor="text1"/>
          <w:sz w:val="24"/>
          <w:szCs w:val="24"/>
        </w:rPr>
        <w:t xml:space="preserve">; </w:t>
      </w:r>
      <w:r w:rsidRPr="00C45E53">
        <w:rPr>
          <w:color w:val="000000" w:themeColor="text1"/>
          <w:sz w:val="24"/>
          <w:szCs w:val="24"/>
        </w:rPr>
        <w:t>and commercial television broadcasting licensees and their related body corporates (other than section 38C or subsection 40(1) licensees)</w:t>
      </w:r>
      <w:r>
        <w:rPr>
          <w:color w:val="000000" w:themeColor="text1"/>
          <w:sz w:val="24"/>
          <w:szCs w:val="24"/>
        </w:rPr>
        <w:t>.</w:t>
      </w:r>
    </w:p>
    <w:p w14:paraId="2A328615" w14:textId="0AF850CE" w:rsidR="002148C6" w:rsidRPr="002148C6" w:rsidRDefault="002148C6" w:rsidP="0017246E">
      <w:pPr>
        <w:pStyle w:val="ListParagraph"/>
      </w:pPr>
    </w:p>
    <w:bookmarkEnd w:id="2"/>
    <w:p w14:paraId="30D6D5F1" w14:textId="77777777" w:rsidR="00C45E53" w:rsidRDefault="00C45E53">
      <w:pPr>
        <w:pStyle w:val="ListParagraph"/>
      </w:pPr>
    </w:p>
    <w:p w14:paraId="2AA69528" w14:textId="637DDE70" w:rsidR="00687058" w:rsidRDefault="0059167A" w:rsidP="00C45E53">
      <w:pPr>
        <w:pStyle w:val="ListParagraph"/>
        <w:ind w:left="0"/>
        <w:rPr>
          <w:color w:val="000000" w:themeColor="text1"/>
          <w:sz w:val="24"/>
          <w:szCs w:val="24"/>
        </w:rPr>
      </w:pPr>
      <w:r>
        <w:rPr>
          <w:color w:val="000000" w:themeColor="text1"/>
          <w:sz w:val="24"/>
          <w:szCs w:val="24"/>
        </w:rPr>
        <w:t xml:space="preserve">The Act </w:t>
      </w:r>
      <w:r w:rsidR="00687058">
        <w:rPr>
          <w:color w:val="000000" w:themeColor="text1"/>
          <w:sz w:val="24"/>
          <w:szCs w:val="24"/>
        </w:rPr>
        <w:t xml:space="preserve">also </w:t>
      </w:r>
      <w:r>
        <w:rPr>
          <w:color w:val="000000" w:themeColor="text1"/>
          <w:sz w:val="24"/>
          <w:szCs w:val="24"/>
        </w:rPr>
        <w:t xml:space="preserve">provides </w:t>
      </w:r>
      <w:r w:rsidR="00687058">
        <w:rPr>
          <w:color w:val="000000" w:themeColor="text1"/>
          <w:sz w:val="24"/>
          <w:szCs w:val="24"/>
        </w:rPr>
        <w:t xml:space="preserve">that the </w:t>
      </w:r>
      <w:r w:rsidR="00C45E53" w:rsidRPr="00C45E53">
        <w:rPr>
          <w:color w:val="000000" w:themeColor="text1"/>
          <w:sz w:val="24"/>
          <w:szCs w:val="24"/>
        </w:rPr>
        <w:t>Minister</w:t>
      </w:r>
      <w:r w:rsidR="00687058">
        <w:rPr>
          <w:color w:val="000000" w:themeColor="text1"/>
          <w:sz w:val="24"/>
          <w:szCs w:val="24"/>
        </w:rPr>
        <w:t xml:space="preserve"> may, by legislative instrument, </w:t>
      </w:r>
      <w:r w:rsidR="00C45E53" w:rsidRPr="00C45E53">
        <w:rPr>
          <w:color w:val="000000" w:themeColor="text1"/>
          <w:sz w:val="24"/>
          <w:szCs w:val="24"/>
        </w:rPr>
        <w:t>determin</w:t>
      </w:r>
      <w:r w:rsidR="00687058">
        <w:rPr>
          <w:color w:val="000000" w:themeColor="text1"/>
          <w:sz w:val="24"/>
          <w:szCs w:val="24"/>
        </w:rPr>
        <w:t>e that a specified service is a regulated television service (subsection 130</w:t>
      </w:r>
      <w:proofErr w:type="gramStart"/>
      <w:r w:rsidR="00687058">
        <w:rPr>
          <w:color w:val="000000" w:themeColor="text1"/>
          <w:sz w:val="24"/>
          <w:szCs w:val="24"/>
        </w:rPr>
        <w:t>ZZJ(</w:t>
      </w:r>
      <w:proofErr w:type="gramEnd"/>
      <w:r w:rsidR="00687058">
        <w:rPr>
          <w:color w:val="000000" w:themeColor="text1"/>
          <w:sz w:val="24"/>
          <w:szCs w:val="24"/>
        </w:rPr>
        <w:t xml:space="preserve">2)), or that a specified service is not a regulated television service (subsection 130ZZJ(3)). </w:t>
      </w:r>
    </w:p>
    <w:p w14:paraId="60CCA350" w14:textId="77777777" w:rsidR="00687058" w:rsidRDefault="00687058" w:rsidP="00C45E53">
      <w:pPr>
        <w:pStyle w:val="ListParagraph"/>
        <w:ind w:left="0"/>
        <w:rPr>
          <w:color w:val="000000" w:themeColor="text1"/>
          <w:sz w:val="24"/>
          <w:szCs w:val="24"/>
        </w:rPr>
      </w:pPr>
    </w:p>
    <w:p w14:paraId="1D0E0714" w14:textId="0474FBE2" w:rsidR="00E46DFB" w:rsidRDefault="00707E9B" w:rsidP="00C45E53">
      <w:pPr>
        <w:pStyle w:val="ListParagraph"/>
        <w:ind w:left="0"/>
        <w:rPr>
          <w:color w:val="000000" w:themeColor="text1"/>
          <w:sz w:val="24"/>
          <w:szCs w:val="24"/>
        </w:rPr>
      </w:pPr>
      <w:r>
        <w:rPr>
          <w:color w:val="000000" w:themeColor="text1"/>
          <w:sz w:val="24"/>
          <w:szCs w:val="24"/>
        </w:rPr>
        <w:t>In</w:t>
      </w:r>
      <w:r w:rsidR="003A3B4E" w:rsidRPr="003A3B4E">
        <w:rPr>
          <w:color w:val="000000" w:themeColor="text1"/>
          <w:sz w:val="24"/>
          <w:szCs w:val="24"/>
        </w:rPr>
        <w:t xml:space="preserve"> relation to the Ministerial power to determine a service to be a regulated television service, </w:t>
      </w:r>
      <w:r>
        <w:rPr>
          <w:color w:val="000000" w:themeColor="text1"/>
          <w:sz w:val="24"/>
          <w:szCs w:val="24"/>
        </w:rPr>
        <w:t xml:space="preserve">the </w:t>
      </w:r>
      <w:r>
        <w:rPr>
          <w:sz w:val="24"/>
        </w:rPr>
        <w:t xml:space="preserve">Explanatory Memorandum to the </w:t>
      </w:r>
      <w:r w:rsidRPr="003B1E34">
        <w:rPr>
          <w:i/>
          <w:sz w:val="24"/>
        </w:rPr>
        <w:t xml:space="preserve">Communications Legislation Amendment (Prominence and Anti-siphoning) </w:t>
      </w:r>
      <w:r>
        <w:rPr>
          <w:i/>
          <w:sz w:val="24"/>
        </w:rPr>
        <w:t xml:space="preserve">Bill </w:t>
      </w:r>
      <w:r w:rsidRPr="00707E9B">
        <w:rPr>
          <w:sz w:val="24"/>
        </w:rPr>
        <w:t>2024</w:t>
      </w:r>
      <w:r>
        <w:rPr>
          <w:sz w:val="24"/>
        </w:rPr>
        <w:t xml:space="preserve">, </w:t>
      </w:r>
      <w:r w:rsidR="003A3B4E" w:rsidRPr="00707E9B">
        <w:rPr>
          <w:color w:val="000000" w:themeColor="text1"/>
          <w:sz w:val="24"/>
          <w:szCs w:val="24"/>
        </w:rPr>
        <w:t>specifically</w:t>
      </w:r>
      <w:r w:rsidR="003A3B4E" w:rsidRPr="003A3B4E">
        <w:rPr>
          <w:color w:val="000000" w:themeColor="text1"/>
          <w:sz w:val="24"/>
          <w:szCs w:val="24"/>
        </w:rPr>
        <w:t xml:space="preserve"> notes </w:t>
      </w:r>
      <w:r w:rsidR="003A3B4E">
        <w:rPr>
          <w:color w:val="000000" w:themeColor="text1"/>
          <w:sz w:val="24"/>
          <w:szCs w:val="24"/>
        </w:rPr>
        <w:t xml:space="preserve">a </w:t>
      </w:r>
      <w:r w:rsidR="003A3B4E" w:rsidRPr="003A3B4E">
        <w:rPr>
          <w:color w:val="000000" w:themeColor="text1"/>
          <w:sz w:val="24"/>
          <w:szCs w:val="24"/>
        </w:rPr>
        <w:t xml:space="preserve">licensing </w:t>
      </w:r>
      <w:r w:rsidR="00E46DFB">
        <w:rPr>
          <w:color w:val="000000" w:themeColor="text1"/>
          <w:sz w:val="24"/>
          <w:szCs w:val="24"/>
        </w:rPr>
        <w:t>anomaly</w:t>
      </w:r>
      <w:r w:rsidR="003A3B4E" w:rsidRPr="003A3B4E">
        <w:rPr>
          <w:color w:val="000000" w:themeColor="text1"/>
          <w:sz w:val="24"/>
          <w:szCs w:val="24"/>
        </w:rPr>
        <w:t xml:space="preserve"> with </w:t>
      </w:r>
      <w:r w:rsidR="003A3B4E">
        <w:rPr>
          <w:color w:val="000000" w:themeColor="text1"/>
          <w:sz w:val="24"/>
          <w:szCs w:val="24"/>
        </w:rPr>
        <w:t>the terrestrially</w:t>
      </w:r>
      <w:r w:rsidR="00E46DFB">
        <w:rPr>
          <w:color w:val="000000" w:themeColor="text1"/>
          <w:sz w:val="24"/>
          <w:szCs w:val="24"/>
        </w:rPr>
        <w:t>-</w:t>
      </w:r>
      <w:r w:rsidR="003A3B4E">
        <w:rPr>
          <w:color w:val="000000" w:themeColor="text1"/>
          <w:sz w:val="24"/>
          <w:szCs w:val="24"/>
        </w:rPr>
        <w:t xml:space="preserve">delivered free-to-air </w:t>
      </w:r>
      <w:r w:rsidR="00E46DFB">
        <w:rPr>
          <w:color w:val="000000" w:themeColor="text1"/>
          <w:sz w:val="24"/>
          <w:szCs w:val="24"/>
        </w:rPr>
        <w:t xml:space="preserve">community television broadcasting </w:t>
      </w:r>
      <w:r w:rsidR="003A3B4E">
        <w:rPr>
          <w:color w:val="000000" w:themeColor="text1"/>
          <w:sz w:val="24"/>
          <w:szCs w:val="24"/>
        </w:rPr>
        <w:t>service, Channel 44 Adelaide (</w:t>
      </w:r>
      <w:r w:rsidR="003A3B4E" w:rsidRPr="003A3B4E">
        <w:rPr>
          <w:color w:val="000000" w:themeColor="text1"/>
          <w:sz w:val="24"/>
          <w:szCs w:val="24"/>
        </w:rPr>
        <w:t>C44</w:t>
      </w:r>
      <w:r w:rsidR="003A3B4E">
        <w:rPr>
          <w:color w:val="000000" w:themeColor="text1"/>
          <w:sz w:val="24"/>
          <w:szCs w:val="24"/>
        </w:rPr>
        <w:t>)</w:t>
      </w:r>
      <w:r w:rsidR="00E46DFB">
        <w:rPr>
          <w:color w:val="000000" w:themeColor="text1"/>
          <w:sz w:val="24"/>
          <w:szCs w:val="24"/>
        </w:rPr>
        <w:t xml:space="preserve">. </w:t>
      </w:r>
    </w:p>
    <w:p w14:paraId="066EB09B" w14:textId="77777777" w:rsidR="00E05E44" w:rsidRDefault="00E05E44" w:rsidP="0017246E">
      <w:pPr>
        <w:pStyle w:val="ListParagraph"/>
        <w:ind w:left="0"/>
        <w:rPr>
          <w:sz w:val="24"/>
          <w:szCs w:val="24"/>
        </w:rPr>
      </w:pPr>
    </w:p>
    <w:p w14:paraId="2288601E" w14:textId="2FBEDE69" w:rsidR="00E46DFB" w:rsidRDefault="003A3B4E" w:rsidP="00E46DFB">
      <w:pPr>
        <w:pStyle w:val="ListParagraph"/>
        <w:ind w:right="662"/>
        <w:rPr>
          <w:sz w:val="24"/>
          <w:szCs w:val="24"/>
        </w:rPr>
      </w:pPr>
      <w:r w:rsidRPr="0017246E">
        <w:rPr>
          <w:sz w:val="24"/>
          <w:szCs w:val="24"/>
        </w:rPr>
        <w:t>“It would also be open to the Minister to make a determination under subsection 130</w:t>
      </w:r>
      <w:proofErr w:type="gramStart"/>
      <w:r w:rsidRPr="0017246E">
        <w:rPr>
          <w:sz w:val="24"/>
          <w:szCs w:val="24"/>
        </w:rPr>
        <w:t>ZZJ(</w:t>
      </w:r>
      <w:proofErr w:type="gramEnd"/>
      <w:r w:rsidRPr="0017246E">
        <w:rPr>
          <w:sz w:val="24"/>
          <w:szCs w:val="24"/>
        </w:rPr>
        <w:t>2) to provide that the linear television broadcasting service provided by Adelaide’s Channel 44, which operates as an open narrowcasting television service, is a regulated television service for the purposes of the prominence framework.”</w:t>
      </w:r>
    </w:p>
    <w:p w14:paraId="48672F65" w14:textId="63D7938D" w:rsidR="00E46DFB" w:rsidRDefault="00E46DFB" w:rsidP="00E46DFB">
      <w:pPr>
        <w:ind w:right="662"/>
        <w:rPr>
          <w:sz w:val="24"/>
          <w:szCs w:val="24"/>
        </w:rPr>
      </w:pPr>
    </w:p>
    <w:p w14:paraId="593511C7" w14:textId="77777777" w:rsidR="001A1ED0" w:rsidRPr="00534DF3" w:rsidRDefault="001A1ED0" w:rsidP="001C0BCA">
      <w:pPr>
        <w:rPr>
          <w:bCs/>
          <w:color w:val="000000" w:themeColor="text1"/>
          <w:sz w:val="24"/>
          <w:szCs w:val="24"/>
          <w:u w:val="single"/>
        </w:rPr>
      </w:pPr>
      <w:r w:rsidRPr="00534DF3">
        <w:rPr>
          <w:color w:val="000000" w:themeColor="text1"/>
          <w:sz w:val="24"/>
          <w:szCs w:val="24"/>
          <w:u w:val="single"/>
        </w:rPr>
        <w:t>Consultation</w:t>
      </w:r>
    </w:p>
    <w:p w14:paraId="620770A3" w14:textId="77777777" w:rsidR="00E05E44" w:rsidRDefault="00E05E44" w:rsidP="00DC27E4">
      <w:pPr>
        <w:ind w:right="91"/>
        <w:rPr>
          <w:color w:val="000000" w:themeColor="text1"/>
          <w:sz w:val="24"/>
          <w:szCs w:val="24"/>
        </w:rPr>
      </w:pPr>
    </w:p>
    <w:p w14:paraId="0A099C4B" w14:textId="59E4F492" w:rsidR="00DC27E4" w:rsidRPr="00DC27E4" w:rsidRDefault="00DC27E4" w:rsidP="00DC27E4">
      <w:pPr>
        <w:ind w:right="91"/>
        <w:rPr>
          <w:color w:val="000000" w:themeColor="text1"/>
          <w:sz w:val="24"/>
          <w:szCs w:val="24"/>
        </w:rPr>
      </w:pPr>
      <w:r w:rsidRPr="00DC27E4">
        <w:rPr>
          <w:color w:val="000000" w:themeColor="text1"/>
          <w:sz w:val="24"/>
          <w:szCs w:val="24"/>
        </w:rPr>
        <w:t xml:space="preserve">Extensive consultation was undertaken to support the design of the framework and the passage of the </w:t>
      </w:r>
      <w:r w:rsidR="00FA03B1">
        <w:rPr>
          <w:color w:val="000000" w:themeColor="text1"/>
          <w:sz w:val="24"/>
          <w:szCs w:val="24"/>
        </w:rPr>
        <w:t xml:space="preserve">CLA </w:t>
      </w:r>
      <w:r w:rsidR="00800FE6">
        <w:rPr>
          <w:color w:val="000000" w:themeColor="text1"/>
          <w:sz w:val="24"/>
          <w:szCs w:val="24"/>
        </w:rPr>
        <w:t xml:space="preserve">Act </w:t>
      </w:r>
      <w:r w:rsidRPr="00DC27E4">
        <w:rPr>
          <w:color w:val="000000" w:themeColor="text1"/>
          <w:sz w:val="24"/>
          <w:szCs w:val="24"/>
        </w:rPr>
        <w:t xml:space="preserve">containing the prominence framework. The prominence framework as legislated incorporates and has been informed by the feedback and views put forward through these consultation processes. </w:t>
      </w:r>
    </w:p>
    <w:p w14:paraId="27B04AD0" w14:textId="77777777" w:rsidR="00BA74F2" w:rsidRPr="00D4671F" w:rsidRDefault="00BA74F2" w:rsidP="0017246E">
      <w:pPr>
        <w:rPr>
          <w:shd w:val="clear" w:color="auto" w:fill="FFFFFF"/>
        </w:rPr>
      </w:pPr>
    </w:p>
    <w:p w14:paraId="63D6A23F" w14:textId="77777777" w:rsidR="008D1DB0" w:rsidRPr="00203CB7" w:rsidRDefault="002374A8" w:rsidP="001C0BCA">
      <w:pPr>
        <w:rPr>
          <w:color w:val="000000" w:themeColor="text1"/>
          <w:sz w:val="24"/>
          <w:szCs w:val="24"/>
          <w:u w:val="single"/>
        </w:rPr>
      </w:pPr>
      <w:r w:rsidRPr="00203CB7">
        <w:rPr>
          <w:color w:val="000000" w:themeColor="text1"/>
          <w:sz w:val="24"/>
          <w:szCs w:val="24"/>
          <w:u w:val="single"/>
        </w:rPr>
        <w:t xml:space="preserve">Regulatory </w:t>
      </w:r>
      <w:r w:rsidR="00EB6FBD" w:rsidRPr="00203CB7">
        <w:rPr>
          <w:color w:val="000000" w:themeColor="text1"/>
          <w:sz w:val="24"/>
          <w:szCs w:val="24"/>
          <w:u w:val="single"/>
        </w:rPr>
        <w:t>impact analysis</w:t>
      </w:r>
    </w:p>
    <w:p w14:paraId="3C1B4492" w14:textId="3132DA97" w:rsidR="001C0BCA" w:rsidRDefault="001C0BCA" w:rsidP="001C0BCA">
      <w:pPr>
        <w:ind w:right="91"/>
        <w:rPr>
          <w:color w:val="000000" w:themeColor="text1"/>
          <w:sz w:val="24"/>
          <w:szCs w:val="24"/>
        </w:rPr>
      </w:pPr>
      <w:bookmarkStart w:id="4" w:name="_Hlk129775427"/>
    </w:p>
    <w:p w14:paraId="06F8A235" w14:textId="7C8E04D4" w:rsidR="00BA74F2" w:rsidRPr="00203CB7" w:rsidRDefault="00A909E7" w:rsidP="001C0BCA">
      <w:pPr>
        <w:ind w:right="91"/>
        <w:rPr>
          <w:color w:val="000000" w:themeColor="text1"/>
          <w:sz w:val="24"/>
          <w:szCs w:val="24"/>
        </w:rPr>
      </w:pPr>
      <w:r w:rsidRPr="00A909E7">
        <w:rPr>
          <w:color w:val="000000" w:themeColor="text1"/>
          <w:sz w:val="24"/>
          <w:szCs w:val="24"/>
        </w:rPr>
        <w:t>The O</w:t>
      </w:r>
      <w:r w:rsidR="0061759E">
        <w:rPr>
          <w:color w:val="000000" w:themeColor="text1"/>
          <w:sz w:val="24"/>
          <w:szCs w:val="24"/>
        </w:rPr>
        <w:t xml:space="preserve">ffice of </w:t>
      </w:r>
      <w:r w:rsidRPr="00A909E7">
        <w:rPr>
          <w:color w:val="000000" w:themeColor="text1"/>
          <w:sz w:val="24"/>
          <w:szCs w:val="24"/>
        </w:rPr>
        <w:t>I</w:t>
      </w:r>
      <w:r w:rsidR="0061759E">
        <w:rPr>
          <w:color w:val="000000" w:themeColor="text1"/>
          <w:sz w:val="24"/>
          <w:szCs w:val="24"/>
        </w:rPr>
        <w:t xml:space="preserve">mpact </w:t>
      </w:r>
      <w:r w:rsidRPr="00A909E7">
        <w:rPr>
          <w:color w:val="000000" w:themeColor="text1"/>
          <w:sz w:val="24"/>
          <w:szCs w:val="24"/>
        </w:rPr>
        <w:t>A</w:t>
      </w:r>
      <w:r w:rsidR="0061759E">
        <w:rPr>
          <w:color w:val="000000" w:themeColor="text1"/>
          <w:sz w:val="24"/>
          <w:szCs w:val="24"/>
        </w:rPr>
        <w:t>nalysis (OIA)</w:t>
      </w:r>
      <w:r w:rsidRPr="00A909E7">
        <w:rPr>
          <w:color w:val="000000" w:themeColor="text1"/>
          <w:sz w:val="24"/>
          <w:szCs w:val="24"/>
        </w:rPr>
        <w:t xml:space="preserve"> </w:t>
      </w:r>
      <w:r w:rsidR="00E46DFB">
        <w:rPr>
          <w:color w:val="000000" w:themeColor="text1"/>
          <w:sz w:val="24"/>
          <w:szCs w:val="24"/>
        </w:rPr>
        <w:t xml:space="preserve">has </w:t>
      </w:r>
      <w:r w:rsidRPr="00A909E7">
        <w:rPr>
          <w:color w:val="000000" w:themeColor="text1"/>
          <w:sz w:val="24"/>
          <w:szCs w:val="24"/>
        </w:rPr>
        <w:t xml:space="preserve">determined that a detailed impact analysis </w:t>
      </w:r>
      <w:r w:rsidR="00E46DFB">
        <w:rPr>
          <w:color w:val="000000" w:themeColor="text1"/>
          <w:sz w:val="24"/>
          <w:szCs w:val="24"/>
        </w:rPr>
        <w:t>is</w:t>
      </w:r>
      <w:r w:rsidRPr="00A909E7">
        <w:rPr>
          <w:color w:val="000000" w:themeColor="text1"/>
          <w:sz w:val="24"/>
          <w:szCs w:val="24"/>
        </w:rPr>
        <w:t xml:space="preserve"> not required</w:t>
      </w:r>
      <w:r w:rsidR="00E46DFB">
        <w:rPr>
          <w:color w:val="000000" w:themeColor="text1"/>
          <w:sz w:val="24"/>
          <w:szCs w:val="24"/>
        </w:rPr>
        <w:t xml:space="preserve"> for the making of this instrument</w:t>
      </w:r>
      <w:r w:rsidRPr="00A909E7">
        <w:rPr>
          <w:color w:val="000000" w:themeColor="text1"/>
          <w:sz w:val="24"/>
          <w:szCs w:val="24"/>
        </w:rPr>
        <w:t xml:space="preserve">. </w:t>
      </w:r>
      <w:r w:rsidR="00C45E53" w:rsidRPr="00A909E7">
        <w:rPr>
          <w:color w:val="000000" w:themeColor="text1"/>
          <w:sz w:val="24"/>
          <w:szCs w:val="24"/>
        </w:rPr>
        <w:t>The OIA reference number is OIA24-08643.</w:t>
      </w:r>
    </w:p>
    <w:bookmarkEnd w:id="4"/>
    <w:p w14:paraId="2CED8072" w14:textId="77777777" w:rsidR="00103BD9" w:rsidRPr="00B549FE" w:rsidRDefault="00103BD9" w:rsidP="008D1DB0">
      <w:pPr>
        <w:rPr>
          <w:color w:val="000000" w:themeColor="text1"/>
          <w:sz w:val="24"/>
          <w:szCs w:val="24"/>
        </w:rPr>
      </w:pPr>
    </w:p>
    <w:p w14:paraId="2E65698F" w14:textId="77777777" w:rsidR="002131AC" w:rsidRPr="00203CB7" w:rsidRDefault="002131AC" w:rsidP="007F201A">
      <w:pPr>
        <w:keepNext/>
        <w:rPr>
          <w:bCs/>
          <w:color w:val="000000" w:themeColor="text1"/>
          <w:sz w:val="24"/>
          <w:szCs w:val="24"/>
          <w:u w:val="single"/>
        </w:rPr>
      </w:pPr>
      <w:bookmarkStart w:id="5" w:name="_GoBack"/>
      <w:bookmarkEnd w:id="5"/>
      <w:r w:rsidRPr="00203CB7">
        <w:rPr>
          <w:bCs/>
          <w:color w:val="000000" w:themeColor="text1"/>
          <w:sz w:val="24"/>
          <w:szCs w:val="24"/>
          <w:u w:val="single"/>
        </w:rPr>
        <w:t>Statement of compatibility with human rights</w:t>
      </w:r>
    </w:p>
    <w:p w14:paraId="038F6C1E" w14:textId="77777777" w:rsidR="008D1DB0" w:rsidRPr="00203CB7" w:rsidRDefault="008D1DB0" w:rsidP="001C0BCA">
      <w:pPr>
        <w:ind w:right="91"/>
        <w:rPr>
          <w:color w:val="000000" w:themeColor="text1"/>
          <w:sz w:val="24"/>
          <w:szCs w:val="24"/>
        </w:rPr>
      </w:pPr>
    </w:p>
    <w:p w14:paraId="30337438" w14:textId="77777777" w:rsidR="002131AC" w:rsidRPr="00156A60" w:rsidRDefault="00B562E2" w:rsidP="007F201A">
      <w:pPr>
        <w:keepNext/>
        <w:rPr>
          <w:color w:val="000000" w:themeColor="text1"/>
          <w:sz w:val="24"/>
          <w:szCs w:val="24"/>
        </w:rPr>
      </w:pPr>
      <w:r w:rsidRPr="00203CB7">
        <w:rPr>
          <w:color w:val="000000" w:themeColor="text1"/>
          <w:sz w:val="24"/>
          <w:szCs w:val="24"/>
        </w:rPr>
        <w:t xml:space="preserve">A statement of compatibility with human rights for the purposes of Part 3 of the </w:t>
      </w:r>
      <w:r w:rsidRPr="00203CB7">
        <w:rPr>
          <w:i/>
          <w:color w:val="000000" w:themeColor="text1"/>
          <w:sz w:val="24"/>
          <w:szCs w:val="24"/>
        </w:rPr>
        <w:t>Human Rights (Parliamentary Scrutiny) Act 2011</w:t>
      </w:r>
      <w:r w:rsidRPr="00203CB7">
        <w:rPr>
          <w:color w:val="000000" w:themeColor="text1"/>
          <w:sz w:val="24"/>
          <w:szCs w:val="24"/>
        </w:rPr>
        <w:t xml:space="preserve"> is set out in </w:t>
      </w:r>
      <w:r w:rsidRPr="00203CB7">
        <w:rPr>
          <w:b/>
          <w:color w:val="000000" w:themeColor="text1"/>
          <w:sz w:val="24"/>
          <w:szCs w:val="24"/>
          <w:u w:val="single"/>
        </w:rPr>
        <w:t xml:space="preserve">Attachment </w:t>
      </w:r>
      <w:r w:rsidR="00D46917" w:rsidRPr="00203CB7">
        <w:rPr>
          <w:b/>
          <w:color w:val="000000" w:themeColor="text1"/>
          <w:sz w:val="24"/>
          <w:szCs w:val="24"/>
          <w:u w:val="single"/>
        </w:rPr>
        <w:t>B</w:t>
      </w:r>
      <w:r w:rsidRPr="00203CB7">
        <w:rPr>
          <w:color w:val="000000" w:themeColor="text1"/>
          <w:sz w:val="24"/>
          <w:szCs w:val="24"/>
        </w:rPr>
        <w:t>.</w:t>
      </w:r>
    </w:p>
    <w:bookmarkEnd w:id="3"/>
    <w:p w14:paraId="131E93E7" w14:textId="33F5369F" w:rsidR="00D56985" w:rsidRPr="00B549FE" w:rsidRDefault="00A909E7">
      <w:pPr>
        <w:spacing w:after="200" w:line="276" w:lineRule="auto"/>
        <w:rPr>
          <w:color w:val="000000" w:themeColor="text1"/>
          <w:sz w:val="24"/>
          <w:szCs w:val="24"/>
        </w:rPr>
        <w:sectPr w:rsidR="00D56985" w:rsidRPr="00B549FE" w:rsidSect="00675482">
          <w:headerReference w:type="even" r:id="rId12"/>
          <w:headerReference w:type="default" r:id="rId13"/>
          <w:footerReference w:type="even" r:id="rId14"/>
          <w:footerReference w:type="default" r:id="rId15"/>
          <w:footerReference w:type="first" r:id="rId16"/>
          <w:pgSz w:w="11906" w:h="16838" w:code="9"/>
          <w:pgMar w:top="1440" w:right="1440" w:bottom="1440" w:left="1440" w:header="0" w:footer="567" w:gutter="0"/>
          <w:cols w:space="708"/>
          <w:titlePg/>
          <w:docGrid w:linePitch="360"/>
        </w:sectPr>
      </w:pPr>
      <w:r w:rsidRPr="00B549FE">
        <w:rPr>
          <w:color w:val="000000" w:themeColor="text1"/>
          <w:sz w:val="24"/>
          <w:szCs w:val="24"/>
        </w:rPr>
        <w:t xml:space="preserve"> </w:t>
      </w:r>
    </w:p>
    <w:p w14:paraId="171CBA0C" w14:textId="47D1D9C6" w:rsidR="00404192" w:rsidRDefault="00404192" w:rsidP="00332EB8">
      <w:pPr>
        <w:keepNext/>
        <w:keepLines/>
        <w:spacing w:after="160"/>
        <w:ind w:right="91"/>
        <w:contextualSpacing/>
        <w:jc w:val="right"/>
        <w:rPr>
          <w:b/>
          <w:color w:val="000000" w:themeColor="text1"/>
          <w:sz w:val="28"/>
          <w:szCs w:val="28"/>
        </w:rPr>
      </w:pPr>
      <w:r w:rsidRPr="00E969DE">
        <w:rPr>
          <w:b/>
          <w:color w:val="000000" w:themeColor="text1"/>
          <w:sz w:val="28"/>
          <w:szCs w:val="28"/>
        </w:rPr>
        <w:lastRenderedPageBreak/>
        <w:t>Attachment A</w:t>
      </w:r>
    </w:p>
    <w:p w14:paraId="589C645C" w14:textId="77777777" w:rsidR="0071655C" w:rsidRPr="0071655C" w:rsidRDefault="0071655C" w:rsidP="00332EB8">
      <w:pPr>
        <w:keepNext/>
        <w:keepLines/>
        <w:spacing w:after="160"/>
        <w:ind w:right="91"/>
        <w:contextualSpacing/>
        <w:jc w:val="right"/>
        <w:rPr>
          <w:b/>
          <w:color w:val="000000" w:themeColor="text1"/>
          <w:sz w:val="32"/>
          <w:szCs w:val="28"/>
        </w:rPr>
      </w:pPr>
    </w:p>
    <w:p w14:paraId="3C857F7A" w14:textId="273BCE6D" w:rsidR="0005364F" w:rsidRPr="0071655C" w:rsidRDefault="0005364F" w:rsidP="0005364F">
      <w:pPr>
        <w:rPr>
          <w:b/>
          <w:sz w:val="28"/>
          <w:szCs w:val="24"/>
        </w:rPr>
      </w:pPr>
      <w:r w:rsidRPr="0071655C">
        <w:rPr>
          <w:b/>
          <w:sz w:val="28"/>
          <w:szCs w:val="24"/>
        </w:rPr>
        <w:t>BROADCASTING SERVICES (</w:t>
      </w:r>
      <w:r>
        <w:rPr>
          <w:b/>
          <w:sz w:val="28"/>
          <w:szCs w:val="24"/>
        </w:rPr>
        <w:t>REGULATED TELEVISION SERVICES)</w:t>
      </w:r>
      <w:r w:rsidRPr="0071655C">
        <w:rPr>
          <w:b/>
          <w:sz w:val="28"/>
          <w:szCs w:val="24"/>
        </w:rPr>
        <w:t xml:space="preserve"> 2024</w:t>
      </w:r>
    </w:p>
    <w:p w14:paraId="68782FBA" w14:textId="77777777" w:rsidR="0005364F" w:rsidRPr="000734E6" w:rsidRDefault="0005364F" w:rsidP="0005364F">
      <w:pPr>
        <w:rPr>
          <w:b/>
          <w:sz w:val="24"/>
          <w:szCs w:val="24"/>
        </w:rPr>
      </w:pPr>
    </w:p>
    <w:p w14:paraId="65CBEC8D" w14:textId="77777777" w:rsidR="0005364F" w:rsidRDefault="0005364F" w:rsidP="0005364F">
      <w:pPr>
        <w:rPr>
          <w:b/>
          <w:sz w:val="24"/>
          <w:szCs w:val="24"/>
        </w:rPr>
      </w:pPr>
      <w:r>
        <w:rPr>
          <w:b/>
          <w:sz w:val="24"/>
          <w:szCs w:val="24"/>
        </w:rPr>
        <w:t>NOTES ON</w:t>
      </w:r>
      <w:r w:rsidRPr="000734E6">
        <w:rPr>
          <w:b/>
          <w:sz w:val="24"/>
          <w:szCs w:val="24"/>
        </w:rPr>
        <w:t xml:space="preserve"> CLAUSES </w:t>
      </w:r>
    </w:p>
    <w:p w14:paraId="7847A8A2" w14:textId="77777777" w:rsidR="0005364F" w:rsidRPr="000734E6" w:rsidRDefault="0005364F" w:rsidP="0005364F">
      <w:pPr>
        <w:rPr>
          <w:b/>
          <w:sz w:val="24"/>
          <w:szCs w:val="24"/>
        </w:rPr>
      </w:pPr>
    </w:p>
    <w:p w14:paraId="701D58B8" w14:textId="77777777" w:rsidR="0005364F" w:rsidRPr="000734E6" w:rsidRDefault="0005364F" w:rsidP="0005364F">
      <w:pPr>
        <w:rPr>
          <w:b/>
          <w:sz w:val="24"/>
          <w:szCs w:val="24"/>
        </w:rPr>
      </w:pPr>
      <w:r w:rsidRPr="000734E6">
        <w:rPr>
          <w:b/>
          <w:sz w:val="24"/>
          <w:szCs w:val="24"/>
        </w:rPr>
        <w:t>Section 1 – Name</w:t>
      </w:r>
    </w:p>
    <w:p w14:paraId="085C86B9" w14:textId="77777777" w:rsidR="00E05E44" w:rsidRDefault="00E05E44" w:rsidP="0005364F">
      <w:pPr>
        <w:rPr>
          <w:sz w:val="24"/>
          <w:szCs w:val="24"/>
        </w:rPr>
      </w:pPr>
    </w:p>
    <w:p w14:paraId="30E16D13" w14:textId="52790909" w:rsidR="0005364F" w:rsidRDefault="0005364F" w:rsidP="0005364F">
      <w:pPr>
        <w:rPr>
          <w:i/>
          <w:sz w:val="24"/>
          <w:szCs w:val="24"/>
        </w:rPr>
      </w:pPr>
      <w:r w:rsidRPr="000734E6">
        <w:rPr>
          <w:sz w:val="24"/>
          <w:szCs w:val="24"/>
        </w:rPr>
        <w:t xml:space="preserve">Section 1 provides that the instrument, when enacted, may be cited as the </w:t>
      </w:r>
      <w:r w:rsidRPr="000734E6">
        <w:rPr>
          <w:i/>
          <w:sz w:val="24"/>
          <w:szCs w:val="24"/>
        </w:rPr>
        <w:t>Broadcasting Services (</w:t>
      </w:r>
      <w:r>
        <w:rPr>
          <w:i/>
          <w:sz w:val="24"/>
          <w:szCs w:val="24"/>
        </w:rPr>
        <w:t xml:space="preserve">Regulated Television Services) Determination </w:t>
      </w:r>
      <w:r w:rsidRPr="000734E6">
        <w:rPr>
          <w:i/>
          <w:sz w:val="24"/>
          <w:szCs w:val="24"/>
        </w:rPr>
        <w:t>2024.</w:t>
      </w:r>
    </w:p>
    <w:p w14:paraId="532250D6" w14:textId="77777777" w:rsidR="0005364F" w:rsidRPr="000734E6" w:rsidRDefault="0005364F" w:rsidP="0005364F">
      <w:pPr>
        <w:rPr>
          <w:i/>
          <w:sz w:val="24"/>
          <w:szCs w:val="24"/>
        </w:rPr>
      </w:pPr>
    </w:p>
    <w:p w14:paraId="668400E6" w14:textId="77777777" w:rsidR="0005364F" w:rsidRPr="000734E6" w:rsidRDefault="0005364F" w:rsidP="0005364F">
      <w:pPr>
        <w:rPr>
          <w:b/>
          <w:sz w:val="24"/>
          <w:szCs w:val="24"/>
        </w:rPr>
      </w:pPr>
      <w:r w:rsidRPr="000734E6">
        <w:rPr>
          <w:b/>
          <w:sz w:val="24"/>
          <w:szCs w:val="24"/>
        </w:rPr>
        <w:t>Section 2 – Commencement</w:t>
      </w:r>
    </w:p>
    <w:p w14:paraId="53A22F89" w14:textId="77777777" w:rsidR="00E05E44" w:rsidRDefault="00E05E44" w:rsidP="0005364F">
      <w:pPr>
        <w:rPr>
          <w:sz w:val="24"/>
          <w:szCs w:val="24"/>
        </w:rPr>
      </w:pPr>
    </w:p>
    <w:p w14:paraId="71236B9E" w14:textId="60A922A0" w:rsidR="0005364F" w:rsidRDefault="0005364F" w:rsidP="0005364F">
      <w:pPr>
        <w:rPr>
          <w:sz w:val="24"/>
          <w:szCs w:val="24"/>
        </w:rPr>
      </w:pPr>
      <w:r w:rsidRPr="000734E6">
        <w:rPr>
          <w:sz w:val="24"/>
          <w:szCs w:val="24"/>
        </w:rPr>
        <w:t xml:space="preserve">Item 1 of the table in subsection 2(1) provides for the instrument to commence </w:t>
      </w:r>
      <w:r>
        <w:rPr>
          <w:sz w:val="24"/>
          <w:szCs w:val="24"/>
        </w:rPr>
        <w:t xml:space="preserve">on the day after this </w:t>
      </w:r>
      <w:r w:rsidRPr="000734E6">
        <w:rPr>
          <w:sz w:val="24"/>
          <w:szCs w:val="24"/>
        </w:rPr>
        <w:t>instrument is registered</w:t>
      </w:r>
      <w:r>
        <w:rPr>
          <w:sz w:val="24"/>
          <w:szCs w:val="24"/>
        </w:rPr>
        <w:t>.</w:t>
      </w:r>
    </w:p>
    <w:p w14:paraId="76E47419" w14:textId="77777777" w:rsidR="0005364F" w:rsidRPr="000734E6" w:rsidRDefault="0005364F" w:rsidP="0005364F">
      <w:pPr>
        <w:ind w:left="720"/>
        <w:rPr>
          <w:sz w:val="24"/>
          <w:szCs w:val="24"/>
        </w:rPr>
      </w:pPr>
    </w:p>
    <w:p w14:paraId="3546CBE8" w14:textId="77777777" w:rsidR="0005364F" w:rsidRPr="000734E6" w:rsidRDefault="0005364F" w:rsidP="0005364F">
      <w:pPr>
        <w:rPr>
          <w:b/>
          <w:sz w:val="24"/>
          <w:szCs w:val="24"/>
        </w:rPr>
      </w:pPr>
      <w:r w:rsidRPr="000734E6">
        <w:rPr>
          <w:b/>
          <w:sz w:val="24"/>
          <w:szCs w:val="24"/>
        </w:rPr>
        <w:t>Section 3 – Authority</w:t>
      </w:r>
    </w:p>
    <w:p w14:paraId="6629AE82" w14:textId="77777777" w:rsidR="00E05E44" w:rsidRDefault="00E05E44" w:rsidP="0005364F">
      <w:pPr>
        <w:rPr>
          <w:sz w:val="24"/>
          <w:szCs w:val="24"/>
        </w:rPr>
      </w:pPr>
    </w:p>
    <w:p w14:paraId="7809619D" w14:textId="275D4B3F" w:rsidR="0005364F" w:rsidRDefault="0005364F" w:rsidP="0005364F">
      <w:pPr>
        <w:rPr>
          <w:sz w:val="24"/>
          <w:szCs w:val="24"/>
        </w:rPr>
      </w:pPr>
      <w:r w:rsidRPr="000734E6">
        <w:rPr>
          <w:sz w:val="24"/>
          <w:szCs w:val="24"/>
        </w:rPr>
        <w:t xml:space="preserve">Section 3 provides that </w:t>
      </w:r>
      <w:r w:rsidR="00DB4C8F">
        <w:rPr>
          <w:sz w:val="24"/>
          <w:szCs w:val="24"/>
        </w:rPr>
        <w:t xml:space="preserve">the instrument is </w:t>
      </w:r>
      <w:r>
        <w:rPr>
          <w:sz w:val="24"/>
          <w:szCs w:val="24"/>
        </w:rPr>
        <w:t>made under subsection 130</w:t>
      </w:r>
      <w:proofErr w:type="gramStart"/>
      <w:r>
        <w:rPr>
          <w:sz w:val="24"/>
          <w:szCs w:val="24"/>
        </w:rPr>
        <w:t>ZZJ(</w:t>
      </w:r>
      <w:proofErr w:type="gramEnd"/>
      <w:r>
        <w:rPr>
          <w:sz w:val="24"/>
          <w:szCs w:val="24"/>
        </w:rPr>
        <w:t>2)</w:t>
      </w:r>
      <w:r w:rsidRPr="000734E6">
        <w:rPr>
          <w:sz w:val="24"/>
          <w:szCs w:val="24"/>
        </w:rPr>
        <w:t xml:space="preserve"> </w:t>
      </w:r>
      <w:r w:rsidR="00DB4C8F">
        <w:rPr>
          <w:sz w:val="24"/>
          <w:szCs w:val="24"/>
        </w:rPr>
        <w:t>of</w:t>
      </w:r>
      <w:r w:rsidRPr="000734E6">
        <w:rPr>
          <w:sz w:val="24"/>
          <w:szCs w:val="24"/>
        </w:rPr>
        <w:t xml:space="preserve"> the </w:t>
      </w:r>
      <w:r w:rsidRPr="000734E6">
        <w:rPr>
          <w:i/>
          <w:sz w:val="24"/>
          <w:szCs w:val="24"/>
        </w:rPr>
        <w:t>Broadcasting Services Act 1992</w:t>
      </w:r>
      <w:r>
        <w:rPr>
          <w:sz w:val="24"/>
          <w:szCs w:val="24"/>
        </w:rPr>
        <w:t xml:space="preserve"> (the Act)</w:t>
      </w:r>
      <w:r w:rsidRPr="000734E6">
        <w:rPr>
          <w:i/>
          <w:sz w:val="24"/>
          <w:szCs w:val="24"/>
        </w:rPr>
        <w:t>.</w:t>
      </w:r>
    </w:p>
    <w:p w14:paraId="1AF2B82D" w14:textId="77777777" w:rsidR="0005364F" w:rsidRPr="000734E6" w:rsidRDefault="0005364F" w:rsidP="0005364F">
      <w:pPr>
        <w:rPr>
          <w:sz w:val="24"/>
          <w:szCs w:val="24"/>
        </w:rPr>
      </w:pPr>
    </w:p>
    <w:p w14:paraId="6C905ECD" w14:textId="77777777" w:rsidR="0005364F" w:rsidRPr="000734E6" w:rsidRDefault="0005364F" w:rsidP="0005364F">
      <w:pPr>
        <w:rPr>
          <w:b/>
          <w:sz w:val="24"/>
          <w:szCs w:val="24"/>
        </w:rPr>
      </w:pPr>
      <w:r w:rsidRPr="000734E6">
        <w:rPr>
          <w:b/>
          <w:sz w:val="24"/>
          <w:szCs w:val="24"/>
        </w:rPr>
        <w:t>Section 4 – Definitions</w:t>
      </w:r>
    </w:p>
    <w:p w14:paraId="6A101C13" w14:textId="77777777" w:rsidR="0005364F" w:rsidRPr="000734E6" w:rsidRDefault="0005364F" w:rsidP="0005364F">
      <w:pPr>
        <w:ind w:left="720"/>
        <w:rPr>
          <w:sz w:val="24"/>
          <w:szCs w:val="24"/>
        </w:rPr>
      </w:pPr>
    </w:p>
    <w:p w14:paraId="0711FD51" w14:textId="77777777" w:rsidR="0005364F" w:rsidRDefault="0005364F" w:rsidP="0005364F">
      <w:pPr>
        <w:rPr>
          <w:sz w:val="24"/>
          <w:szCs w:val="24"/>
        </w:rPr>
      </w:pPr>
      <w:r>
        <w:rPr>
          <w:sz w:val="24"/>
          <w:szCs w:val="24"/>
        </w:rPr>
        <w:t>T</w:t>
      </w:r>
      <w:r w:rsidRPr="00AC0097">
        <w:rPr>
          <w:sz w:val="24"/>
          <w:szCs w:val="24"/>
        </w:rPr>
        <w:t xml:space="preserve">he term ‘Act’ is defined to mean the </w:t>
      </w:r>
      <w:r w:rsidRPr="0006198E">
        <w:rPr>
          <w:i/>
          <w:sz w:val="24"/>
          <w:szCs w:val="24"/>
        </w:rPr>
        <w:t>Broadcasting Services Act 1992</w:t>
      </w:r>
      <w:r w:rsidRPr="00AC0097">
        <w:rPr>
          <w:sz w:val="24"/>
          <w:szCs w:val="24"/>
        </w:rPr>
        <w:t>.</w:t>
      </w:r>
    </w:p>
    <w:p w14:paraId="0E9954BC" w14:textId="77777777" w:rsidR="0005364F" w:rsidRPr="000734E6" w:rsidRDefault="0005364F" w:rsidP="0005364F">
      <w:pPr>
        <w:rPr>
          <w:b/>
          <w:sz w:val="24"/>
          <w:szCs w:val="24"/>
        </w:rPr>
      </w:pPr>
    </w:p>
    <w:p w14:paraId="2B5467D2" w14:textId="2B308A59" w:rsidR="0005364F" w:rsidRPr="000734E6" w:rsidRDefault="0005364F" w:rsidP="0005364F">
      <w:pPr>
        <w:rPr>
          <w:b/>
          <w:sz w:val="24"/>
          <w:szCs w:val="24"/>
        </w:rPr>
      </w:pPr>
      <w:r w:rsidRPr="000734E6">
        <w:rPr>
          <w:b/>
          <w:sz w:val="24"/>
          <w:szCs w:val="24"/>
        </w:rPr>
        <w:t xml:space="preserve">Section 5 – </w:t>
      </w:r>
      <w:r>
        <w:rPr>
          <w:b/>
          <w:sz w:val="24"/>
          <w:szCs w:val="24"/>
        </w:rPr>
        <w:t>Determination of regulated television service</w:t>
      </w:r>
    </w:p>
    <w:p w14:paraId="15CBE11A" w14:textId="77777777" w:rsidR="00E05E44" w:rsidRDefault="00E05E44" w:rsidP="0005364F">
      <w:pPr>
        <w:rPr>
          <w:sz w:val="24"/>
          <w:szCs w:val="24"/>
        </w:rPr>
      </w:pPr>
    </w:p>
    <w:p w14:paraId="0CE806DB" w14:textId="510170EF" w:rsidR="00E969DE" w:rsidRDefault="0005364F" w:rsidP="0005364F">
      <w:pPr>
        <w:rPr>
          <w:sz w:val="24"/>
          <w:szCs w:val="24"/>
        </w:rPr>
      </w:pPr>
      <w:r w:rsidRPr="000734E6">
        <w:rPr>
          <w:sz w:val="24"/>
          <w:szCs w:val="24"/>
        </w:rPr>
        <w:t xml:space="preserve">Section 5 </w:t>
      </w:r>
      <w:r w:rsidR="00E969DE">
        <w:rPr>
          <w:sz w:val="24"/>
          <w:szCs w:val="24"/>
        </w:rPr>
        <w:t>provides that</w:t>
      </w:r>
      <w:r>
        <w:rPr>
          <w:sz w:val="24"/>
          <w:szCs w:val="24"/>
        </w:rPr>
        <w:t xml:space="preserve"> </w:t>
      </w:r>
      <w:r w:rsidRPr="0005364F">
        <w:rPr>
          <w:sz w:val="24"/>
          <w:szCs w:val="24"/>
        </w:rPr>
        <w:t>Channel 44</w:t>
      </w:r>
      <w:r w:rsidR="00D57BB4">
        <w:rPr>
          <w:sz w:val="24"/>
          <w:szCs w:val="24"/>
        </w:rPr>
        <w:t xml:space="preserve"> (C44)</w:t>
      </w:r>
      <w:r w:rsidRPr="0005364F">
        <w:rPr>
          <w:sz w:val="24"/>
          <w:szCs w:val="24"/>
        </w:rPr>
        <w:t>, an open narrowcasting television service provided for community or educational non-profit purposes</w:t>
      </w:r>
      <w:r w:rsidR="00E02B34">
        <w:rPr>
          <w:sz w:val="24"/>
          <w:szCs w:val="24"/>
        </w:rPr>
        <w:t xml:space="preserve">, </w:t>
      </w:r>
      <w:r w:rsidR="003A5E60" w:rsidRPr="003A5E60">
        <w:rPr>
          <w:sz w:val="24"/>
          <w:szCs w:val="24"/>
        </w:rPr>
        <w:t>by C44 Adelaide Limited, ABN</w:t>
      </w:r>
      <w:r w:rsidR="00591E9C">
        <w:rPr>
          <w:sz w:val="24"/>
          <w:szCs w:val="24"/>
        </w:rPr>
        <w:t> </w:t>
      </w:r>
      <w:r w:rsidR="003A5E60" w:rsidRPr="003A5E60">
        <w:rPr>
          <w:sz w:val="24"/>
          <w:szCs w:val="24"/>
        </w:rPr>
        <w:t>17</w:t>
      </w:r>
      <w:r w:rsidR="00591E9C">
        <w:rPr>
          <w:sz w:val="24"/>
          <w:szCs w:val="24"/>
        </w:rPr>
        <w:t> </w:t>
      </w:r>
      <w:r w:rsidR="003A5E60" w:rsidRPr="003A5E60">
        <w:rPr>
          <w:sz w:val="24"/>
          <w:szCs w:val="24"/>
        </w:rPr>
        <w:t>104</w:t>
      </w:r>
      <w:r w:rsidR="00591E9C">
        <w:rPr>
          <w:sz w:val="24"/>
          <w:szCs w:val="24"/>
        </w:rPr>
        <w:t> </w:t>
      </w:r>
      <w:r w:rsidR="003A5E60" w:rsidRPr="003A5E60">
        <w:rPr>
          <w:sz w:val="24"/>
          <w:szCs w:val="24"/>
        </w:rPr>
        <w:t>643 736</w:t>
      </w:r>
      <w:r w:rsidR="003A5E60">
        <w:rPr>
          <w:sz w:val="24"/>
          <w:szCs w:val="24"/>
        </w:rPr>
        <w:t xml:space="preserve">, </w:t>
      </w:r>
      <w:r w:rsidRPr="0005364F">
        <w:rPr>
          <w:sz w:val="24"/>
          <w:szCs w:val="24"/>
        </w:rPr>
        <w:t>is a regulated television service for the purpose of paragraph 130ZZJ(1)(c) of the Act.</w:t>
      </w:r>
      <w:r>
        <w:rPr>
          <w:sz w:val="24"/>
          <w:szCs w:val="24"/>
        </w:rPr>
        <w:t xml:space="preserve"> </w:t>
      </w:r>
    </w:p>
    <w:p w14:paraId="47764573" w14:textId="0B54AC1C" w:rsidR="0005364F" w:rsidRDefault="0005364F" w:rsidP="0005364F">
      <w:pPr>
        <w:rPr>
          <w:sz w:val="24"/>
          <w:szCs w:val="24"/>
        </w:rPr>
      </w:pPr>
    </w:p>
    <w:p w14:paraId="2D9B9C0A" w14:textId="297E038F" w:rsidR="00D57BB4" w:rsidRDefault="00D57BB4" w:rsidP="00D57BB4">
      <w:pPr>
        <w:rPr>
          <w:color w:val="000000" w:themeColor="text1"/>
          <w:sz w:val="24"/>
          <w:szCs w:val="24"/>
        </w:rPr>
      </w:pPr>
      <w:r w:rsidRPr="0052557C">
        <w:rPr>
          <w:color w:val="000000" w:themeColor="text1"/>
          <w:sz w:val="24"/>
          <w:szCs w:val="24"/>
        </w:rPr>
        <w:t xml:space="preserve">C44 is Adelaide’s community television broadcaster, providing local free-to-air television services across </w:t>
      </w:r>
      <w:r w:rsidR="00E02B34">
        <w:rPr>
          <w:color w:val="000000" w:themeColor="text1"/>
          <w:sz w:val="24"/>
          <w:szCs w:val="24"/>
        </w:rPr>
        <w:t>g</w:t>
      </w:r>
      <w:r w:rsidRPr="0052557C">
        <w:rPr>
          <w:color w:val="000000" w:themeColor="text1"/>
          <w:sz w:val="24"/>
          <w:szCs w:val="24"/>
        </w:rPr>
        <w:t xml:space="preserve">reater Adelaide. However, due to a historical anomaly in the way that C44 is licensed, the station technically operates under the authority of an open narrowcast licence. This means that the service is not classed as a </w:t>
      </w:r>
      <w:r>
        <w:rPr>
          <w:color w:val="000000" w:themeColor="text1"/>
          <w:sz w:val="24"/>
          <w:szCs w:val="24"/>
        </w:rPr>
        <w:t>‘</w:t>
      </w:r>
      <w:r w:rsidRPr="0052557C">
        <w:rPr>
          <w:color w:val="000000" w:themeColor="text1"/>
          <w:sz w:val="24"/>
          <w:szCs w:val="24"/>
        </w:rPr>
        <w:t>regulated television service</w:t>
      </w:r>
      <w:r>
        <w:rPr>
          <w:color w:val="000000" w:themeColor="text1"/>
          <w:sz w:val="24"/>
          <w:szCs w:val="24"/>
        </w:rPr>
        <w:t>’, under paragraph 130ZZJ(1)(a)</w:t>
      </w:r>
      <w:r w:rsidRPr="0052557C">
        <w:rPr>
          <w:color w:val="000000" w:themeColor="text1"/>
          <w:sz w:val="24"/>
          <w:szCs w:val="24"/>
        </w:rPr>
        <w:t xml:space="preserve"> </w:t>
      </w:r>
      <w:r w:rsidR="00E02B34">
        <w:rPr>
          <w:color w:val="000000" w:themeColor="text1"/>
          <w:sz w:val="24"/>
          <w:szCs w:val="24"/>
        </w:rPr>
        <w:t>of the Act</w:t>
      </w:r>
      <w:r w:rsidR="006C6DBD">
        <w:rPr>
          <w:color w:val="000000" w:themeColor="text1"/>
          <w:sz w:val="24"/>
          <w:szCs w:val="24"/>
        </w:rPr>
        <w:t>,</w:t>
      </w:r>
      <w:r w:rsidR="00E02B34">
        <w:rPr>
          <w:color w:val="000000" w:themeColor="text1"/>
          <w:sz w:val="24"/>
          <w:szCs w:val="24"/>
        </w:rPr>
        <w:t xml:space="preserve"> </w:t>
      </w:r>
      <w:r w:rsidRPr="0052557C">
        <w:rPr>
          <w:color w:val="000000" w:themeColor="text1"/>
          <w:sz w:val="24"/>
          <w:szCs w:val="24"/>
        </w:rPr>
        <w:t>for the purpose of the prominence framework.</w:t>
      </w:r>
      <w:r>
        <w:rPr>
          <w:color w:val="000000" w:themeColor="text1"/>
          <w:sz w:val="24"/>
          <w:szCs w:val="24"/>
        </w:rPr>
        <w:t xml:space="preserve"> This determination </w:t>
      </w:r>
      <w:r w:rsidR="00E02B34">
        <w:rPr>
          <w:color w:val="000000" w:themeColor="text1"/>
          <w:sz w:val="24"/>
          <w:szCs w:val="24"/>
        </w:rPr>
        <w:t>provides for</w:t>
      </w:r>
      <w:r>
        <w:rPr>
          <w:color w:val="000000" w:themeColor="text1"/>
          <w:sz w:val="24"/>
          <w:szCs w:val="24"/>
        </w:rPr>
        <w:t xml:space="preserve"> C44</w:t>
      </w:r>
      <w:r w:rsidR="00E02B34">
        <w:rPr>
          <w:color w:val="000000" w:themeColor="text1"/>
          <w:sz w:val="24"/>
          <w:szCs w:val="24"/>
        </w:rPr>
        <w:t xml:space="preserve"> </w:t>
      </w:r>
      <w:r>
        <w:rPr>
          <w:color w:val="000000" w:themeColor="text1"/>
          <w:sz w:val="24"/>
          <w:szCs w:val="24"/>
        </w:rPr>
        <w:t xml:space="preserve">to be classed </w:t>
      </w:r>
      <w:r w:rsidRPr="0052557C">
        <w:rPr>
          <w:color w:val="000000" w:themeColor="text1"/>
          <w:sz w:val="24"/>
          <w:szCs w:val="24"/>
        </w:rPr>
        <w:t xml:space="preserve">as a </w:t>
      </w:r>
      <w:r>
        <w:rPr>
          <w:color w:val="000000" w:themeColor="text1"/>
          <w:sz w:val="24"/>
          <w:szCs w:val="24"/>
        </w:rPr>
        <w:t>‘</w:t>
      </w:r>
      <w:r w:rsidRPr="0052557C">
        <w:rPr>
          <w:color w:val="000000" w:themeColor="text1"/>
          <w:sz w:val="24"/>
          <w:szCs w:val="24"/>
        </w:rPr>
        <w:t>regulated television service</w:t>
      </w:r>
      <w:r>
        <w:rPr>
          <w:color w:val="000000" w:themeColor="text1"/>
          <w:sz w:val="24"/>
          <w:szCs w:val="24"/>
        </w:rPr>
        <w:t>’, under paragraph 130ZZJ(1)(c)</w:t>
      </w:r>
      <w:r w:rsidR="00E02B34">
        <w:rPr>
          <w:color w:val="000000" w:themeColor="text1"/>
          <w:sz w:val="24"/>
          <w:szCs w:val="24"/>
        </w:rPr>
        <w:t xml:space="preserve">. </w:t>
      </w:r>
    </w:p>
    <w:p w14:paraId="235E0412" w14:textId="77777777" w:rsidR="003A5E60" w:rsidRDefault="003A5E60" w:rsidP="003A5E60">
      <w:pPr>
        <w:rPr>
          <w:sz w:val="24"/>
          <w:szCs w:val="24"/>
        </w:rPr>
      </w:pPr>
    </w:p>
    <w:p w14:paraId="0CF401A3" w14:textId="77777777" w:rsidR="0005364F" w:rsidRDefault="0005364F" w:rsidP="0005364F">
      <w:pPr>
        <w:rPr>
          <w:sz w:val="24"/>
          <w:szCs w:val="24"/>
        </w:rPr>
      </w:pPr>
    </w:p>
    <w:p w14:paraId="53681318" w14:textId="64C461A9" w:rsidR="00E969DE" w:rsidRDefault="00E969DE" w:rsidP="00E969DE">
      <w:pPr>
        <w:spacing w:line="276" w:lineRule="auto"/>
        <w:rPr>
          <w:sz w:val="24"/>
          <w:szCs w:val="24"/>
        </w:rPr>
      </w:pPr>
    </w:p>
    <w:p w14:paraId="5CE36A15" w14:textId="77777777" w:rsidR="001319DD" w:rsidRDefault="001319DD" w:rsidP="00E969DE">
      <w:pPr>
        <w:spacing w:line="276" w:lineRule="auto"/>
        <w:rPr>
          <w:b/>
          <w:color w:val="000000" w:themeColor="text1"/>
          <w:sz w:val="28"/>
          <w:szCs w:val="28"/>
        </w:rPr>
      </w:pPr>
    </w:p>
    <w:p w14:paraId="5F4745D2" w14:textId="4C4E6DB1" w:rsidR="00E969DE" w:rsidRDefault="00E969DE" w:rsidP="00E969DE">
      <w:pPr>
        <w:spacing w:line="276" w:lineRule="auto"/>
        <w:rPr>
          <w:b/>
          <w:color w:val="000000" w:themeColor="text1"/>
          <w:sz w:val="28"/>
          <w:szCs w:val="28"/>
        </w:rPr>
      </w:pPr>
    </w:p>
    <w:p w14:paraId="77D3086C" w14:textId="75F7115D" w:rsidR="00E969DE" w:rsidRDefault="00E969DE" w:rsidP="00E969DE">
      <w:pPr>
        <w:spacing w:line="276" w:lineRule="auto"/>
        <w:rPr>
          <w:b/>
          <w:color w:val="000000" w:themeColor="text1"/>
          <w:sz w:val="28"/>
          <w:szCs w:val="28"/>
        </w:rPr>
      </w:pPr>
    </w:p>
    <w:p w14:paraId="22621FFD" w14:textId="311033C2" w:rsidR="006C6DBD" w:rsidRDefault="006C6DBD">
      <w:pPr>
        <w:spacing w:after="200" w:line="276" w:lineRule="auto"/>
        <w:rPr>
          <w:b/>
          <w:color w:val="000000" w:themeColor="text1"/>
          <w:sz w:val="28"/>
          <w:szCs w:val="28"/>
        </w:rPr>
      </w:pPr>
      <w:r>
        <w:rPr>
          <w:b/>
          <w:color w:val="000000" w:themeColor="text1"/>
          <w:sz w:val="28"/>
          <w:szCs w:val="28"/>
        </w:rPr>
        <w:br w:type="page"/>
      </w:r>
    </w:p>
    <w:p w14:paraId="31E23F8D" w14:textId="0ADCA50F" w:rsidR="002C0CD5" w:rsidRPr="0011175C" w:rsidRDefault="00E05E44" w:rsidP="003A3B4E">
      <w:pPr>
        <w:spacing w:after="160"/>
        <w:jc w:val="right"/>
        <w:rPr>
          <w:color w:val="000000" w:themeColor="text1"/>
          <w:sz w:val="28"/>
          <w:szCs w:val="28"/>
        </w:rPr>
      </w:pPr>
      <w:r>
        <w:rPr>
          <w:b/>
          <w:color w:val="000000" w:themeColor="text1"/>
          <w:sz w:val="28"/>
          <w:szCs w:val="28"/>
        </w:rPr>
        <w:lastRenderedPageBreak/>
        <w:t>A</w:t>
      </w:r>
      <w:r w:rsidR="00404192" w:rsidRPr="0011175C">
        <w:rPr>
          <w:b/>
          <w:color w:val="000000" w:themeColor="text1"/>
          <w:sz w:val="28"/>
          <w:szCs w:val="28"/>
        </w:rPr>
        <w:t xml:space="preserve">ttachment </w:t>
      </w:r>
      <w:r w:rsidR="00675482" w:rsidRPr="0011175C">
        <w:rPr>
          <w:b/>
          <w:color w:val="000000" w:themeColor="text1"/>
          <w:sz w:val="28"/>
          <w:szCs w:val="28"/>
        </w:rPr>
        <w:t>B</w:t>
      </w:r>
    </w:p>
    <w:p w14:paraId="4FACD79E" w14:textId="77777777" w:rsidR="00404192" w:rsidRPr="0011175C" w:rsidRDefault="00404192" w:rsidP="00404192">
      <w:pPr>
        <w:spacing w:before="360" w:after="120"/>
        <w:jc w:val="center"/>
        <w:rPr>
          <w:color w:val="000000" w:themeColor="text1"/>
          <w:sz w:val="28"/>
          <w:szCs w:val="28"/>
        </w:rPr>
      </w:pPr>
      <w:r w:rsidRPr="0011175C">
        <w:rPr>
          <w:b/>
          <w:color w:val="000000" w:themeColor="text1"/>
          <w:sz w:val="28"/>
          <w:szCs w:val="28"/>
        </w:rPr>
        <w:t>Statement of Compatibility with Human Rights</w:t>
      </w:r>
    </w:p>
    <w:p w14:paraId="34D8A89B" w14:textId="77777777" w:rsidR="00404192" w:rsidRPr="0011175C" w:rsidRDefault="00404192" w:rsidP="00404192">
      <w:pPr>
        <w:jc w:val="center"/>
        <w:rPr>
          <w:color w:val="000000" w:themeColor="text1"/>
          <w:sz w:val="24"/>
          <w:szCs w:val="24"/>
        </w:rPr>
      </w:pPr>
      <w:r w:rsidRPr="0011175C">
        <w:rPr>
          <w:color w:val="000000" w:themeColor="text1"/>
          <w:sz w:val="24"/>
          <w:szCs w:val="24"/>
        </w:rPr>
        <w:t>Prepared in accordance with Part 3 of the</w:t>
      </w:r>
      <w:r w:rsidRPr="0011175C">
        <w:rPr>
          <w:i/>
          <w:color w:val="000000" w:themeColor="text1"/>
          <w:sz w:val="24"/>
          <w:szCs w:val="24"/>
        </w:rPr>
        <w:t xml:space="preserve"> Human Rights (Parliamentary Scrutiny) Act 2011</w:t>
      </w:r>
    </w:p>
    <w:p w14:paraId="76C924D6" w14:textId="77777777" w:rsidR="00404192" w:rsidRPr="0011175C" w:rsidRDefault="00404192" w:rsidP="00404192">
      <w:pPr>
        <w:jc w:val="center"/>
        <w:rPr>
          <w:color w:val="000000" w:themeColor="text1"/>
          <w:sz w:val="24"/>
          <w:szCs w:val="24"/>
        </w:rPr>
      </w:pPr>
    </w:p>
    <w:p w14:paraId="689A9183" w14:textId="51BC2A3B" w:rsidR="009909AB" w:rsidRPr="009909AB" w:rsidRDefault="009909AB" w:rsidP="009125C6">
      <w:pPr>
        <w:jc w:val="center"/>
        <w:rPr>
          <w:b/>
          <w:i/>
          <w:color w:val="000000" w:themeColor="text1"/>
          <w:sz w:val="24"/>
          <w:szCs w:val="24"/>
        </w:rPr>
      </w:pPr>
      <w:r w:rsidRPr="0017246E">
        <w:rPr>
          <w:b/>
          <w:i/>
          <w:iCs/>
          <w:color w:val="000000" w:themeColor="text1"/>
          <w:sz w:val="24"/>
          <w:szCs w:val="24"/>
        </w:rPr>
        <w:t>Broadcasting Services (Regulated Television Services) Determination 2024</w:t>
      </w:r>
      <w:r w:rsidRPr="0017246E">
        <w:rPr>
          <w:b/>
          <w:color w:val="000000" w:themeColor="text1"/>
          <w:sz w:val="24"/>
          <w:szCs w:val="24"/>
        </w:rPr>
        <w:t xml:space="preserve"> </w:t>
      </w:r>
    </w:p>
    <w:p w14:paraId="78C8D4D2" w14:textId="77777777" w:rsidR="009125C6" w:rsidRPr="0011175C" w:rsidRDefault="009125C6">
      <w:pPr>
        <w:rPr>
          <w:color w:val="000000" w:themeColor="text1"/>
          <w:sz w:val="24"/>
          <w:szCs w:val="24"/>
        </w:rPr>
      </w:pPr>
    </w:p>
    <w:p w14:paraId="40048F9B" w14:textId="6EFF0D25" w:rsidR="00404192" w:rsidRPr="0011175C" w:rsidRDefault="00C80B31">
      <w:pPr>
        <w:rPr>
          <w:color w:val="000000" w:themeColor="text1"/>
          <w:sz w:val="24"/>
          <w:szCs w:val="24"/>
        </w:rPr>
      </w:pPr>
      <w:r w:rsidRPr="0011175C">
        <w:rPr>
          <w:color w:val="000000" w:themeColor="text1"/>
          <w:sz w:val="24"/>
          <w:szCs w:val="24"/>
        </w:rPr>
        <w:t xml:space="preserve">The </w:t>
      </w:r>
      <w:r w:rsidR="009909AB" w:rsidRPr="00FD7425">
        <w:rPr>
          <w:i/>
          <w:iCs/>
          <w:color w:val="000000" w:themeColor="text1"/>
          <w:sz w:val="24"/>
          <w:szCs w:val="24"/>
        </w:rPr>
        <w:t>Broadcasting Services (Regulated Television Services) Determination 2024</w:t>
      </w:r>
      <w:r w:rsidR="009909AB" w:rsidRPr="00FD7425">
        <w:rPr>
          <w:color w:val="000000" w:themeColor="text1"/>
          <w:sz w:val="24"/>
          <w:szCs w:val="24"/>
        </w:rPr>
        <w:t xml:space="preserve"> </w:t>
      </w:r>
      <w:r w:rsidR="00404192" w:rsidRPr="0011175C">
        <w:rPr>
          <w:color w:val="000000" w:themeColor="text1"/>
          <w:sz w:val="24"/>
          <w:szCs w:val="24"/>
        </w:rPr>
        <w:t xml:space="preserve">is compatible with the human rights and freedoms recognised or declared in the international instruments </w:t>
      </w:r>
      <w:r w:rsidR="00F835DF" w:rsidRPr="0011175C">
        <w:rPr>
          <w:color w:val="000000" w:themeColor="text1"/>
          <w:sz w:val="24"/>
          <w:szCs w:val="24"/>
        </w:rPr>
        <w:t xml:space="preserve">listed in section 3 of the </w:t>
      </w:r>
      <w:r w:rsidR="00F835DF" w:rsidRPr="0011175C">
        <w:rPr>
          <w:i/>
          <w:color w:val="000000" w:themeColor="text1"/>
          <w:sz w:val="24"/>
          <w:szCs w:val="24"/>
        </w:rPr>
        <w:t>Human Rights (Parliamentary Scrutiny) Act 2011</w:t>
      </w:r>
      <w:r w:rsidR="00F835DF" w:rsidRPr="0011175C">
        <w:rPr>
          <w:color w:val="000000" w:themeColor="text1"/>
          <w:sz w:val="24"/>
          <w:szCs w:val="24"/>
        </w:rPr>
        <w:t>.</w:t>
      </w:r>
    </w:p>
    <w:p w14:paraId="0A05FE4F" w14:textId="77777777" w:rsidR="00F835DF" w:rsidRPr="0011175C" w:rsidRDefault="00F835DF">
      <w:pPr>
        <w:rPr>
          <w:color w:val="000000" w:themeColor="text1"/>
          <w:sz w:val="24"/>
          <w:szCs w:val="24"/>
        </w:rPr>
      </w:pPr>
    </w:p>
    <w:p w14:paraId="22F9DDBD" w14:textId="42507572" w:rsidR="005914D6" w:rsidRPr="0011175C" w:rsidRDefault="00443A66" w:rsidP="0017246E">
      <w:pPr>
        <w:rPr>
          <w:color w:val="000000" w:themeColor="text1"/>
          <w:sz w:val="24"/>
          <w:szCs w:val="24"/>
        </w:rPr>
      </w:pPr>
      <w:r w:rsidRPr="0011175C">
        <w:rPr>
          <w:b/>
          <w:color w:val="000000" w:themeColor="text1"/>
          <w:sz w:val="24"/>
          <w:szCs w:val="24"/>
        </w:rPr>
        <w:t xml:space="preserve">Overview </w:t>
      </w:r>
    </w:p>
    <w:p w14:paraId="5DD4661F" w14:textId="77777777" w:rsidR="006C6DBD" w:rsidRDefault="006C6DBD" w:rsidP="006C6DBD">
      <w:pPr>
        <w:shd w:val="clear" w:color="auto" w:fill="FFFFFF"/>
        <w:rPr>
          <w:color w:val="000000"/>
          <w:sz w:val="24"/>
          <w:szCs w:val="24"/>
        </w:rPr>
      </w:pPr>
      <w:bookmarkStart w:id="6" w:name="_Hlk129784880"/>
    </w:p>
    <w:p w14:paraId="57E078CF" w14:textId="1A154130" w:rsidR="00AE0D1A" w:rsidRDefault="00EF1A16">
      <w:pPr>
        <w:shd w:val="clear" w:color="auto" w:fill="FFFFFF"/>
        <w:rPr>
          <w:color w:val="000000" w:themeColor="text1"/>
          <w:sz w:val="24"/>
          <w:szCs w:val="24"/>
        </w:rPr>
      </w:pPr>
      <w:r w:rsidRPr="00FD7425">
        <w:rPr>
          <w:color w:val="000000"/>
          <w:sz w:val="24"/>
          <w:szCs w:val="24"/>
        </w:rPr>
        <w:t xml:space="preserve">The </w:t>
      </w:r>
      <w:r w:rsidR="00DC151E" w:rsidRPr="00FD7425">
        <w:rPr>
          <w:i/>
          <w:iCs/>
          <w:color w:val="000000" w:themeColor="text1"/>
          <w:sz w:val="24"/>
          <w:szCs w:val="24"/>
        </w:rPr>
        <w:t>Broadcasting Services (Regulated Television Services) Determination 2024</w:t>
      </w:r>
      <w:r w:rsidR="00DC151E" w:rsidRPr="00FD7425">
        <w:rPr>
          <w:color w:val="000000" w:themeColor="text1"/>
          <w:sz w:val="24"/>
          <w:szCs w:val="24"/>
        </w:rPr>
        <w:t xml:space="preserve"> </w:t>
      </w:r>
      <w:r w:rsidR="009909AB">
        <w:rPr>
          <w:color w:val="000000" w:themeColor="text1"/>
          <w:sz w:val="24"/>
          <w:szCs w:val="24"/>
        </w:rPr>
        <w:t xml:space="preserve">(the Determination) </w:t>
      </w:r>
      <w:r w:rsidR="001B2BAF" w:rsidRPr="00FD7425">
        <w:rPr>
          <w:color w:val="000000" w:themeColor="text1"/>
          <w:sz w:val="24"/>
          <w:szCs w:val="24"/>
        </w:rPr>
        <w:t xml:space="preserve">is </w:t>
      </w:r>
      <w:r w:rsidR="00FD7425" w:rsidRPr="00FD7425">
        <w:rPr>
          <w:color w:val="000000" w:themeColor="text1"/>
          <w:sz w:val="24"/>
          <w:szCs w:val="24"/>
        </w:rPr>
        <w:t>a legislative instrument</w:t>
      </w:r>
      <w:r w:rsidR="00FD7425" w:rsidRPr="00AB2AA8">
        <w:rPr>
          <w:color w:val="000000" w:themeColor="text1"/>
          <w:sz w:val="24"/>
          <w:szCs w:val="24"/>
        </w:rPr>
        <w:t xml:space="preserve"> to determine </w:t>
      </w:r>
      <w:r w:rsidR="007D2AAA">
        <w:rPr>
          <w:color w:val="000000" w:themeColor="text1"/>
          <w:sz w:val="24"/>
          <w:szCs w:val="24"/>
        </w:rPr>
        <w:t>C44</w:t>
      </w:r>
      <w:r w:rsidR="00FD7425" w:rsidRPr="00AB2AA8">
        <w:rPr>
          <w:color w:val="000000" w:themeColor="text1"/>
          <w:sz w:val="24"/>
          <w:szCs w:val="24"/>
        </w:rPr>
        <w:t xml:space="preserve"> Adelaide</w:t>
      </w:r>
      <w:r w:rsidR="00FA03B1">
        <w:rPr>
          <w:color w:val="000000" w:themeColor="text1"/>
          <w:sz w:val="24"/>
          <w:szCs w:val="24"/>
        </w:rPr>
        <w:t xml:space="preserve"> (C44)</w:t>
      </w:r>
      <w:r w:rsidR="00FD7425" w:rsidRPr="00AB2AA8">
        <w:rPr>
          <w:color w:val="000000" w:themeColor="text1"/>
          <w:sz w:val="24"/>
          <w:szCs w:val="24"/>
        </w:rPr>
        <w:t xml:space="preserve"> to be a ‘regulated television service’ for the purposes of the</w:t>
      </w:r>
      <w:r w:rsidR="00FD7425">
        <w:rPr>
          <w:color w:val="000000" w:themeColor="text1"/>
          <w:sz w:val="24"/>
          <w:szCs w:val="24"/>
        </w:rPr>
        <w:t xml:space="preserve"> prominence</w:t>
      </w:r>
      <w:r w:rsidR="00FD7425" w:rsidRPr="00AB2AA8">
        <w:rPr>
          <w:color w:val="000000" w:themeColor="text1"/>
          <w:sz w:val="24"/>
          <w:szCs w:val="24"/>
        </w:rPr>
        <w:t xml:space="preserve"> framework</w:t>
      </w:r>
      <w:r w:rsidR="00FD7425">
        <w:rPr>
          <w:color w:val="000000" w:themeColor="text1"/>
          <w:sz w:val="24"/>
          <w:szCs w:val="24"/>
        </w:rPr>
        <w:t>.</w:t>
      </w:r>
    </w:p>
    <w:p w14:paraId="6650D6B0" w14:textId="688C8EA3" w:rsidR="00090CDA" w:rsidRDefault="00090CDA">
      <w:pPr>
        <w:shd w:val="clear" w:color="auto" w:fill="FFFFFF"/>
        <w:rPr>
          <w:color w:val="000000" w:themeColor="text1"/>
          <w:sz w:val="24"/>
          <w:szCs w:val="24"/>
        </w:rPr>
      </w:pPr>
    </w:p>
    <w:p w14:paraId="3F70B4C4" w14:textId="4292E0BC" w:rsidR="008C21E7" w:rsidRDefault="00090CDA" w:rsidP="008C21E7">
      <w:pPr>
        <w:rPr>
          <w:color w:val="000000" w:themeColor="text1"/>
          <w:sz w:val="24"/>
          <w:szCs w:val="24"/>
        </w:rPr>
      </w:pPr>
      <w:r w:rsidRPr="0052557C">
        <w:rPr>
          <w:color w:val="000000" w:themeColor="text1"/>
          <w:sz w:val="24"/>
          <w:szCs w:val="24"/>
        </w:rPr>
        <w:t xml:space="preserve">The prominence framework, legislated </w:t>
      </w:r>
      <w:r>
        <w:rPr>
          <w:color w:val="000000" w:themeColor="text1"/>
          <w:sz w:val="24"/>
          <w:szCs w:val="24"/>
        </w:rPr>
        <w:t xml:space="preserve">in Part 9E of the </w:t>
      </w:r>
      <w:r w:rsidR="00FA03B1" w:rsidRPr="00915F02">
        <w:rPr>
          <w:i/>
          <w:iCs/>
          <w:color w:val="000000" w:themeColor="text1"/>
          <w:sz w:val="24"/>
          <w:szCs w:val="24"/>
        </w:rPr>
        <w:t>Broadcasting Services Act 1992</w:t>
      </w:r>
      <w:r>
        <w:rPr>
          <w:color w:val="000000" w:themeColor="text1"/>
          <w:sz w:val="24"/>
          <w:szCs w:val="24"/>
        </w:rPr>
        <w:t>,</w:t>
      </w:r>
      <w:r w:rsidRPr="0052557C">
        <w:rPr>
          <w:color w:val="000000" w:themeColor="text1"/>
          <w:sz w:val="24"/>
          <w:szCs w:val="24"/>
        </w:rPr>
        <w:t xml:space="preserve"> supports the availability of </w:t>
      </w:r>
      <w:r>
        <w:rPr>
          <w:color w:val="000000" w:themeColor="text1"/>
          <w:sz w:val="24"/>
          <w:szCs w:val="24"/>
        </w:rPr>
        <w:t xml:space="preserve">local </w:t>
      </w:r>
      <w:r w:rsidRPr="0052557C">
        <w:rPr>
          <w:color w:val="000000" w:themeColor="text1"/>
          <w:sz w:val="24"/>
          <w:szCs w:val="24"/>
        </w:rPr>
        <w:t xml:space="preserve">free-to-air </w:t>
      </w:r>
      <w:r>
        <w:rPr>
          <w:color w:val="000000" w:themeColor="text1"/>
          <w:sz w:val="24"/>
          <w:szCs w:val="24"/>
        </w:rPr>
        <w:t>television</w:t>
      </w:r>
      <w:r w:rsidRPr="0052557C">
        <w:rPr>
          <w:color w:val="000000" w:themeColor="text1"/>
          <w:sz w:val="24"/>
          <w:szCs w:val="24"/>
        </w:rPr>
        <w:t xml:space="preserve"> services (‘regulated television services’)</w:t>
      </w:r>
      <w:r>
        <w:rPr>
          <w:color w:val="000000" w:themeColor="text1"/>
          <w:sz w:val="24"/>
          <w:szCs w:val="24"/>
        </w:rPr>
        <w:t xml:space="preserve">, by regulating their accessibility and prominent display </w:t>
      </w:r>
      <w:r w:rsidRPr="0052557C">
        <w:rPr>
          <w:color w:val="000000" w:themeColor="text1"/>
          <w:sz w:val="24"/>
          <w:szCs w:val="24"/>
        </w:rPr>
        <w:t xml:space="preserve">on ‘regulated television devices’ (those that are primarily used to provide </w:t>
      </w:r>
      <w:r>
        <w:rPr>
          <w:color w:val="000000" w:themeColor="text1"/>
          <w:sz w:val="24"/>
          <w:szCs w:val="24"/>
        </w:rPr>
        <w:t>television</w:t>
      </w:r>
      <w:r w:rsidRPr="0052557C">
        <w:rPr>
          <w:color w:val="000000" w:themeColor="text1"/>
          <w:sz w:val="24"/>
          <w:szCs w:val="24"/>
        </w:rPr>
        <w:t xml:space="preserve"> or </w:t>
      </w:r>
      <w:r>
        <w:rPr>
          <w:color w:val="000000" w:themeColor="text1"/>
          <w:sz w:val="24"/>
          <w:szCs w:val="24"/>
        </w:rPr>
        <w:t>television</w:t>
      </w:r>
      <w:r w:rsidRPr="0052557C">
        <w:rPr>
          <w:color w:val="000000" w:themeColor="text1"/>
          <w:sz w:val="24"/>
          <w:szCs w:val="24"/>
        </w:rPr>
        <w:t xml:space="preserve">-like content). </w:t>
      </w:r>
      <w:r w:rsidR="002548E4" w:rsidRPr="0052557C">
        <w:rPr>
          <w:color w:val="000000" w:themeColor="text1"/>
          <w:sz w:val="24"/>
          <w:szCs w:val="24"/>
        </w:rPr>
        <w:t>Subsection 130</w:t>
      </w:r>
      <w:proofErr w:type="gramStart"/>
      <w:r w:rsidR="002548E4" w:rsidRPr="0052557C">
        <w:rPr>
          <w:color w:val="000000" w:themeColor="text1"/>
          <w:sz w:val="24"/>
          <w:szCs w:val="24"/>
        </w:rPr>
        <w:t>ZZJ(</w:t>
      </w:r>
      <w:proofErr w:type="gramEnd"/>
      <w:r w:rsidR="002548E4">
        <w:rPr>
          <w:color w:val="000000" w:themeColor="text1"/>
          <w:sz w:val="24"/>
          <w:szCs w:val="24"/>
        </w:rPr>
        <w:t>1</w:t>
      </w:r>
      <w:r w:rsidR="002548E4" w:rsidRPr="0052557C">
        <w:rPr>
          <w:color w:val="000000" w:themeColor="text1"/>
          <w:sz w:val="24"/>
          <w:szCs w:val="24"/>
        </w:rPr>
        <w:t xml:space="preserve">) of the </w:t>
      </w:r>
      <w:r w:rsidR="002548E4">
        <w:rPr>
          <w:color w:val="000000" w:themeColor="text1"/>
          <w:sz w:val="24"/>
          <w:szCs w:val="24"/>
        </w:rPr>
        <w:t xml:space="preserve">Act establishes what is a ‘regulated television service’ for the purposes of the framework – this is, the services to be afforded prominence. </w:t>
      </w:r>
      <w:r w:rsidR="008C21E7">
        <w:rPr>
          <w:color w:val="000000" w:themeColor="text1"/>
          <w:sz w:val="24"/>
          <w:szCs w:val="24"/>
        </w:rPr>
        <w:t xml:space="preserve">Further, paragraph 130ZZJ(1)(c) of the Act provides that </w:t>
      </w:r>
      <w:r w:rsidR="008C21E7" w:rsidRPr="00AE341F">
        <w:rPr>
          <w:color w:val="000000" w:themeColor="text1"/>
          <w:sz w:val="24"/>
          <w:szCs w:val="24"/>
        </w:rPr>
        <w:t xml:space="preserve">a specified service that the Minister determines, under subsection </w:t>
      </w:r>
      <w:r w:rsidR="008C21E7">
        <w:rPr>
          <w:color w:val="000000" w:themeColor="text1"/>
          <w:sz w:val="24"/>
          <w:szCs w:val="24"/>
        </w:rPr>
        <w:t>130</w:t>
      </w:r>
      <w:proofErr w:type="gramStart"/>
      <w:r w:rsidR="008C21E7">
        <w:rPr>
          <w:color w:val="000000" w:themeColor="text1"/>
          <w:sz w:val="24"/>
          <w:szCs w:val="24"/>
        </w:rPr>
        <w:t>ZZJ</w:t>
      </w:r>
      <w:r w:rsidR="008C21E7" w:rsidRPr="00AE341F">
        <w:rPr>
          <w:color w:val="000000" w:themeColor="text1"/>
          <w:sz w:val="24"/>
          <w:szCs w:val="24"/>
        </w:rPr>
        <w:t>(</w:t>
      </w:r>
      <w:proofErr w:type="gramEnd"/>
      <w:r w:rsidR="008C21E7" w:rsidRPr="00AE341F">
        <w:rPr>
          <w:color w:val="000000" w:themeColor="text1"/>
          <w:sz w:val="24"/>
          <w:szCs w:val="24"/>
        </w:rPr>
        <w:t>2), is a regulated television service</w:t>
      </w:r>
      <w:r w:rsidR="008C21E7">
        <w:rPr>
          <w:color w:val="000000" w:themeColor="text1"/>
          <w:sz w:val="24"/>
          <w:szCs w:val="24"/>
        </w:rPr>
        <w:t xml:space="preserve">. </w:t>
      </w:r>
      <w:r w:rsidR="008C21E7" w:rsidRPr="0052557C">
        <w:rPr>
          <w:color w:val="000000" w:themeColor="text1"/>
          <w:sz w:val="24"/>
          <w:szCs w:val="24"/>
        </w:rPr>
        <w:t>Subsection 130</w:t>
      </w:r>
      <w:proofErr w:type="gramStart"/>
      <w:r w:rsidR="008C21E7" w:rsidRPr="0052557C">
        <w:rPr>
          <w:color w:val="000000" w:themeColor="text1"/>
          <w:sz w:val="24"/>
          <w:szCs w:val="24"/>
        </w:rPr>
        <w:t>ZZJ(</w:t>
      </w:r>
      <w:proofErr w:type="gramEnd"/>
      <w:r w:rsidR="008C21E7" w:rsidRPr="0052557C">
        <w:rPr>
          <w:color w:val="000000" w:themeColor="text1"/>
          <w:sz w:val="24"/>
          <w:szCs w:val="24"/>
        </w:rPr>
        <w:t xml:space="preserve">2) of the </w:t>
      </w:r>
      <w:r w:rsidR="008C21E7">
        <w:rPr>
          <w:color w:val="000000" w:themeColor="text1"/>
          <w:sz w:val="24"/>
          <w:szCs w:val="24"/>
        </w:rPr>
        <w:t xml:space="preserve">Act </w:t>
      </w:r>
      <w:r w:rsidR="008C21E7" w:rsidRPr="0052557C">
        <w:rPr>
          <w:color w:val="000000" w:themeColor="text1"/>
          <w:sz w:val="24"/>
          <w:szCs w:val="24"/>
        </w:rPr>
        <w:t xml:space="preserve">provides the </w:t>
      </w:r>
      <w:r w:rsidR="008C21E7">
        <w:rPr>
          <w:color w:val="000000" w:themeColor="text1"/>
          <w:sz w:val="24"/>
          <w:szCs w:val="24"/>
        </w:rPr>
        <w:t>any such determination is made by a legislative instrument.</w:t>
      </w:r>
    </w:p>
    <w:p w14:paraId="65893322" w14:textId="77777777" w:rsidR="008C21E7" w:rsidRDefault="008C21E7" w:rsidP="009909AB">
      <w:pPr>
        <w:rPr>
          <w:color w:val="000000" w:themeColor="text1"/>
          <w:sz w:val="24"/>
          <w:szCs w:val="24"/>
        </w:rPr>
      </w:pPr>
    </w:p>
    <w:p w14:paraId="4F7D1F61" w14:textId="17C46CA8" w:rsidR="009909AB" w:rsidRDefault="009909AB" w:rsidP="009909AB">
      <w:pPr>
        <w:rPr>
          <w:color w:val="000000" w:themeColor="text1"/>
          <w:sz w:val="24"/>
          <w:szCs w:val="24"/>
        </w:rPr>
      </w:pPr>
      <w:r w:rsidRPr="003A5E60">
        <w:rPr>
          <w:color w:val="000000" w:themeColor="text1"/>
          <w:sz w:val="24"/>
          <w:szCs w:val="24"/>
        </w:rPr>
        <w:t xml:space="preserve">The designation </w:t>
      </w:r>
      <w:r>
        <w:rPr>
          <w:color w:val="000000" w:themeColor="text1"/>
          <w:sz w:val="24"/>
          <w:szCs w:val="24"/>
        </w:rPr>
        <w:t>of services in th</w:t>
      </w:r>
      <w:r w:rsidR="002548E4">
        <w:rPr>
          <w:color w:val="000000" w:themeColor="text1"/>
          <w:sz w:val="24"/>
          <w:szCs w:val="24"/>
        </w:rPr>
        <w:t>e</w:t>
      </w:r>
      <w:r>
        <w:rPr>
          <w:color w:val="000000" w:themeColor="text1"/>
          <w:sz w:val="24"/>
          <w:szCs w:val="24"/>
        </w:rPr>
        <w:t xml:space="preserve"> Determination </w:t>
      </w:r>
      <w:r w:rsidRPr="003A5E60">
        <w:rPr>
          <w:color w:val="000000" w:themeColor="text1"/>
          <w:sz w:val="24"/>
          <w:szCs w:val="24"/>
        </w:rPr>
        <w:t>would require the manufacturers of regulated television devices to ensure that the relevant requirements of the prominence framework</w:t>
      </w:r>
      <w:r>
        <w:rPr>
          <w:color w:val="000000" w:themeColor="text1"/>
          <w:sz w:val="24"/>
          <w:szCs w:val="24"/>
        </w:rPr>
        <w:t xml:space="preserve"> are complied with</w:t>
      </w:r>
      <w:r w:rsidRPr="003A5E60">
        <w:rPr>
          <w:color w:val="000000" w:themeColor="text1"/>
          <w:sz w:val="24"/>
          <w:szCs w:val="24"/>
        </w:rPr>
        <w:t xml:space="preserve"> in relation to</w:t>
      </w:r>
      <w:r>
        <w:rPr>
          <w:color w:val="000000" w:themeColor="text1"/>
          <w:sz w:val="24"/>
          <w:szCs w:val="24"/>
        </w:rPr>
        <w:t xml:space="preserve"> the service.</w:t>
      </w:r>
    </w:p>
    <w:p w14:paraId="1FEA5E04" w14:textId="496CB102" w:rsidR="006C6DBD" w:rsidRDefault="006C6DBD">
      <w:pPr>
        <w:rPr>
          <w:color w:val="000000" w:themeColor="text1"/>
          <w:sz w:val="24"/>
          <w:szCs w:val="24"/>
        </w:rPr>
      </w:pPr>
    </w:p>
    <w:bookmarkEnd w:id="6"/>
    <w:p w14:paraId="02F457BA" w14:textId="525E0AD5" w:rsidR="00E32D78" w:rsidRPr="006A1B7E" w:rsidRDefault="006502E1" w:rsidP="0017246E">
      <w:pPr>
        <w:pStyle w:val="NormalWeb"/>
        <w:spacing w:before="0" w:beforeAutospacing="0" w:after="0" w:afterAutospacing="0"/>
        <w:rPr>
          <w:b/>
        </w:rPr>
      </w:pPr>
      <w:r>
        <w:rPr>
          <w:b/>
        </w:rPr>
        <w:t>Human rights implications</w:t>
      </w:r>
    </w:p>
    <w:p w14:paraId="161C44FB" w14:textId="77777777" w:rsidR="006C6DBD" w:rsidRDefault="006C6DBD" w:rsidP="006C6DBD">
      <w:pPr>
        <w:pStyle w:val="NormalWeb"/>
        <w:spacing w:before="0" w:beforeAutospacing="0" w:after="0" w:afterAutospacing="0"/>
        <w:rPr>
          <w:color w:val="000000"/>
        </w:rPr>
      </w:pPr>
    </w:p>
    <w:p w14:paraId="3279EF39" w14:textId="30CE49FF" w:rsidR="00090CDA" w:rsidRDefault="00090CDA" w:rsidP="006C6DBD">
      <w:pPr>
        <w:pStyle w:val="NormalWeb"/>
        <w:spacing w:before="0" w:beforeAutospacing="0" w:after="0" w:afterAutospacing="0"/>
        <w:rPr>
          <w:color w:val="000000"/>
        </w:rPr>
      </w:pPr>
      <w:r w:rsidRPr="00AE0D1A">
        <w:rPr>
          <w:color w:val="000000"/>
        </w:rPr>
        <w:t xml:space="preserve">The </w:t>
      </w:r>
      <w:r w:rsidR="00B32087">
        <w:rPr>
          <w:color w:val="000000"/>
        </w:rPr>
        <w:t xml:space="preserve">Determination is </w:t>
      </w:r>
      <w:r w:rsidRPr="00AE0D1A">
        <w:rPr>
          <w:color w:val="000000"/>
        </w:rPr>
        <w:t>compatible with the human rights and freedoms recognised or declared in the international instruments listed in section 3 of the </w:t>
      </w:r>
      <w:r w:rsidRPr="00AE0D1A">
        <w:rPr>
          <w:i/>
          <w:iCs/>
          <w:color w:val="000000"/>
        </w:rPr>
        <w:t>Human Rights (Parliamentary Scrutiny) Act 2011</w:t>
      </w:r>
      <w:r w:rsidRPr="00AE0D1A">
        <w:rPr>
          <w:color w:val="000000"/>
        </w:rPr>
        <w:t xml:space="preserve">. </w:t>
      </w:r>
    </w:p>
    <w:p w14:paraId="6AD51783" w14:textId="77777777" w:rsidR="006C6DBD" w:rsidRPr="00AE0D1A" w:rsidRDefault="006C6DBD" w:rsidP="0017246E">
      <w:pPr>
        <w:pStyle w:val="NormalWeb"/>
        <w:spacing w:before="0" w:beforeAutospacing="0" w:after="0" w:afterAutospacing="0"/>
      </w:pPr>
    </w:p>
    <w:p w14:paraId="0ADB1E60" w14:textId="71C30733" w:rsidR="00090CDA" w:rsidRPr="003B1E34" w:rsidRDefault="00090CDA">
      <w:pPr>
        <w:ind w:right="91"/>
        <w:rPr>
          <w:sz w:val="24"/>
        </w:rPr>
      </w:pPr>
      <w:r>
        <w:rPr>
          <w:sz w:val="24"/>
        </w:rPr>
        <w:t xml:space="preserve">The compatibility of the legislated prominence framework with human rights was comprehensively assessed through the Statement of Compatibility with Human Rights provided in the Explanatory Memorandum to the </w:t>
      </w:r>
      <w:r w:rsidRPr="003B1E34">
        <w:rPr>
          <w:i/>
          <w:sz w:val="24"/>
        </w:rPr>
        <w:t xml:space="preserve">Communications Legislation Amendment (Prominence and Anti-siphoning) </w:t>
      </w:r>
      <w:r w:rsidR="00591E9C">
        <w:rPr>
          <w:i/>
          <w:sz w:val="24"/>
        </w:rPr>
        <w:t xml:space="preserve">Bill 2024 </w:t>
      </w:r>
      <w:r w:rsidR="00591E9C">
        <w:rPr>
          <w:sz w:val="24"/>
        </w:rPr>
        <w:t>(the Bill)</w:t>
      </w:r>
      <w:r w:rsidR="00591E9C">
        <w:rPr>
          <w:i/>
          <w:sz w:val="24"/>
        </w:rPr>
        <w:t>.</w:t>
      </w:r>
      <w:r>
        <w:rPr>
          <w:sz w:val="24"/>
        </w:rPr>
        <w:t xml:space="preserve"> The statement provided that the framework contained in the </w:t>
      </w:r>
      <w:r w:rsidR="00591E9C">
        <w:rPr>
          <w:sz w:val="24"/>
        </w:rPr>
        <w:t>Bill</w:t>
      </w:r>
      <w:r>
        <w:rPr>
          <w:sz w:val="24"/>
        </w:rPr>
        <w:t xml:space="preserve"> was compatible with human rights and freedoms by </w:t>
      </w:r>
      <w:r w:rsidRPr="00A2391F">
        <w:rPr>
          <w:sz w:val="24"/>
        </w:rPr>
        <w:t>provid</w:t>
      </w:r>
      <w:r>
        <w:rPr>
          <w:sz w:val="24"/>
        </w:rPr>
        <w:t xml:space="preserve">ing </w:t>
      </w:r>
      <w:r w:rsidRPr="00A2391F">
        <w:rPr>
          <w:sz w:val="24"/>
        </w:rPr>
        <w:t>access to crucial information for democratic and social participation</w:t>
      </w:r>
      <w:r>
        <w:rPr>
          <w:sz w:val="24"/>
        </w:rPr>
        <w:t xml:space="preserve">, as well as </w:t>
      </w:r>
      <w:r w:rsidRPr="00A2391F">
        <w:rPr>
          <w:sz w:val="24"/>
        </w:rPr>
        <w:t>access to mass media</w:t>
      </w:r>
      <w:r>
        <w:rPr>
          <w:sz w:val="24"/>
        </w:rPr>
        <w:t xml:space="preserve"> and television services</w:t>
      </w:r>
      <w:r w:rsidRPr="00A2391F">
        <w:rPr>
          <w:sz w:val="24"/>
        </w:rPr>
        <w:t>, relevant at a regional and national level</w:t>
      </w:r>
      <w:r>
        <w:rPr>
          <w:sz w:val="24"/>
        </w:rPr>
        <w:t xml:space="preserve">, </w:t>
      </w:r>
      <w:r w:rsidRPr="00A2391F">
        <w:rPr>
          <w:sz w:val="24"/>
        </w:rPr>
        <w:t>that reflect and promote local culture</w:t>
      </w:r>
      <w:r>
        <w:rPr>
          <w:sz w:val="24"/>
        </w:rPr>
        <w:t>.</w:t>
      </w:r>
    </w:p>
    <w:p w14:paraId="1328F2FD" w14:textId="77777777" w:rsidR="00090CDA" w:rsidRDefault="00090CDA">
      <w:pPr>
        <w:shd w:val="clear" w:color="auto" w:fill="FFFFFF"/>
        <w:rPr>
          <w:color w:val="000000"/>
          <w:sz w:val="24"/>
          <w:szCs w:val="24"/>
          <w:lang w:val="en-GB"/>
        </w:rPr>
      </w:pPr>
    </w:p>
    <w:p w14:paraId="24FE8A89" w14:textId="2524C3CA" w:rsidR="00090CDA" w:rsidRDefault="00090CDA">
      <w:pPr>
        <w:shd w:val="clear" w:color="auto" w:fill="FFFFFF"/>
        <w:rPr>
          <w:color w:val="000000"/>
          <w:sz w:val="24"/>
          <w:szCs w:val="24"/>
          <w:lang w:val="en-GB"/>
        </w:rPr>
      </w:pPr>
      <w:r>
        <w:rPr>
          <w:color w:val="000000"/>
          <w:sz w:val="24"/>
          <w:szCs w:val="24"/>
          <w:lang w:val="en-GB"/>
        </w:rPr>
        <w:lastRenderedPageBreak/>
        <w:t xml:space="preserve">This Determination is an </w:t>
      </w:r>
      <w:r w:rsidR="00B32087">
        <w:rPr>
          <w:color w:val="000000"/>
          <w:sz w:val="24"/>
          <w:szCs w:val="24"/>
          <w:lang w:val="en-GB"/>
        </w:rPr>
        <w:t>extension</w:t>
      </w:r>
      <w:r>
        <w:rPr>
          <w:color w:val="000000"/>
          <w:sz w:val="24"/>
          <w:szCs w:val="24"/>
          <w:lang w:val="en-GB"/>
        </w:rPr>
        <w:t xml:space="preserve"> of this framework</w:t>
      </w:r>
      <w:r w:rsidR="00B32087">
        <w:rPr>
          <w:color w:val="000000"/>
          <w:sz w:val="24"/>
          <w:szCs w:val="24"/>
          <w:lang w:val="en-GB"/>
        </w:rPr>
        <w:t xml:space="preserve"> </w:t>
      </w:r>
      <w:r>
        <w:rPr>
          <w:color w:val="000000"/>
          <w:sz w:val="24"/>
          <w:szCs w:val="24"/>
          <w:lang w:val="en-GB"/>
        </w:rPr>
        <w:t>and</w:t>
      </w:r>
      <w:r w:rsidR="00B32087">
        <w:rPr>
          <w:color w:val="000000"/>
          <w:sz w:val="24"/>
          <w:szCs w:val="24"/>
          <w:lang w:val="en-GB"/>
        </w:rPr>
        <w:t>,</w:t>
      </w:r>
      <w:r>
        <w:rPr>
          <w:color w:val="000000"/>
          <w:sz w:val="24"/>
          <w:szCs w:val="24"/>
          <w:lang w:val="en-GB"/>
        </w:rPr>
        <w:t xml:space="preserve"> as such, </w:t>
      </w:r>
      <w:r w:rsidR="003F33AA">
        <w:rPr>
          <w:color w:val="000000"/>
          <w:sz w:val="24"/>
          <w:szCs w:val="24"/>
          <w:lang w:val="en-GB"/>
        </w:rPr>
        <w:t xml:space="preserve">it </w:t>
      </w:r>
      <w:r>
        <w:rPr>
          <w:color w:val="000000"/>
          <w:sz w:val="24"/>
          <w:szCs w:val="24"/>
          <w:lang w:val="en-GB"/>
        </w:rPr>
        <w:t>may engage with human rights to the same extent, resulting in the same impacts.</w:t>
      </w:r>
      <w:r w:rsidR="003F33AA">
        <w:rPr>
          <w:color w:val="000000"/>
          <w:sz w:val="24"/>
          <w:szCs w:val="24"/>
          <w:lang w:val="en-GB"/>
        </w:rPr>
        <w:t xml:space="preserve"> Particularly it may engage the following rights:</w:t>
      </w:r>
    </w:p>
    <w:p w14:paraId="7A6048B6" w14:textId="77777777" w:rsidR="00E05E44" w:rsidRDefault="00E05E44" w:rsidP="0017246E">
      <w:pPr>
        <w:pStyle w:val="ListParagraph"/>
        <w:shd w:val="clear" w:color="auto" w:fill="FFFFFF"/>
        <w:ind w:left="360"/>
        <w:contextualSpacing w:val="0"/>
        <w:rPr>
          <w:color w:val="000000"/>
          <w:sz w:val="24"/>
          <w:szCs w:val="24"/>
          <w:lang w:val="en-GB"/>
        </w:rPr>
      </w:pPr>
    </w:p>
    <w:p w14:paraId="0301403D" w14:textId="2EA7E747" w:rsidR="003F33AA" w:rsidRPr="0017246E" w:rsidRDefault="003F33AA" w:rsidP="0017246E">
      <w:pPr>
        <w:pStyle w:val="ListParagraph"/>
        <w:numPr>
          <w:ilvl w:val="0"/>
          <w:numId w:val="43"/>
        </w:numPr>
        <w:shd w:val="clear" w:color="auto" w:fill="FFFFFF"/>
        <w:contextualSpacing w:val="0"/>
        <w:rPr>
          <w:color w:val="000000"/>
          <w:sz w:val="24"/>
          <w:szCs w:val="24"/>
          <w:lang w:val="en-GB"/>
        </w:rPr>
      </w:pPr>
      <w:r w:rsidRPr="003F33AA">
        <w:rPr>
          <w:color w:val="000000"/>
          <w:sz w:val="24"/>
          <w:szCs w:val="24"/>
          <w:lang w:val="en-GB"/>
        </w:rPr>
        <w:t xml:space="preserve">the right to freedom of expression in Article 19 of the </w:t>
      </w:r>
      <w:r w:rsidRPr="0017246E">
        <w:rPr>
          <w:i/>
          <w:color w:val="000000"/>
          <w:sz w:val="24"/>
          <w:szCs w:val="24"/>
          <w:lang w:val="en-GB"/>
        </w:rPr>
        <w:t>International Covenant on Civil and Political Rights</w:t>
      </w:r>
      <w:r w:rsidRPr="0017246E">
        <w:rPr>
          <w:color w:val="000000"/>
          <w:sz w:val="24"/>
          <w:szCs w:val="24"/>
          <w:lang w:val="en-GB"/>
        </w:rPr>
        <w:t xml:space="preserve"> (ICCPR);</w:t>
      </w:r>
    </w:p>
    <w:p w14:paraId="527818A5" w14:textId="77777777" w:rsidR="00E05E44" w:rsidRDefault="00E05E44" w:rsidP="0017246E">
      <w:pPr>
        <w:pStyle w:val="ListParagraph"/>
        <w:shd w:val="clear" w:color="auto" w:fill="FFFFFF"/>
        <w:ind w:left="360"/>
        <w:contextualSpacing w:val="0"/>
        <w:rPr>
          <w:color w:val="000000"/>
          <w:sz w:val="24"/>
          <w:szCs w:val="24"/>
          <w:lang w:val="en-GB"/>
        </w:rPr>
      </w:pPr>
    </w:p>
    <w:p w14:paraId="18601214" w14:textId="5AD2579D" w:rsidR="003F33AA" w:rsidRPr="003C0A10" w:rsidRDefault="003F33AA" w:rsidP="0017246E">
      <w:pPr>
        <w:pStyle w:val="ListParagraph"/>
        <w:numPr>
          <w:ilvl w:val="0"/>
          <w:numId w:val="43"/>
        </w:numPr>
        <w:shd w:val="clear" w:color="auto" w:fill="FFFFFF"/>
        <w:contextualSpacing w:val="0"/>
        <w:rPr>
          <w:color w:val="000000"/>
          <w:sz w:val="24"/>
          <w:szCs w:val="24"/>
          <w:lang w:val="en-GB"/>
        </w:rPr>
      </w:pPr>
      <w:r w:rsidRPr="003F33AA">
        <w:rPr>
          <w:color w:val="000000"/>
          <w:sz w:val="24"/>
          <w:szCs w:val="24"/>
          <w:lang w:val="en-GB"/>
        </w:rPr>
        <w:t>the right to enjoy and benefit from culture in Article 27 of the ICCPR</w:t>
      </w:r>
      <w:r>
        <w:rPr>
          <w:color w:val="000000"/>
          <w:sz w:val="24"/>
          <w:szCs w:val="24"/>
          <w:lang w:val="en-GB"/>
        </w:rPr>
        <w:t>; and</w:t>
      </w:r>
    </w:p>
    <w:p w14:paraId="60BC85C3" w14:textId="77777777" w:rsidR="00E05E44" w:rsidRDefault="00E05E44" w:rsidP="0017246E">
      <w:pPr>
        <w:pStyle w:val="ListParagraph"/>
        <w:shd w:val="clear" w:color="auto" w:fill="FFFFFF"/>
        <w:ind w:left="360"/>
        <w:contextualSpacing w:val="0"/>
        <w:rPr>
          <w:color w:val="000000"/>
          <w:sz w:val="24"/>
          <w:szCs w:val="24"/>
          <w:lang w:val="en-GB"/>
        </w:rPr>
      </w:pPr>
    </w:p>
    <w:p w14:paraId="39F1661A" w14:textId="0E77DB40" w:rsidR="003F33AA" w:rsidRPr="0017246E" w:rsidRDefault="003F33AA" w:rsidP="0017246E">
      <w:pPr>
        <w:pStyle w:val="ListParagraph"/>
        <w:numPr>
          <w:ilvl w:val="0"/>
          <w:numId w:val="43"/>
        </w:numPr>
        <w:shd w:val="clear" w:color="auto" w:fill="FFFFFF"/>
        <w:contextualSpacing w:val="0"/>
        <w:rPr>
          <w:color w:val="000000"/>
          <w:sz w:val="24"/>
          <w:szCs w:val="24"/>
          <w:lang w:val="en-GB"/>
        </w:rPr>
      </w:pPr>
      <w:r w:rsidRPr="003F33AA">
        <w:rPr>
          <w:color w:val="000000"/>
          <w:sz w:val="24"/>
          <w:szCs w:val="24"/>
          <w:lang w:val="en-GB"/>
        </w:rPr>
        <w:t xml:space="preserve">the right of everyone to take part in cultural life in Article 15 of the </w:t>
      </w:r>
      <w:r w:rsidRPr="0017246E">
        <w:rPr>
          <w:i/>
          <w:color w:val="000000"/>
          <w:sz w:val="24"/>
          <w:szCs w:val="24"/>
          <w:lang w:val="en-GB"/>
        </w:rPr>
        <w:t>International Covenant on Economic, Social and Cultural Rights</w:t>
      </w:r>
      <w:r w:rsidRPr="0017246E">
        <w:rPr>
          <w:color w:val="000000"/>
          <w:sz w:val="24"/>
          <w:szCs w:val="24"/>
          <w:lang w:val="en-GB"/>
        </w:rPr>
        <w:t xml:space="preserve"> (ICESCR)</w:t>
      </w:r>
      <w:r w:rsidR="00E05E44">
        <w:rPr>
          <w:color w:val="000000"/>
          <w:sz w:val="24"/>
          <w:szCs w:val="24"/>
          <w:lang w:val="en-GB"/>
        </w:rPr>
        <w:t xml:space="preserve">. </w:t>
      </w:r>
      <w:r w:rsidRPr="0017246E">
        <w:rPr>
          <w:color w:val="000000"/>
          <w:sz w:val="24"/>
          <w:szCs w:val="24"/>
          <w:lang w:val="en-GB"/>
        </w:rPr>
        <w:t xml:space="preserve"> </w:t>
      </w:r>
    </w:p>
    <w:p w14:paraId="287B1D69" w14:textId="77777777" w:rsidR="006C6DBD" w:rsidRPr="006A1B7E" w:rsidRDefault="006C6DBD" w:rsidP="0017246E">
      <w:pPr>
        <w:pStyle w:val="NormalWeb"/>
        <w:spacing w:before="0" w:beforeAutospacing="0" w:after="0" w:afterAutospacing="0"/>
      </w:pPr>
    </w:p>
    <w:p w14:paraId="37301A38" w14:textId="728C2B2A" w:rsidR="0008004A" w:rsidRDefault="0008004A" w:rsidP="006C6DBD">
      <w:pPr>
        <w:pStyle w:val="NormalWeb"/>
        <w:spacing w:before="0" w:beforeAutospacing="0" w:after="0" w:afterAutospacing="0"/>
      </w:pPr>
      <w:r w:rsidRPr="006A1B7E">
        <w:t>Art</w:t>
      </w:r>
      <w:r w:rsidR="00485A2D" w:rsidRPr="006A1B7E">
        <w:t xml:space="preserve">icle 19 of the ICCPR protects freedom of expression, including the right to seek, receive and impart information and ideas of all kinds, through any medium, including written and oral communication, media and </w:t>
      </w:r>
      <w:r w:rsidR="00991756">
        <w:t xml:space="preserve">television </w:t>
      </w:r>
      <w:r w:rsidR="00485A2D" w:rsidRPr="006A1B7E">
        <w:t xml:space="preserve">broadcasting. Free-to-air television services provide local, national and international news, information during emergencies and natural disasters, sport, drama, and Australian content to all Australians, regardless of their location or income. By </w:t>
      </w:r>
      <w:r w:rsidR="00B32087">
        <w:t>designating</w:t>
      </w:r>
      <w:r w:rsidR="00B32087" w:rsidRPr="006A1B7E">
        <w:t xml:space="preserve"> </w:t>
      </w:r>
      <w:r w:rsidR="006A1B7E" w:rsidRPr="006A1B7E">
        <w:t xml:space="preserve">C44 </w:t>
      </w:r>
      <w:r w:rsidR="00B32087">
        <w:t>to be</w:t>
      </w:r>
      <w:r w:rsidR="006A1B7E" w:rsidRPr="006A1B7E">
        <w:t xml:space="preserve"> a regulated television service</w:t>
      </w:r>
      <w:r w:rsidR="00B32087">
        <w:t xml:space="preserve">, the Determination will ensure that C44 is </w:t>
      </w:r>
      <w:r w:rsidR="00485A2D" w:rsidRPr="006A1B7E">
        <w:t>present and easily accessible on regulated television devices</w:t>
      </w:r>
      <w:r w:rsidR="006A1B7E">
        <w:t>. Th</w:t>
      </w:r>
      <w:r w:rsidR="00B32087">
        <w:t xml:space="preserve">is will </w:t>
      </w:r>
      <w:r w:rsidR="00485A2D" w:rsidRPr="006A1B7E">
        <w:t xml:space="preserve">increase public access to a range of information and </w:t>
      </w:r>
      <w:r w:rsidR="00485A2D" w:rsidRPr="007D2AAA">
        <w:t>ideas that are of public significance at a local, regional or national level.</w:t>
      </w:r>
    </w:p>
    <w:p w14:paraId="011EEE3C" w14:textId="77777777" w:rsidR="006C6DBD" w:rsidRPr="007D2AAA" w:rsidRDefault="006C6DBD" w:rsidP="0017246E">
      <w:pPr>
        <w:pStyle w:val="NormalWeb"/>
        <w:spacing w:before="0" w:beforeAutospacing="0" w:after="0" w:afterAutospacing="0"/>
      </w:pPr>
    </w:p>
    <w:p w14:paraId="71F8A8B7" w14:textId="488258B0" w:rsidR="006C6DBD" w:rsidRDefault="001061EE" w:rsidP="006C6DBD">
      <w:pPr>
        <w:pStyle w:val="NormalWeb"/>
        <w:spacing w:before="0" w:beforeAutospacing="0" w:after="0" w:afterAutospacing="0"/>
      </w:pPr>
      <w:r>
        <w:t xml:space="preserve">Article 27 of the ICCPR and </w:t>
      </w:r>
      <w:r w:rsidR="00AF532C" w:rsidRPr="007D2AAA">
        <w:t xml:space="preserve">Article 15(1) </w:t>
      </w:r>
      <w:r w:rsidR="00C06E8A" w:rsidRPr="007D2AAA">
        <w:t xml:space="preserve">of the ICESCR </w:t>
      </w:r>
      <w:r>
        <w:t xml:space="preserve">respectively </w:t>
      </w:r>
      <w:r w:rsidR="00C06E8A" w:rsidRPr="007D2AAA">
        <w:t>recognise</w:t>
      </w:r>
      <w:r w:rsidR="00AF532C" w:rsidRPr="007D2AAA">
        <w:t xml:space="preserve"> </w:t>
      </w:r>
      <w:r>
        <w:t xml:space="preserve">the right to enjoy and benefit from culture and </w:t>
      </w:r>
      <w:r w:rsidR="00AF532C" w:rsidRPr="007D2AAA">
        <w:t xml:space="preserve">the right of everyone to take part in cultural life. </w:t>
      </w:r>
      <w:r w:rsidR="00485A2D" w:rsidRPr="007D2AAA">
        <w:t xml:space="preserve">The </w:t>
      </w:r>
      <w:r w:rsidR="00991756">
        <w:t>D</w:t>
      </w:r>
      <w:r w:rsidR="007D2AAA" w:rsidRPr="007D2AAA">
        <w:t>etermination</w:t>
      </w:r>
      <w:r w:rsidR="00485A2D" w:rsidRPr="007D2AAA">
        <w:t xml:space="preserve"> supports the right to culture by ensuring Australian communities continue to easily access local, free television services that are meaningful and locally relevant to them</w:t>
      </w:r>
      <w:r w:rsidR="00AF532C" w:rsidRPr="007D2AAA">
        <w:t>.</w:t>
      </w:r>
    </w:p>
    <w:p w14:paraId="6864DCB9" w14:textId="1AA61ECF" w:rsidR="00E32D78" w:rsidRPr="007D2AAA" w:rsidRDefault="00C06E8A" w:rsidP="0017246E">
      <w:pPr>
        <w:pStyle w:val="NormalWeb"/>
        <w:spacing w:before="0" w:beforeAutospacing="0" w:after="0" w:afterAutospacing="0"/>
        <w:rPr>
          <w:color w:val="000000"/>
        </w:rPr>
      </w:pPr>
      <w:r w:rsidRPr="007D2AAA">
        <w:t xml:space="preserve"> </w:t>
      </w:r>
    </w:p>
    <w:p w14:paraId="1E1230F7" w14:textId="77777777" w:rsidR="00AE341F" w:rsidRPr="0011175C" w:rsidRDefault="00AE341F" w:rsidP="0017246E">
      <w:pPr>
        <w:rPr>
          <w:color w:val="000000" w:themeColor="text1"/>
          <w:sz w:val="24"/>
          <w:szCs w:val="24"/>
        </w:rPr>
      </w:pPr>
      <w:r w:rsidRPr="00AE0D1A">
        <w:rPr>
          <w:b/>
          <w:color w:val="000000" w:themeColor="text1"/>
          <w:sz w:val="24"/>
          <w:szCs w:val="24"/>
        </w:rPr>
        <w:t>Conclusion</w:t>
      </w:r>
    </w:p>
    <w:p w14:paraId="5DD6853D" w14:textId="77777777" w:rsidR="006C6DBD" w:rsidRDefault="006C6DBD" w:rsidP="006C6DBD">
      <w:pPr>
        <w:pStyle w:val="NormalWeb"/>
        <w:spacing w:before="0" w:beforeAutospacing="0" w:after="0" w:afterAutospacing="0"/>
      </w:pPr>
    </w:p>
    <w:p w14:paraId="3AED23E9" w14:textId="4B91418C" w:rsidR="00AE341F" w:rsidRPr="00A11485" w:rsidRDefault="00AE341F" w:rsidP="0017246E">
      <w:pPr>
        <w:pStyle w:val="NormalWeb"/>
        <w:spacing w:before="0" w:beforeAutospacing="0" w:after="0" w:afterAutospacing="0"/>
      </w:pPr>
      <w:r w:rsidRPr="00FA57C1">
        <w:t xml:space="preserve">The </w:t>
      </w:r>
      <w:r>
        <w:t>Determination is</w:t>
      </w:r>
      <w:r w:rsidRPr="00FA57C1">
        <w:t xml:space="preserve"> compatible with the human rights and freedoms recognised or declared in the international instruments listed in section 3 of the </w:t>
      </w:r>
      <w:r w:rsidRPr="00A11485">
        <w:rPr>
          <w:i/>
        </w:rPr>
        <w:t>Human Rights (Parliamentary Scrutiny) Act 2011</w:t>
      </w:r>
      <w:r w:rsidRPr="00FA57C1">
        <w:t xml:space="preserve">. To the extent that it may engage Article 19 of the ICCPR, it provides access to crucial information for democratic and social participation. To the extent </w:t>
      </w:r>
      <w:r>
        <w:t>it</w:t>
      </w:r>
      <w:r w:rsidRPr="00FA57C1">
        <w:t xml:space="preserve"> may engage Article 27 of the ICCPR and Article 15 of the ICESCR, it promotes access to television services that reflect and promote local culture</w:t>
      </w:r>
      <w:r>
        <w:t>.</w:t>
      </w:r>
    </w:p>
    <w:p w14:paraId="1EE8B19C" w14:textId="77777777" w:rsidR="000F16C6" w:rsidRPr="00D24F72" w:rsidRDefault="000F16C6" w:rsidP="0017246E">
      <w:pPr>
        <w:rPr>
          <w:color w:val="000000" w:themeColor="text1"/>
          <w:sz w:val="24"/>
          <w:szCs w:val="24"/>
        </w:rPr>
      </w:pPr>
    </w:p>
    <w:sectPr w:rsidR="000F16C6" w:rsidRPr="00D24F72" w:rsidSect="004145A2">
      <w:headerReference w:type="default" r:id="rId17"/>
      <w:footerReference w:type="first" r:id="rId18"/>
      <w:pgSz w:w="11906" w:h="16838" w:code="9"/>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8B5ED" w14:textId="77777777" w:rsidR="00EB2ACE" w:rsidRDefault="00EB2ACE" w:rsidP="009A5536">
      <w:r>
        <w:separator/>
      </w:r>
    </w:p>
  </w:endnote>
  <w:endnote w:type="continuationSeparator" w:id="0">
    <w:p w14:paraId="30F846CD" w14:textId="77777777" w:rsidR="00EB2ACE" w:rsidRDefault="00EB2ACE" w:rsidP="009A5536">
      <w:r>
        <w:continuationSeparator/>
      </w:r>
    </w:p>
  </w:endnote>
  <w:endnote w:type="continuationNotice" w:id="1">
    <w:p w14:paraId="2BDE6C0D" w14:textId="77777777" w:rsidR="00EB2ACE" w:rsidRDefault="00EB2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31F9" w14:textId="77777777" w:rsidR="00EB2ACE" w:rsidRDefault="00EB2ACE" w:rsidP="00D74681">
    <w:pPr>
      <w:pStyle w:val="Footer"/>
      <w:spacing w:before="720"/>
      <w:jc w:val="right"/>
    </w:pPr>
    <w:r>
      <w:rPr>
        <w:noProof/>
      </w:rPr>
      <mc:AlternateContent>
        <mc:Choice Requires="wps">
          <w:drawing>
            <wp:anchor distT="0" distB="0" distL="114300" distR="114300" simplePos="0" relativeHeight="251662343" behindDoc="1" locked="1" layoutInCell="1" allowOverlap="1" wp14:anchorId="75252E62" wp14:editId="2E716727">
              <wp:simplePos x="0" y="0"/>
              <wp:positionH relativeFrom="page">
                <wp:align>left</wp:align>
              </wp:positionH>
              <wp:positionV relativeFrom="page">
                <wp:align>bottom</wp:align>
              </wp:positionV>
              <wp:extent cx="1007280" cy="539280"/>
              <wp:effectExtent l="0" t="0" r="254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1F4FB5F" w14:textId="77777777" w:rsidR="00EB2ACE" w:rsidRPr="007A05BE" w:rsidRDefault="00EB2ACE" w:rsidP="00D74681">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52E62" id="_x0000_t202" coordsize="21600,21600" o:spt="202" path="m,l,21600r21600,l21600,xe">
              <v:stroke joinstyle="miter"/>
              <v:path gradientshapeok="t" o:connecttype="rect"/>
            </v:shapetype>
            <v:shape id="Text Box 1" o:spid="_x0000_s1026" type="#_x0000_t202" style="position:absolute;left:0;text-align:left;margin-left:0;margin-top:0;width:79.3pt;height:42.45pt;z-index:-25165413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C6duwtgQIA&#10;AAoFAAAOAAAAAAAAAAAAAAAAAC4CAABkcnMvZTJvRG9jLnhtbFBLAQItABQABgAIAAAAIQBJDJB4&#10;3AAAAAQBAAAPAAAAAAAAAAAAAAAAANsEAABkcnMvZG93bnJldi54bWxQSwUGAAAAAAQABADzAAAA&#10;5AUAAAAA&#10;" filled="f" stroked="f" strokeweight=".5pt">
              <v:textbox inset="18mm,0,0,10mm">
                <w:txbxContent>
                  <w:p w14:paraId="01F4FB5F" w14:textId="77777777" w:rsidR="00EB2ACE" w:rsidRPr="007A05BE" w:rsidRDefault="00EB2ACE" w:rsidP="00D74681">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61319" behindDoc="1" locked="1" layoutInCell="1" allowOverlap="1" wp14:anchorId="4F8F1F41" wp14:editId="40AEE385">
              <wp:simplePos x="0" y="0"/>
              <wp:positionH relativeFrom="page">
                <wp:align>left</wp:align>
              </wp:positionH>
              <wp:positionV relativeFrom="page">
                <wp:align>bottom</wp:align>
              </wp:positionV>
              <wp:extent cx="4320000" cy="539280"/>
              <wp:effectExtent l="0" t="0" r="4445"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1728796528"/>
                            <w:showingPlcHdr/>
                            <w:dataBinding w:prefixMappings="xmlns:ns0='http://purl.org/dc/elements/1.1/' xmlns:ns1='http://schemas.openxmlformats.org/package/2006/metadata/core-properties' " w:xpath="/ns1:coreProperties[1]/ns0:title[1]" w:storeItemID="{6C3C8BC8-F283-45AE-878A-BAB7291924A1}"/>
                            <w:text/>
                          </w:sdtPr>
                          <w:sdtEndPr/>
                          <w:sdtContent>
                            <w:p w14:paraId="0862DD84" w14:textId="77777777" w:rsidR="00EB2ACE" w:rsidRDefault="00EB2ACE" w:rsidP="00D74681">
                              <w:pPr>
                                <w:pStyle w:val="Footer"/>
                              </w:pPr>
                              <w:r>
                                <w:t xml:space="preserve">     </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F1F41" id="Text Box 3" o:spid="_x0000_s1027" type="#_x0000_t202" style="position:absolute;left:0;text-align:left;margin-left:0;margin-top:0;width:340.15pt;height:42.45pt;z-index:-25165516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" filled="f" stroked="f" strokeweight=".5pt">
              <v:textbox inset="28mm,0,0,10mm">
                <w:txbxContent>
                  <w:sdt>
                    <w:sdtPr>
                      <w:alias w:val="Title"/>
                      <w:tag w:val=""/>
                      <w:id w:val="1728796528"/>
                      <w:showingPlcHdr/>
                      <w:dataBinding w:prefixMappings="xmlns:ns0='http://purl.org/dc/elements/1.1/' xmlns:ns1='http://schemas.openxmlformats.org/package/2006/metadata/core-properties' " w:xpath="/ns1:coreProperties[1]/ns0:title[1]" w:storeItemID="{6C3C8BC8-F283-45AE-878A-BAB7291924A1}"/>
                      <w:text/>
                    </w:sdtPr>
                    <w:sdtEndPr/>
                    <w:sdtContent>
                      <w:p w14:paraId="0862DD84" w14:textId="77777777" w:rsidR="00EB2ACE" w:rsidRDefault="00EB2ACE" w:rsidP="00D74681">
                        <w:pPr>
                          <w:pStyle w:val="Footer"/>
                        </w:pPr>
                        <w:r>
                          <w:t xml:space="preserve">     </w:t>
                        </w:r>
                      </w:p>
                    </w:sdtContent>
                  </w:sdt>
                </w:txbxContent>
              </v:textbox>
              <w10:wrap anchorx="page" anchory="page"/>
              <w10:anchorlock/>
            </v:shape>
          </w:pict>
        </mc:Fallback>
      </mc:AlternateContent>
    </w:r>
    <w:r>
      <w:rPr>
        <w:noProof/>
      </w:rPr>
      <w:drawing>
        <wp:anchor distT="0" distB="0" distL="114300" distR="114300" simplePos="0" relativeHeight="251660295" behindDoc="1" locked="1" layoutInCell="1" allowOverlap="1" wp14:anchorId="105B362B" wp14:editId="1639C2BA">
          <wp:simplePos x="0" y="0"/>
          <wp:positionH relativeFrom="page">
            <wp:align>right</wp:align>
          </wp:positionH>
          <wp:positionV relativeFrom="page">
            <wp:align>bottom</wp:align>
          </wp:positionV>
          <wp:extent cx="10692000" cy="183240"/>
          <wp:effectExtent l="0" t="0" r="0" b="762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427756"/>
      <w:docPartObj>
        <w:docPartGallery w:val="Page Numbers (Bottom of Page)"/>
        <w:docPartUnique/>
      </w:docPartObj>
    </w:sdtPr>
    <w:sdtEndPr>
      <w:rPr>
        <w:noProof/>
      </w:rPr>
    </w:sdtEndPr>
    <w:sdtContent>
      <w:p w14:paraId="3DBB0438" w14:textId="77777777" w:rsidR="00EB2ACE" w:rsidRDefault="00EB2A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9DB76D" w14:textId="77777777" w:rsidR="00EB2ACE" w:rsidRDefault="00EB2ACE" w:rsidP="00D74681">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747340"/>
      <w:docPartObj>
        <w:docPartGallery w:val="Page Numbers (Bottom of Page)"/>
        <w:docPartUnique/>
      </w:docPartObj>
    </w:sdtPr>
    <w:sdtEndPr>
      <w:rPr>
        <w:noProof/>
      </w:rPr>
    </w:sdtEndPr>
    <w:sdtContent>
      <w:p w14:paraId="5B841B1F" w14:textId="77777777" w:rsidR="00EB2ACE" w:rsidRDefault="00EB2A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115CB5" w14:textId="77777777" w:rsidR="00EB2ACE" w:rsidRDefault="00EB2A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542825"/>
      <w:docPartObj>
        <w:docPartGallery w:val="Page Numbers (Bottom of Page)"/>
        <w:docPartUnique/>
      </w:docPartObj>
    </w:sdtPr>
    <w:sdtEndPr>
      <w:rPr>
        <w:noProof/>
      </w:rPr>
    </w:sdtEndPr>
    <w:sdtContent>
      <w:p w14:paraId="6E5DA737" w14:textId="77777777" w:rsidR="00EB2ACE" w:rsidRDefault="00EB2A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E4E3F1" w14:textId="77777777" w:rsidR="00EB2ACE" w:rsidRDefault="00EB2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94ADF" w14:textId="77777777" w:rsidR="00EB2ACE" w:rsidRDefault="00EB2ACE" w:rsidP="009A5536">
      <w:r>
        <w:separator/>
      </w:r>
    </w:p>
  </w:footnote>
  <w:footnote w:type="continuationSeparator" w:id="0">
    <w:p w14:paraId="688A414C" w14:textId="77777777" w:rsidR="00EB2ACE" w:rsidRDefault="00EB2ACE" w:rsidP="009A5536">
      <w:r>
        <w:continuationSeparator/>
      </w:r>
    </w:p>
  </w:footnote>
  <w:footnote w:type="continuationNotice" w:id="1">
    <w:p w14:paraId="1922E570" w14:textId="77777777" w:rsidR="00EB2ACE" w:rsidRDefault="00EB2A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AA01" w14:textId="09AD4E86" w:rsidR="00EB2ACE" w:rsidRDefault="00EB2ACE" w:rsidP="00D74681">
    <w:pPr>
      <w:pStyle w:val="Header"/>
      <w:spacing w:after="1320"/>
    </w:pPr>
    <w:r>
      <w:fldChar w:fldCharType="begin"/>
    </w:r>
    <w:r>
      <w:instrText xml:space="preserve"> STYLEREF  "Heading 1"  \* MERGEFORMAT </w:instrText>
    </w:r>
    <w:r>
      <w:fldChar w:fldCharType="separate"/>
    </w:r>
    <w:r w:rsidR="00591E9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0F52" w14:textId="77777777" w:rsidR="00EB2ACE" w:rsidRDefault="00EB2ACE" w:rsidP="00D74681">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C6CB" w14:textId="77777777" w:rsidR="00EB2ACE" w:rsidRDefault="00EB2ACE">
    <w:pPr>
      <w:pStyle w:val="Header"/>
    </w:pPr>
  </w:p>
  <w:p w14:paraId="74E25CF1" w14:textId="77777777" w:rsidR="00EB2ACE" w:rsidRDefault="00EB2ACE">
    <w:pPr>
      <w:pStyle w:val="Header"/>
    </w:pPr>
  </w:p>
  <w:p w14:paraId="2B148BDA" w14:textId="77777777" w:rsidR="00EB2ACE" w:rsidRDefault="00EB2AC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9C7CAF1C"/>
    <w:styleLink w:val="BoxedBullets1"/>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AAA64F24"/>
    <w:styleLink w:val="AttachmentNumbers1"/>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3A3163"/>
    <w:multiLevelType w:val="hybridMultilevel"/>
    <w:tmpl w:val="DB38804E"/>
    <w:lvl w:ilvl="0" w:tplc="A6FA423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3414C6"/>
    <w:multiLevelType w:val="hybridMultilevel"/>
    <w:tmpl w:val="695A1F48"/>
    <w:styleLink w:val="Bullets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A26960"/>
    <w:multiLevelType w:val="hybridMultilevel"/>
    <w:tmpl w:val="C5B2C19E"/>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0B1873"/>
    <w:multiLevelType w:val="hybridMultilevel"/>
    <w:tmpl w:val="7BA28B84"/>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95957CC"/>
    <w:multiLevelType w:val="hybridMultilevel"/>
    <w:tmpl w:val="F5C293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D621AED"/>
    <w:multiLevelType w:val="multilevel"/>
    <w:tmpl w:val="C2EED61A"/>
    <w:numStyleLink w:val="NumberedHeadings"/>
  </w:abstractNum>
  <w:abstractNum w:abstractNumId="9" w15:restartNumberingAfterBreak="0">
    <w:nsid w:val="0D96750D"/>
    <w:multiLevelType w:val="hybridMultilevel"/>
    <w:tmpl w:val="6D025DD0"/>
    <w:lvl w:ilvl="0" w:tplc="4F500EFA">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DF066CB"/>
    <w:multiLevelType w:val="hybridMultilevel"/>
    <w:tmpl w:val="A302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D46AF8"/>
    <w:multiLevelType w:val="hybridMultilevel"/>
    <w:tmpl w:val="F3F21DE4"/>
    <w:styleLink w:val="AppendixNumbers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0A6231"/>
    <w:multiLevelType w:val="hybridMultilevel"/>
    <w:tmpl w:val="72FA6D40"/>
    <w:lvl w:ilvl="0" w:tplc="A6FA423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61284F"/>
    <w:multiLevelType w:val="hybridMultilevel"/>
    <w:tmpl w:val="71184A04"/>
    <w:lvl w:ilvl="0" w:tplc="4F500EFA">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9CE328B"/>
    <w:multiLevelType w:val="hybridMultilevel"/>
    <w:tmpl w:val="6E0E6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26317C"/>
    <w:multiLevelType w:val="hybridMultilevel"/>
    <w:tmpl w:val="05F6F980"/>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E123368"/>
    <w:multiLevelType w:val="hybridMultilevel"/>
    <w:tmpl w:val="A60A75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F56972"/>
    <w:multiLevelType w:val="hybridMultilevel"/>
    <w:tmpl w:val="C362414C"/>
    <w:styleLink w:val="ListLegal1"/>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206D5F"/>
    <w:multiLevelType w:val="hybridMultilevel"/>
    <w:tmpl w:val="56FC5ED8"/>
    <w:lvl w:ilvl="0" w:tplc="A6FA423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DB618E"/>
    <w:multiLevelType w:val="hybridMultilevel"/>
    <w:tmpl w:val="05F6F980"/>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AA51938"/>
    <w:multiLevelType w:val="multilevel"/>
    <w:tmpl w:val="298C34E4"/>
    <w:numStyleLink w:val="AppendixNumbers"/>
  </w:abstractNum>
  <w:abstractNum w:abstractNumId="22" w15:restartNumberingAfterBreak="0">
    <w:nsid w:val="3CD91BA3"/>
    <w:multiLevelType w:val="hybridMultilevel"/>
    <w:tmpl w:val="ED9075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ECA1D86"/>
    <w:multiLevelType w:val="hybridMultilevel"/>
    <w:tmpl w:val="B5E6D716"/>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90462B"/>
    <w:multiLevelType w:val="hybridMultilevel"/>
    <w:tmpl w:val="1D4C625A"/>
    <w:lvl w:ilvl="0" w:tplc="4F500EFA">
      <w:start w:val="1"/>
      <w:numFmt w:val="decimal"/>
      <w:lvlText w:val="(%1)"/>
      <w:lvlJc w:val="left"/>
      <w:pPr>
        <w:ind w:left="360" w:hanging="360"/>
      </w:pPr>
      <w:rPr>
        <w:rFonts w:hint="default"/>
        <w:sz w:val="24"/>
        <w:szCs w:val="24"/>
      </w:rPr>
    </w:lvl>
    <w:lvl w:ilvl="1" w:tplc="8E586038">
      <w:numFmt w:val="bullet"/>
      <w:lvlText w:val=""/>
      <w:lvlJc w:val="left"/>
      <w:pPr>
        <w:ind w:left="1080" w:hanging="360"/>
      </w:pPr>
      <w:rPr>
        <w:rFonts w:ascii="Times New Roman" w:eastAsia="Times New Roman" w:hAnsi="Times New Roman"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45591D22"/>
    <w:multiLevelType w:val="hybridMultilevel"/>
    <w:tmpl w:val="9A72A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113021"/>
    <w:multiLevelType w:val="hybridMultilevel"/>
    <w:tmpl w:val="4B489F44"/>
    <w:styleLink w:val="NumberedHeadings1"/>
    <w:lvl w:ilvl="0" w:tplc="859C498A">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DC3C79"/>
    <w:multiLevelType w:val="hybridMultilevel"/>
    <w:tmpl w:val="E65A9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CDC2302"/>
    <w:multiLevelType w:val="hybridMultilevel"/>
    <w:tmpl w:val="637624D8"/>
    <w:styleLink w:val="ListNumbere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26627FA"/>
    <w:multiLevelType w:val="hybridMultilevel"/>
    <w:tmpl w:val="CFCC76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EE05A2"/>
    <w:multiLevelType w:val="hybridMultilevel"/>
    <w:tmpl w:val="71184A04"/>
    <w:lvl w:ilvl="0" w:tplc="4F500EFA">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AC44072"/>
    <w:multiLevelType w:val="hybridMultilevel"/>
    <w:tmpl w:val="6D025DD0"/>
    <w:lvl w:ilvl="0" w:tplc="4F500EFA">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176065F"/>
    <w:multiLevelType w:val="hybridMultilevel"/>
    <w:tmpl w:val="55AAF436"/>
    <w:lvl w:ilvl="0" w:tplc="4F500EFA">
      <w:start w:val="1"/>
      <w:numFmt w:val="decimal"/>
      <w:lvlText w:val="(%1)"/>
      <w:lvlJc w:val="left"/>
      <w:pPr>
        <w:ind w:left="360" w:hanging="360"/>
      </w:pPr>
      <w:rPr>
        <w:rFonts w:hint="default"/>
        <w:sz w:val="24"/>
        <w:szCs w:val="24"/>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187083C"/>
    <w:multiLevelType w:val="hybridMultilevel"/>
    <w:tmpl w:val="318EA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EE337D"/>
    <w:multiLevelType w:val="hybridMultilevel"/>
    <w:tmpl w:val="FC283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B30E4E"/>
    <w:multiLevelType w:val="hybridMultilevel"/>
    <w:tmpl w:val="E182F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A0B4DB1"/>
    <w:multiLevelType w:val="hybridMultilevel"/>
    <w:tmpl w:val="96DE5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554E84"/>
    <w:multiLevelType w:val="multilevel"/>
    <w:tmpl w:val="8FCE6D18"/>
    <w:styleLink w:val="ListLegal"/>
    <w:lvl w:ilvl="0">
      <w:start w:val="1"/>
      <w:numFmt w:val="decimal"/>
      <w:pStyle w:val="ListLegal10"/>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F385FE5"/>
    <w:multiLevelType w:val="hybridMultilevel"/>
    <w:tmpl w:val="05F6F980"/>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6"/>
  </w:num>
  <w:num w:numId="2">
    <w:abstractNumId w:val="41"/>
  </w:num>
  <w:num w:numId="3">
    <w:abstractNumId w:val="2"/>
  </w:num>
  <w:num w:numId="4">
    <w:abstractNumId w:val="24"/>
  </w:num>
  <w:num w:numId="5">
    <w:abstractNumId w:val="8"/>
  </w:num>
  <w:num w:numId="6">
    <w:abstractNumId w:val="17"/>
  </w:num>
  <w:num w:numId="7">
    <w:abstractNumId w:val="21"/>
  </w:num>
  <w:num w:numId="8">
    <w:abstractNumId w:val="30"/>
  </w:num>
  <w:num w:numId="9">
    <w:abstractNumId w:val="32"/>
  </w:num>
  <w:num w:numId="10">
    <w:abstractNumId w:val="4"/>
  </w:num>
  <w:num w:numId="11">
    <w:abstractNumId w:val="18"/>
  </w:num>
  <w:num w:numId="12">
    <w:abstractNumId w:val="31"/>
  </w:num>
  <w:num w:numId="13">
    <w:abstractNumId w:val="28"/>
  </w:num>
  <w:num w:numId="14">
    <w:abstractNumId w:val="11"/>
  </w:num>
  <w:num w:numId="15">
    <w:abstractNumId w:val="1"/>
  </w:num>
  <w:num w:numId="16">
    <w:abstractNumId w:val="0"/>
  </w:num>
  <w:num w:numId="17">
    <w:abstractNumId w:val="42"/>
  </w:num>
  <w:num w:numId="18">
    <w:abstractNumId w:val="15"/>
  </w:num>
  <w:num w:numId="19">
    <w:abstractNumId w:val="6"/>
  </w:num>
  <w:num w:numId="20">
    <w:abstractNumId w:val="9"/>
  </w:num>
  <w:num w:numId="21">
    <w:abstractNumId w:val="35"/>
  </w:num>
  <w:num w:numId="22">
    <w:abstractNumId w:val="34"/>
  </w:num>
  <w:num w:numId="23">
    <w:abstractNumId w:val="25"/>
  </w:num>
  <w:num w:numId="24">
    <w:abstractNumId w:val="13"/>
  </w:num>
  <w:num w:numId="25">
    <w:abstractNumId w:val="36"/>
  </w:num>
  <w:num w:numId="26">
    <w:abstractNumId w:val="29"/>
  </w:num>
  <w:num w:numId="27">
    <w:abstractNumId w:val="14"/>
  </w:num>
  <w:num w:numId="28">
    <w:abstractNumId w:val="20"/>
  </w:num>
  <w:num w:numId="29">
    <w:abstractNumId w:val="23"/>
  </w:num>
  <w:num w:numId="30">
    <w:abstractNumId w:val="5"/>
  </w:num>
  <w:num w:numId="31">
    <w:abstractNumId w:val="37"/>
  </w:num>
  <w:num w:numId="32">
    <w:abstractNumId w:val="3"/>
  </w:num>
  <w:num w:numId="33">
    <w:abstractNumId w:val="12"/>
  </w:num>
  <w:num w:numId="34">
    <w:abstractNumId w:val="19"/>
  </w:num>
  <w:num w:numId="35">
    <w:abstractNumId w:val="7"/>
  </w:num>
  <w:num w:numId="36">
    <w:abstractNumId w:val="10"/>
  </w:num>
  <w:num w:numId="37">
    <w:abstractNumId w:val="38"/>
  </w:num>
  <w:num w:numId="38">
    <w:abstractNumId w:val="40"/>
  </w:num>
  <w:num w:numId="39">
    <w:abstractNumId w:val="33"/>
  </w:num>
  <w:num w:numId="40">
    <w:abstractNumId w:val="27"/>
  </w:num>
  <w:num w:numId="41">
    <w:abstractNumId w:val="22"/>
  </w:num>
  <w:num w:numId="42">
    <w:abstractNumId w:val="16"/>
  </w:num>
  <w:num w:numId="43">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D5"/>
    <w:rsid w:val="00000255"/>
    <w:rsid w:val="00005672"/>
    <w:rsid w:val="00006812"/>
    <w:rsid w:val="00012F63"/>
    <w:rsid w:val="00013744"/>
    <w:rsid w:val="00014D0F"/>
    <w:rsid w:val="00015DE1"/>
    <w:rsid w:val="00023D5B"/>
    <w:rsid w:val="00025395"/>
    <w:rsid w:val="0003177A"/>
    <w:rsid w:val="0003396D"/>
    <w:rsid w:val="000424EC"/>
    <w:rsid w:val="00044B2C"/>
    <w:rsid w:val="00045D93"/>
    <w:rsid w:val="000461BA"/>
    <w:rsid w:val="000505F7"/>
    <w:rsid w:val="00052478"/>
    <w:rsid w:val="0005364F"/>
    <w:rsid w:val="00063D3F"/>
    <w:rsid w:val="000653B6"/>
    <w:rsid w:val="00065CC7"/>
    <w:rsid w:val="00070601"/>
    <w:rsid w:val="000734E6"/>
    <w:rsid w:val="00073799"/>
    <w:rsid w:val="000748D2"/>
    <w:rsid w:val="00074ACC"/>
    <w:rsid w:val="00075BD3"/>
    <w:rsid w:val="0008004A"/>
    <w:rsid w:val="00080CAA"/>
    <w:rsid w:val="00080ECB"/>
    <w:rsid w:val="00081693"/>
    <w:rsid w:val="000823DE"/>
    <w:rsid w:val="00090CDA"/>
    <w:rsid w:val="00091C0E"/>
    <w:rsid w:val="0009304D"/>
    <w:rsid w:val="00093B08"/>
    <w:rsid w:val="0009720F"/>
    <w:rsid w:val="000972A0"/>
    <w:rsid w:val="000A1001"/>
    <w:rsid w:val="000A2EEC"/>
    <w:rsid w:val="000A32AE"/>
    <w:rsid w:val="000A5848"/>
    <w:rsid w:val="000A704C"/>
    <w:rsid w:val="000C1BC9"/>
    <w:rsid w:val="000C2EF1"/>
    <w:rsid w:val="000C479F"/>
    <w:rsid w:val="000C5458"/>
    <w:rsid w:val="000D0504"/>
    <w:rsid w:val="000D0D2C"/>
    <w:rsid w:val="000D1B36"/>
    <w:rsid w:val="000D57DD"/>
    <w:rsid w:val="000D6D68"/>
    <w:rsid w:val="000E2948"/>
    <w:rsid w:val="000E52AA"/>
    <w:rsid w:val="000E5503"/>
    <w:rsid w:val="000F00D4"/>
    <w:rsid w:val="000F04CB"/>
    <w:rsid w:val="000F16C6"/>
    <w:rsid w:val="000F1924"/>
    <w:rsid w:val="000F4E74"/>
    <w:rsid w:val="001007C7"/>
    <w:rsid w:val="001013DD"/>
    <w:rsid w:val="001025F0"/>
    <w:rsid w:val="00103BD9"/>
    <w:rsid w:val="00103BE7"/>
    <w:rsid w:val="0010562C"/>
    <w:rsid w:val="001061EE"/>
    <w:rsid w:val="001068FE"/>
    <w:rsid w:val="001077E4"/>
    <w:rsid w:val="0011175C"/>
    <w:rsid w:val="00113F27"/>
    <w:rsid w:val="0012015C"/>
    <w:rsid w:val="001209FC"/>
    <w:rsid w:val="00124660"/>
    <w:rsid w:val="00124D53"/>
    <w:rsid w:val="0012623C"/>
    <w:rsid w:val="001318EF"/>
    <w:rsid w:val="001319DD"/>
    <w:rsid w:val="0013393B"/>
    <w:rsid w:val="00134B6E"/>
    <w:rsid w:val="00136308"/>
    <w:rsid w:val="00136B01"/>
    <w:rsid w:val="00136D23"/>
    <w:rsid w:val="001371DF"/>
    <w:rsid w:val="0014138C"/>
    <w:rsid w:val="0014543A"/>
    <w:rsid w:val="0014799A"/>
    <w:rsid w:val="00147DD5"/>
    <w:rsid w:val="001520BA"/>
    <w:rsid w:val="00154B96"/>
    <w:rsid w:val="00156A60"/>
    <w:rsid w:val="00157B2B"/>
    <w:rsid w:val="00167F68"/>
    <w:rsid w:val="0017246E"/>
    <w:rsid w:val="001731F0"/>
    <w:rsid w:val="00177D92"/>
    <w:rsid w:val="00181B44"/>
    <w:rsid w:val="00182837"/>
    <w:rsid w:val="00191575"/>
    <w:rsid w:val="001933EA"/>
    <w:rsid w:val="001934A6"/>
    <w:rsid w:val="0019351E"/>
    <w:rsid w:val="001A1ED0"/>
    <w:rsid w:val="001A4A57"/>
    <w:rsid w:val="001A4D94"/>
    <w:rsid w:val="001A4E6E"/>
    <w:rsid w:val="001A6C88"/>
    <w:rsid w:val="001B25DC"/>
    <w:rsid w:val="001B2BAF"/>
    <w:rsid w:val="001B2EBD"/>
    <w:rsid w:val="001B341A"/>
    <w:rsid w:val="001B65AA"/>
    <w:rsid w:val="001C01C8"/>
    <w:rsid w:val="001C0BCA"/>
    <w:rsid w:val="001C1979"/>
    <w:rsid w:val="001C1EE7"/>
    <w:rsid w:val="001C56A0"/>
    <w:rsid w:val="001C6DC2"/>
    <w:rsid w:val="001D1DF8"/>
    <w:rsid w:val="001D3DC9"/>
    <w:rsid w:val="001E18F2"/>
    <w:rsid w:val="001E505E"/>
    <w:rsid w:val="001E558E"/>
    <w:rsid w:val="001E6ACA"/>
    <w:rsid w:val="001E738C"/>
    <w:rsid w:val="001F0ACC"/>
    <w:rsid w:val="001F11B4"/>
    <w:rsid w:val="001F2370"/>
    <w:rsid w:val="001F27A1"/>
    <w:rsid w:val="001F594D"/>
    <w:rsid w:val="001F61F9"/>
    <w:rsid w:val="001F6A53"/>
    <w:rsid w:val="00202FA4"/>
    <w:rsid w:val="00203CB7"/>
    <w:rsid w:val="00203D2C"/>
    <w:rsid w:val="00203EBE"/>
    <w:rsid w:val="00204EE2"/>
    <w:rsid w:val="00205B7B"/>
    <w:rsid w:val="002062BE"/>
    <w:rsid w:val="002071A2"/>
    <w:rsid w:val="002131AC"/>
    <w:rsid w:val="002148C6"/>
    <w:rsid w:val="00215F07"/>
    <w:rsid w:val="0022053E"/>
    <w:rsid w:val="00221130"/>
    <w:rsid w:val="00223FD5"/>
    <w:rsid w:val="00226645"/>
    <w:rsid w:val="00227CB2"/>
    <w:rsid w:val="002309C5"/>
    <w:rsid w:val="00230B95"/>
    <w:rsid w:val="00236881"/>
    <w:rsid w:val="002374A8"/>
    <w:rsid w:val="0024103B"/>
    <w:rsid w:val="002438D3"/>
    <w:rsid w:val="00244199"/>
    <w:rsid w:val="00247E69"/>
    <w:rsid w:val="002515ED"/>
    <w:rsid w:val="002548E4"/>
    <w:rsid w:val="002558A4"/>
    <w:rsid w:val="00255972"/>
    <w:rsid w:val="0025701E"/>
    <w:rsid w:val="00257035"/>
    <w:rsid w:val="00257097"/>
    <w:rsid w:val="00260CC2"/>
    <w:rsid w:val="00261E24"/>
    <w:rsid w:val="0026336A"/>
    <w:rsid w:val="002634B8"/>
    <w:rsid w:val="00265874"/>
    <w:rsid w:val="00274FFD"/>
    <w:rsid w:val="002772C9"/>
    <w:rsid w:val="002817A8"/>
    <w:rsid w:val="00283F0F"/>
    <w:rsid w:val="00285AA4"/>
    <w:rsid w:val="00286690"/>
    <w:rsid w:val="0028670A"/>
    <w:rsid w:val="00290310"/>
    <w:rsid w:val="002914FA"/>
    <w:rsid w:val="0029237E"/>
    <w:rsid w:val="0029249F"/>
    <w:rsid w:val="00292A86"/>
    <w:rsid w:val="002930BE"/>
    <w:rsid w:val="00295CB0"/>
    <w:rsid w:val="0029646A"/>
    <w:rsid w:val="00296996"/>
    <w:rsid w:val="002969AE"/>
    <w:rsid w:val="00297734"/>
    <w:rsid w:val="002A2C10"/>
    <w:rsid w:val="002A41E0"/>
    <w:rsid w:val="002A42CA"/>
    <w:rsid w:val="002A4BC0"/>
    <w:rsid w:val="002A6862"/>
    <w:rsid w:val="002A6ACB"/>
    <w:rsid w:val="002A7F3E"/>
    <w:rsid w:val="002B2E14"/>
    <w:rsid w:val="002B6963"/>
    <w:rsid w:val="002B771E"/>
    <w:rsid w:val="002C0CD5"/>
    <w:rsid w:val="002C48FE"/>
    <w:rsid w:val="002D1A77"/>
    <w:rsid w:val="002D47B0"/>
    <w:rsid w:val="002D71C5"/>
    <w:rsid w:val="002E0677"/>
    <w:rsid w:val="002E0695"/>
    <w:rsid w:val="002E1E0B"/>
    <w:rsid w:val="002E4DA0"/>
    <w:rsid w:val="002E59BE"/>
    <w:rsid w:val="002F4E99"/>
    <w:rsid w:val="003008BF"/>
    <w:rsid w:val="00300D7D"/>
    <w:rsid w:val="00302B40"/>
    <w:rsid w:val="0030725E"/>
    <w:rsid w:val="00311D94"/>
    <w:rsid w:val="00314A7F"/>
    <w:rsid w:val="0031712B"/>
    <w:rsid w:val="003221D0"/>
    <w:rsid w:val="003249E7"/>
    <w:rsid w:val="003300D7"/>
    <w:rsid w:val="00332EB8"/>
    <w:rsid w:val="00337139"/>
    <w:rsid w:val="00337791"/>
    <w:rsid w:val="003409EF"/>
    <w:rsid w:val="00342677"/>
    <w:rsid w:val="00342691"/>
    <w:rsid w:val="0034299C"/>
    <w:rsid w:val="003431F5"/>
    <w:rsid w:val="0034679C"/>
    <w:rsid w:val="003505DF"/>
    <w:rsid w:val="0035283B"/>
    <w:rsid w:val="003545C1"/>
    <w:rsid w:val="00355A90"/>
    <w:rsid w:val="00355FD1"/>
    <w:rsid w:val="00362728"/>
    <w:rsid w:val="00362FC5"/>
    <w:rsid w:val="00366D29"/>
    <w:rsid w:val="00367424"/>
    <w:rsid w:val="00367B5D"/>
    <w:rsid w:val="00380C21"/>
    <w:rsid w:val="00382FBA"/>
    <w:rsid w:val="00383893"/>
    <w:rsid w:val="00384952"/>
    <w:rsid w:val="0038523F"/>
    <w:rsid w:val="00390DE4"/>
    <w:rsid w:val="00397491"/>
    <w:rsid w:val="003A1A35"/>
    <w:rsid w:val="003A2D76"/>
    <w:rsid w:val="003A39A2"/>
    <w:rsid w:val="003A3B4E"/>
    <w:rsid w:val="003A3F4D"/>
    <w:rsid w:val="003A5795"/>
    <w:rsid w:val="003A5E60"/>
    <w:rsid w:val="003B02A7"/>
    <w:rsid w:val="003B1EB1"/>
    <w:rsid w:val="003C40B4"/>
    <w:rsid w:val="003C463F"/>
    <w:rsid w:val="003C4BF8"/>
    <w:rsid w:val="003C5EA2"/>
    <w:rsid w:val="003C70A9"/>
    <w:rsid w:val="003C78F4"/>
    <w:rsid w:val="003D155C"/>
    <w:rsid w:val="003D5088"/>
    <w:rsid w:val="003D5B27"/>
    <w:rsid w:val="003D6754"/>
    <w:rsid w:val="003E1201"/>
    <w:rsid w:val="003E2734"/>
    <w:rsid w:val="003E4F77"/>
    <w:rsid w:val="003E6A61"/>
    <w:rsid w:val="003F0792"/>
    <w:rsid w:val="003F29D7"/>
    <w:rsid w:val="003F33AA"/>
    <w:rsid w:val="003F45F2"/>
    <w:rsid w:val="003F6F9A"/>
    <w:rsid w:val="00404192"/>
    <w:rsid w:val="00405662"/>
    <w:rsid w:val="00407A7B"/>
    <w:rsid w:val="004101E0"/>
    <w:rsid w:val="00411D93"/>
    <w:rsid w:val="004120B9"/>
    <w:rsid w:val="004131AE"/>
    <w:rsid w:val="004145A2"/>
    <w:rsid w:val="004149D3"/>
    <w:rsid w:val="00417A6C"/>
    <w:rsid w:val="00420A21"/>
    <w:rsid w:val="004222FE"/>
    <w:rsid w:val="00425BE7"/>
    <w:rsid w:val="00425D18"/>
    <w:rsid w:val="00426E5D"/>
    <w:rsid w:val="00434FD9"/>
    <w:rsid w:val="00436C91"/>
    <w:rsid w:val="00442103"/>
    <w:rsid w:val="00442797"/>
    <w:rsid w:val="00442A12"/>
    <w:rsid w:val="00443A66"/>
    <w:rsid w:val="00446989"/>
    <w:rsid w:val="00450190"/>
    <w:rsid w:val="00451427"/>
    <w:rsid w:val="004541D8"/>
    <w:rsid w:val="00454238"/>
    <w:rsid w:val="0045464F"/>
    <w:rsid w:val="00456D0F"/>
    <w:rsid w:val="00465C53"/>
    <w:rsid w:val="00470C69"/>
    <w:rsid w:val="004756DB"/>
    <w:rsid w:val="00475731"/>
    <w:rsid w:val="0047601F"/>
    <w:rsid w:val="0047768F"/>
    <w:rsid w:val="00485A2D"/>
    <w:rsid w:val="00485E9A"/>
    <w:rsid w:val="004901F5"/>
    <w:rsid w:val="004907AB"/>
    <w:rsid w:val="00492DBB"/>
    <w:rsid w:val="00493C04"/>
    <w:rsid w:val="00493CD6"/>
    <w:rsid w:val="0049701F"/>
    <w:rsid w:val="00497F62"/>
    <w:rsid w:val="004A19EE"/>
    <w:rsid w:val="004A207C"/>
    <w:rsid w:val="004A3E33"/>
    <w:rsid w:val="004A651A"/>
    <w:rsid w:val="004B3D09"/>
    <w:rsid w:val="004B75EA"/>
    <w:rsid w:val="004B7667"/>
    <w:rsid w:val="004C01F9"/>
    <w:rsid w:val="004C0CE7"/>
    <w:rsid w:val="004C5F60"/>
    <w:rsid w:val="004C7152"/>
    <w:rsid w:val="004D15C1"/>
    <w:rsid w:val="004D4484"/>
    <w:rsid w:val="004D5004"/>
    <w:rsid w:val="004D57B5"/>
    <w:rsid w:val="004D5926"/>
    <w:rsid w:val="004D7ECE"/>
    <w:rsid w:val="004E1A88"/>
    <w:rsid w:val="004E4107"/>
    <w:rsid w:val="004E55A2"/>
    <w:rsid w:val="004E63FE"/>
    <w:rsid w:val="004F06DF"/>
    <w:rsid w:val="004F3E1A"/>
    <w:rsid w:val="004F6A71"/>
    <w:rsid w:val="004F70C2"/>
    <w:rsid w:val="00500824"/>
    <w:rsid w:val="00501EB5"/>
    <w:rsid w:val="005023BC"/>
    <w:rsid w:val="005024B0"/>
    <w:rsid w:val="00502ADA"/>
    <w:rsid w:val="00503257"/>
    <w:rsid w:val="00503493"/>
    <w:rsid w:val="00510AE3"/>
    <w:rsid w:val="00516D94"/>
    <w:rsid w:val="00517442"/>
    <w:rsid w:val="00517B36"/>
    <w:rsid w:val="00517B98"/>
    <w:rsid w:val="00517BA8"/>
    <w:rsid w:val="0052557C"/>
    <w:rsid w:val="005302E3"/>
    <w:rsid w:val="00531F51"/>
    <w:rsid w:val="00534DF3"/>
    <w:rsid w:val="005357C5"/>
    <w:rsid w:val="005376E7"/>
    <w:rsid w:val="005378FD"/>
    <w:rsid w:val="00537D6A"/>
    <w:rsid w:val="005407C0"/>
    <w:rsid w:val="00540FC8"/>
    <w:rsid w:val="00541F2F"/>
    <w:rsid w:val="005444DF"/>
    <w:rsid w:val="00545DBC"/>
    <w:rsid w:val="00547A86"/>
    <w:rsid w:val="0055586C"/>
    <w:rsid w:val="00555C84"/>
    <w:rsid w:val="0055619F"/>
    <w:rsid w:val="00557F57"/>
    <w:rsid w:val="00560777"/>
    <w:rsid w:val="0056157E"/>
    <w:rsid w:val="0056237D"/>
    <w:rsid w:val="005627A9"/>
    <w:rsid w:val="00564D71"/>
    <w:rsid w:val="00565C39"/>
    <w:rsid w:val="005704CF"/>
    <w:rsid w:val="0057121E"/>
    <w:rsid w:val="005724FA"/>
    <w:rsid w:val="005726B2"/>
    <w:rsid w:val="00573EA4"/>
    <w:rsid w:val="005750C6"/>
    <w:rsid w:val="00576825"/>
    <w:rsid w:val="0057755A"/>
    <w:rsid w:val="005817CB"/>
    <w:rsid w:val="005836F1"/>
    <w:rsid w:val="00583B1D"/>
    <w:rsid w:val="0058668F"/>
    <w:rsid w:val="005914D6"/>
    <w:rsid w:val="0059167A"/>
    <w:rsid w:val="00591E9C"/>
    <w:rsid w:val="0059350E"/>
    <w:rsid w:val="00593BA2"/>
    <w:rsid w:val="00597955"/>
    <w:rsid w:val="005A03F1"/>
    <w:rsid w:val="005A1A60"/>
    <w:rsid w:val="005A39C8"/>
    <w:rsid w:val="005B1E56"/>
    <w:rsid w:val="005B3571"/>
    <w:rsid w:val="005B3CCA"/>
    <w:rsid w:val="005B422B"/>
    <w:rsid w:val="005B59E2"/>
    <w:rsid w:val="005B5E2D"/>
    <w:rsid w:val="005B7525"/>
    <w:rsid w:val="005C2DDE"/>
    <w:rsid w:val="005C39CE"/>
    <w:rsid w:val="005C52F5"/>
    <w:rsid w:val="005C77CC"/>
    <w:rsid w:val="005D6D6F"/>
    <w:rsid w:val="005D6D96"/>
    <w:rsid w:val="005D7500"/>
    <w:rsid w:val="005D75BA"/>
    <w:rsid w:val="005E12D9"/>
    <w:rsid w:val="005E26DD"/>
    <w:rsid w:val="005E2A0D"/>
    <w:rsid w:val="005E5AED"/>
    <w:rsid w:val="005F0A2A"/>
    <w:rsid w:val="005F5255"/>
    <w:rsid w:val="005F78F1"/>
    <w:rsid w:val="00603472"/>
    <w:rsid w:val="00605433"/>
    <w:rsid w:val="00605701"/>
    <w:rsid w:val="0061759E"/>
    <w:rsid w:val="00622464"/>
    <w:rsid w:val="006226E0"/>
    <w:rsid w:val="00623BEB"/>
    <w:rsid w:val="00624B15"/>
    <w:rsid w:val="00625455"/>
    <w:rsid w:val="00625A05"/>
    <w:rsid w:val="00626447"/>
    <w:rsid w:val="006273B2"/>
    <w:rsid w:val="00627D88"/>
    <w:rsid w:val="006301D5"/>
    <w:rsid w:val="006330C1"/>
    <w:rsid w:val="006335DF"/>
    <w:rsid w:val="00642304"/>
    <w:rsid w:val="006430D3"/>
    <w:rsid w:val="00643AB0"/>
    <w:rsid w:val="00643F9F"/>
    <w:rsid w:val="00644221"/>
    <w:rsid w:val="006458D9"/>
    <w:rsid w:val="006502E1"/>
    <w:rsid w:val="00657E79"/>
    <w:rsid w:val="00664B2E"/>
    <w:rsid w:val="00672BA9"/>
    <w:rsid w:val="0067314C"/>
    <w:rsid w:val="00674186"/>
    <w:rsid w:val="00675482"/>
    <w:rsid w:val="006772EE"/>
    <w:rsid w:val="00680978"/>
    <w:rsid w:val="00681B5B"/>
    <w:rsid w:val="0068395F"/>
    <w:rsid w:val="00687058"/>
    <w:rsid w:val="006916C7"/>
    <w:rsid w:val="006937B8"/>
    <w:rsid w:val="00694561"/>
    <w:rsid w:val="006977C6"/>
    <w:rsid w:val="006A0C04"/>
    <w:rsid w:val="006A1B7E"/>
    <w:rsid w:val="006A2B71"/>
    <w:rsid w:val="006A506A"/>
    <w:rsid w:val="006B0550"/>
    <w:rsid w:val="006B0888"/>
    <w:rsid w:val="006B1F96"/>
    <w:rsid w:val="006B6586"/>
    <w:rsid w:val="006B7F1D"/>
    <w:rsid w:val="006C1618"/>
    <w:rsid w:val="006C2445"/>
    <w:rsid w:val="006C43C8"/>
    <w:rsid w:val="006C6DBD"/>
    <w:rsid w:val="006D5A34"/>
    <w:rsid w:val="006D5AFD"/>
    <w:rsid w:val="006E066E"/>
    <w:rsid w:val="006E201C"/>
    <w:rsid w:val="006E72B5"/>
    <w:rsid w:val="006F648A"/>
    <w:rsid w:val="007007BC"/>
    <w:rsid w:val="00707E9B"/>
    <w:rsid w:val="00714002"/>
    <w:rsid w:val="00715A05"/>
    <w:rsid w:val="0071655C"/>
    <w:rsid w:val="00716BE9"/>
    <w:rsid w:val="00717C2D"/>
    <w:rsid w:val="00720369"/>
    <w:rsid w:val="0072055F"/>
    <w:rsid w:val="007206B3"/>
    <w:rsid w:val="007216CD"/>
    <w:rsid w:val="0072690A"/>
    <w:rsid w:val="007306D4"/>
    <w:rsid w:val="0073588F"/>
    <w:rsid w:val="00736B52"/>
    <w:rsid w:val="00737430"/>
    <w:rsid w:val="007440BF"/>
    <w:rsid w:val="00744F63"/>
    <w:rsid w:val="00745784"/>
    <w:rsid w:val="007472D5"/>
    <w:rsid w:val="00750665"/>
    <w:rsid w:val="0075412D"/>
    <w:rsid w:val="00756BDD"/>
    <w:rsid w:val="007608DD"/>
    <w:rsid w:val="00760F19"/>
    <w:rsid w:val="00760FA5"/>
    <w:rsid w:val="00763898"/>
    <w:rsid w:val="0076701C"/>
    <w:rsid w:val="007677EE"/>
    <w:rsid w:val="007727DE"/>
    <w:rsid w:val="007747B8"/>
    <w:rsid w:val="00775701"/>
    <w:rsid w:val="0077784C"/>
    <w:rsid w:val="00783069"/>
    <w:rsid w:val="0078360A"/>
    <w:rsid w:val="007847A2"/>
    <w:rsid w:val="007858E7"/>
    <w:rsid w:val="00786989"/>
    <w:rsid w:val="00787C45"/>
    <w:rsid w:val="00795426"/>
    <w:rsid w:val="00797AA1"/>
    <w:rsid w:val="007A5A43"/>
    <w:rsid w:val="007A6680"/>
    <w:rsid w:val="007B23C8"/>
    <w:rsid w:val="007B4F7F"/>
    <w:rsid w:val="007B5A98"/>
    <w:rsid w:val="007C296F"/>
    <w:rsid w:val="007C6273"/>
    <w:rsid w:val="007C7310"/>
    <w:rsid w:val="007C7B24"/>
    <w:rsid w:val="007D0C63"/>
    <w:rsid w:val="007D2AAA"/>
    <w:rsid w:val="007D4DAC"/>
    <w:rsid w:val="007E0BA1"/>
    <w:rsid w:val="007E2F4A"/>
    <w:rsid w:val="007E63D8"/>
    <w:rsid w:val="007E684B"/>
    <w:rsid w:val="007E7A2A"/>
    <w:rsid w:val="007F201A"/>
    <w:rsid w:val="007F6AB9"/>
    <w:rsid w:val="00800CD7"/>
    <w:rsid w:val="00800FE6"/>
    <w:rsid w:val="0080114B"/>
    <w:rsid w:val="00802340"/>
    <w:rsid w:val="00802B79"/>
    <w:rsid w:val="00806F4C"/>
    <w:rsid w:val="00806FE8"/>
    <w:rsid w:val="00807748"/>
    <w:rsid w:val="00815D4C"/>
    <w:rsid w:val="00817AF7"/>
    <w:rsid w:val="00820BD8"/>
    <w:rsid w:val="00823518"/>
    <w:rsid w:val="00824388"/>
    <w:rsid w:val="00825D55"/>
    <w:rsid w:val="008261E9"/>
    <w:rsid w:val="00842AC8"/>
    <w:rsid w:val="00845462"/>
    <w:rsid w:val="00846A33"/>
    <w:rsid w:val="00847528"/>
    <w:rsid w:val="00852B12"/>
    <w:rsid w:val="00854281"/>
    <w:rsid w:val="00854758"/>
    <w:rsid w:val="0085532F"/>
    <w:rsid w:val="008554B0"/>
    <w:rsid w:val="00860508"/>
    <w:rsid w:val="00862C34"/>
    <w:rsid w:val="008636EC"/>
    <w:rsid w:val="00870B67"/>
    <w:rsid w:val="00870DC1"/>
    <w:rsid w:val="00884CA9"/>
    <w:rsid w:val="00890C86"/>
    <w:rsid w:val="00893412"/>
    <w:rsid w:val="00893980"/>
    <w:rsid w:val="0089572A"/>
    <w:rsid w:val="00897635"/>
    <w:rsid w:val="008A1767"/>
    <w:rsid w:val="008A30EB"/>
    <w:rsid w:val="008A3C27"/>
    <w:rsid w:val="008A60A1"/>
    <w:rsid w:val="008A62C3"/>
    <w:rsid w:val="008B1988"/>
    <w:rsid w:val="008B236E"/>
    <w:rsid w:val="008B3E6F"/>
    <w:rsid w:val="008C054F"/>
    <w:rsid w:val="008C1030"/>
    <w:rsid w:val="008C219A"/>
    <w:rsid w:val="008C21E7"/>
    <w:rsid w:val="008C3FDE"/>
    <w:rsid w:val="008C4988"/>
    <w:rsid w:val="008C7F23"/>
    <w:rsid w:val="008D1DB0"/>
    <w:rsid w:val="008D6495"/>
    <w:rsid w:val="008F1836"/>
    <w:rsid w:val="008F1896"/>
    <w:rsid w:val="008F1F15"/>
    <w:rsid w:val="008F2147"/>
    <w:rsid w:val="008F2C72"/>
    <w:rsid w:val="008F2E7B"/>
    <w:rsid w:val="008F316C"/>
    <w:rsid w:val="00903BFB"/>
    <w:rsid w:val="00905707"/>
    <w:rsid w:val="0090590B"/>
    <w:rsid w:val="00907575"/>
    <w:rsid w:val="0090786A"/>
    <w:rsid w:val="0091099F"/>
    <w:rsid w:val="009114F1"/>
    <w:rsid w:val="009125C6"/>
    <w:rsid w:val="00912D09"/>
    <w:rsid w:val="009143F1"/>
    <w:rsid w:val="00915D9B"/>
    <w:rsid w:val="00915F02"/>
    <w:rsid w:val="00920F35"/>
    <w:rsid w:val="0092130A"/>
    <w:rsid w:val="0092370E"/>
    <w:rsid w:val="009237B2"/>
    <w:rsid w:val="00924050"/>
    <w:rsid w:val="009302AC"/>
    <w:rsid w:val="00931AE8"/>
    <w:rsid w:val="00931DD1"/>
    <w:rsid w:val="00932043"/>
    <w:rsid w:val="00935716"/>
    <w:rsid w:val="00937EC4"/>
    <w:rsid w:val="009402E8"/>
    <w:rsid w:val="00943227"/>
    <w:rsid w:val="0094454A"/>
    <w:rsid w:val="0094740C"/>
    <w:rsid w:val="00951AE3"/>
    <w:rsid w:val="00952E77"/>
    <w:rsid w:val="009573CA"/>
    <w:rsid w:val="0096301F"/>
    <w:rsid w:val="00966A3D"/>
    <w:rsid w:val="00967BE0"/>
    <w:rsid w:val="00971290"/>
    <w:rsid w:val="00971E14"/>
    <w:rsid w:val="009836AE"/>
    <w:rsid w:val="00983B76"/>
    <w:rsid w:val="00985353"/>
    <w:rsid w:val="009909AB"/>
    <w:rsid w:val="00990F64"/>
    <w:rsid w:val="00991756"/>
    <w:rsid w:val="00992CD7"/>
    <w:rsid w:val="00993FDB"/>
    <w:rsid w:val="009944C5"/>
    <w:rsid w:val="009974E7"/>
    <w:rsid w:val="009A1904"/>
    <w:rsid w:val="009A5536"/>
    <w:rsid w:val="009A5AC3"/>
    <w:rsid w:val="009A66BC"/>
    <w:rsid w:val="009A75C6"/>
    <w:rsid w:val="009A7B36"/>
    <w:rsid w:val="009B03D8"/>
    <w:rsid w:val="009B4C72"/>
    <w:rsid w:val="009B5DF7"/>
    <w:rsid w:val="009C1FA2"/>
    <w:rsid w:val="009C24FC"/>
    <w:rsid w:val="009C4BAA"/>
    <w:rsid w:val="009C7369"/>
    <w:rsid w:val="009D1A85"/>
    <w:rsid w:val="009D2415"/>
    <w:rsid w:val="009D6E3A"/>
    <w:rsid w:val="009D7588"/>
    <w:rsid w:val="009D7C6E"/>
    <w:rsid w:val="009E1630"/>
    <w:rsid w:val="009E6D84"/>
    <w:rsid w:val="009E76EA"/>
    <w:rsid w:val="009F1199"/>
    <w:rsid w:val="009F630F"/>
    <w:rsid w:val="009F6EAD"/>
    <w:rsid w:val="009F77A0"/>
    <w:rsid w:val="009F7DB7"/>
    <w:rsid w:val="00A00F9D"/>
    <w:rsid w:val="00A0312C"/>
    <w:rsid w:val="00A10D62"/>
    <w:rsid w:val="00A11590"/>
    <w:rsid w:val="00A14284"/>
    <w:rsid w:val="00A177A0"/>
    <w:rsid w:val="00A21FB9"/>
    <w:rsid w:val="00A22003"/>
    <w:rsid w:val="00A220CA"/>
    <w:rsid w:val="00A229C7"/>
    <w:rsid w:val="00A22D9D"/>
    <w:rsid w:val="00A2416B"/>
    <w:rsid w:val="00A2430D"/>
    <w:rsid w:val="00A26D9B"/>
    <w:rsid w:val="00A26E96"/>
    <w:rsid w:val="00A270C3"/>
    <w:rsid w:val="00A271CD"/>
    <w:rsid w:val="00A344B8"/>
    <w:rsid w:val="00A37B3A"/>
    <w:rsid w:val="00A37BBF"/>
    <w:rsid w:val="00A41EEB"/>
    <w:rsid w:val="00A43997"/>
    <w:rsid w:val="00A5427C"/>
    <w:rsid w:val="00A56066"/>
    <w:rsid w:val="00A600B0"/>
    <w:rsid w:val="00A621C9"/>
    <w:rsid w:val="00A623AE"/>
    <w:rsid w:val="00A62687"/>
    <w:rsid w:val="00A63310"/>
    <w:rsid w:val="00A63CAD"/>
    <w:rsid w:val="00A66093"/>
    <w:rsid w:val="00A661AA"/>
    <w:rsid w:val="00A7002A"/>
    <w:rsid w:val="00A7210B"/>
    <w:rsid w:val="00A72D46"/>
    <w:rsid w:val="00A74D42"/>
    <w:rsid w:val="00A74F24"/>
    <w:rsid w:val="00A75326"/>
    <w:rsid w:val="00A80728"/>
    <w:rsid w:val="00A8112F"/>
    <w:rsid w:val="00A82965"/>
    <w:rsid w:val="00A84560"/>
    <w:rsid w:val="00A85A68"/>
    <w:rsid w:val="00A909E7"/>
    <w:rsid w:val="00A961D8"/>
    <w:rsid w:val="00A96997"/>
    <w:rsid w:val="00A974DD"/>
    <w:rsid w:val="00AA4552"/>
    <w:rsid w:val="00AA7EB6"/>
    <w:rsid w:val="00AB243A"/>
    <w:rsid w:val="00AB2AA8"/>
    <w:rsid w:val="00AB6792"/>
    <w:rsid w:val="00AB6D52"/>
    <w:rsid w:val="00AC0CC6"/>
    <w:rsid w:val="00AC454B"/>
    <w:rsid w:val="00AC567D"/>
    <w:rsid w:val="00AD055F"/>
    <w:rsid w:val="00AD1746"/>
    <w:rsid w:val="00AD18CC"/>
    <w:rsid w:val="00AD1BB4"/>
    <w:rsid w:val="00AD516C"/>
    <w:rsid w:val="00AD7937"/>
    <w:rsid w:val="00AE0D1A"/>
    <w:rsid w:val="00AE341F"/>
    <w:rsid w:val="00AE5440"/>
    <w:rsid w:val="00AE5687"/>
    <w:rsid w:val="00AE64FD"/>
    <w:rsid w:val="00AE6B40"/>
    <w:rsid w:val="00AF0CD8"/>
    <w:rsid w:val="00AF2EBD"/>
    <w:rsid w:val="00AF38FD"/>
    <w:rsid w:val="00AF532C"/>
    <w:rsid w:val="00AF5B7C"/>
    <w:rsid w:val="00B00FCE"/>
    <w:rsid w:val="00B02B52"/>
    <w:rsid w:val="00B0617E"/>
    <w:rsid w:val="00B1164A"/>
    <w:rsid w:val="00B1639B"/>
    <w:rsid w:val="00B17134"/>
    <w:rsid w:val="00B174CA"/>
    <w:rsid w:val="00B17D18"/>
    <w:rsid w:val="00B2244A"/>
    <w:rsid w:val="00B244E5"/>
    <w:rsid w:val="00B26B93"/>
    <w:rsid w:val="00B32087"/>
    <w:rsid w:val="00B33CFF"/>
    <w:rsid w:val="00B34E74"/>
    <w:rsid w:val="00B37765"/>
    <w:rsid w:val="00B40ADB"/>
    <w:rsid w:val="00B47512"/>
    <w:rsid w:val="00B47683"/>
    <w:rsid w:val="00B52958"/>
    <w:rsid w:val="00B535B0"/>
    <w:rsid w:val="00B549FE"/>
    <w:rsid w:val="00B56038"/>
    <w:rsid w:val="00B562E2"/>
    <w:rsid w:val="00B61477"/>
    <w:rsid w:val="00B64E92"/>
    <w:rsid w:val="00B65470"/>
    <w:rsid w:val="00B67EB8"/>
    <w:rsid w:val="00B7201F"/>
    <w:rsid w:val="00B729D0"/>
    <w:rsid w:val="00B738E7"/>
    <w:rsid w:val="00B76DAD"/>
    <w:rsid w:val="00B77233"/>
    <w:rsid w:val="00B818F3"/>
    <w:rsid w:val="00B85B64"/>
    <w:rsid w:val="00B92B95"/>
    <w:rsid w:val="00B94CF2"/>
    <w:rsid w:val="00B953FB"/>
    <w:rsid w:val="00BA2E17"/>
    <w:rsid w:val="00BA3A2C"/>
    <w:rsid w:val="00BA47D9"/>
    <w:rsid w:val="00BA4D59"/>
    <w:rsid w:val="00BA74F2"/>
    <w:rsid w:val="00BA7DBC"/>
    <w:rsid w:val="00BB0447"/>
    <w:rsid w:val="00BB3ACB"/>
    <w:rsid w:val="00BB4BA4"/>
    <w:rsid w:val="00BB5279"/>
    <w:rsid w:val="00BC6F27"/>
    <w:rsid w:val="00BD1DAA"/>
    <w:rsid w:val="00BD229B"/>
    <w:rsid w:val="00BD2757"/>
    <w:rsid w:val="00BD3D69"/>
    <w:rsid w:val="00BD41CD"/>
    <w:rsid w:val="00BD4974"/>
    <w:rsid w:val="00BE7B43"/>
    <w:rsid w:val="00BF1C8E"/>
    <w:rsid w:val="00BF4247"/>
    <w:rsid w:val="00BF788E"/>
    <w:rsid w:val="00C0426F"/>
    <w:rsid w:val="00C06E8A"/>
    <w:rsid w:val="00C1272C"/>
    <w:rsid w:val="00C14E9F"/>
    <w:rsid w:val="00C2387F"/>
    <w:rsid w:val="00C2416F"/>
    <w:rsid w:val="00C253EC"/>
    <w:rsid w:val="00C27EFF"/>
    <w:rsid w:val="00C3068D"/>
    <w:rsid w:val="00C30D36"/>
    <w:rsid w:val="00C3227E"/>
    <w:rsid w:val="00C34F3E"/>
    <w:rsid w:val="00C3712E"/>
    <w:rsid w:val="00C37836"/>
    <w:rsid w:val="00C3791B"/>
    <w:rsid w:val="00C43C9A"/>
    <w:rsid w:val="00C45E53"/>
    <w:rsid w:val="00C46453"/>
    <w:rsid w:val="00C467C6"/>
    <w:rsid w:val="00C47D42"/>
    <w:rsid w:val="00C50AA7"/>
    <w:rsid w:val="00C5314B"/>
    <w:rsid w:val="00C53D90"/>
    <w:rsid w:val="00C55C56"/>
    <w:rsid w:val="00C55D10"/>
    <w:rsid w:val="00C55EDC"/>
    <w:rsid w:val="00C562E0"/>
    <w:rsid w:val="00C57C54"/>
    <w:rsid w:val="00C6263B"/>
    <w:rsid w:val="00C63971"/>
    <w:rsid w:val="00C7008B"/>
    <w:rsid w:val="00C704D7"/>
    <w:rsid w:val="00C70B5F"/>
    <w:rsid w:val="00C70E91"/>
    <w:rsid w:val="00C71FB6"/>
    <w:rsid w:val="00C80B31"/>
    <w:rsid w:val="00C83ACD"/>
    <w:rsid w:val="00C9128D"/>
    <w:rsid w:val="00C93B7B"/>
    <w:rsid w:val="00C96A8A"/>
    <w:rsid w:val="00C96AC8"/>
    <w:rsid w:val="00CA25A8"/>
    <w:rsid w:val="00CA4E80"/>
    <w:rsid w:val="00CA7D56"/>
    <w:rsid w:val="00CA7F5C"/>
    <w:rsid w:val="00CB3334"/>
    <w:rsid w:val="00CB39C0"/>
    <w:rsid w:val="00CB424D"/>
    <w:rsid w:val="00CB5FCA"/>
    <w:rsid w:val="00CC1313"/>
    <w:rsid w:val="00CC27D8"/>
    <w:rsid w:val="00CC53A7"/>
    <w:rsid w:val="00CD0D31"/>
    <w:rsid w:val="00CD7E03"/>
    <w:rsid w:val="00CE05BE"/>
    <w:rsid w:val="00CE0A02"/>
    <w:rsid w:val="00CE20A2"/>
    <w:rsid w:val="00CE21C9"/>
    <w:rsid w:val="00CE22DF"/>
    <w:rsid w:val="00CE45D5"/>
    <w:rsid w:val="00CE59A5"/>
    <w:rsid w:val="00CE64B1"/>
    <w:rsid w:val="00CE6644"/>
    <w:rsid w:val="00CF0CFC"/>
    <w:rsid w:val="00CF136A"/>
    <w:rsid w:val="00CF2B33"/>
    <w:rsid w:val="00CF490C"/>
    <w:rsid w:val="00CF4949"/>
    <w:rsid w:val="00CF4995"/>
    <w:rsid w:val="00CF585A"/>
    <w:rsid w:val="00CF5A2E"/>
    <w:rsid w:val="00D00EF9"/>
    <w:rsid w:val="00D05090"/>
    <w:rsid w:val="00D050B1"/>
    <w:rsid w:val="00D062F3"/>
    <w:rsid w:val="00D07093"/>
    <w:rsid w:val="00D143D2"/>
    <w:rsid w:val="00D164CC"/>
    <w:rsid w:val="00D24F72"/>
    <w:rsid w:val="00D25761"/>
    <w:rsid w:val="00D326BF"/>
    <w:rsid w:val="00D32CC3"/>
    <w:rsid w:val="00D4056E"/>
    <w:rsid w:val="00D41F08"/>
    <w:rsid w:val="00D43A84"/>
    <w:rsid w:val="00D4427B"/>
    <w:rsid w:val="00D4671F"/>
    <w:rsid w:val="00D46917"/>
    <w:rsid w:val="00D505EA"/>
    <w:rsid w:val="00D50BAE"/>
    <w:rsid w:val="00D525B7"/>
    <w:rsid w:val="00D52CEF"/>
    <w:rsid w:val="00D54AB9"/>
    <w:rsid w:val="00D56985"/>
    <w:rsid w:val="00D56CAE"/>
    <w:rsid w:val="00D57BB4"/>
    <w:rsid w:val="00D61EBC"/>
    <w:rsid w:val="00D74681"/>
    <w:rsid w:val="00D75085"/>
    <w:rsid w:val="00D751F2"/>
    <w:rsid w:val="00D76A82"/>
    <w:rsid w:val="00D800FE"/>
    <w:rsid w:val="00D81095"/>
    <w:rsid w:val="00D83243"/>
    <w:rsid w:val="00D83D04"/>
    <w:rsid w:val="00D8622C"/>
    <w:rsid w:val="00D910E2"/>
    <w:rsid w:val="00DA6469"/>
    <w:rsid w:val="00DA72D3"/>
    <w:rsid w:val="00DB1D2E"/>
    <w:rsid w:val="00DB46FC"/>
    <w:rsid w:val="00DB4C8F"/>
    <w:rsid w:val="00DC0239"/>
    <w:rsid w:val="00DC0F57"/>
    <w:rsid w:val="00DC151E"/>
    <w:rsid w:val="00DC2584"/>
    <w:rsid w:val="00DC27E4"/>
    <w:rsid w:val="00DC42BF"/>
    <w:rsid w:val="00DC71DC"/>
    <w:rsid w:val="00DC7953"/>
    <w:rsid w:val="00DD4139"/>
    <w:rsid w:val="00DD7E17"/>
    <w:rsid w:val="00DE0F2C"/>
    <w:rsid w:val="00DE5D6B"/>
    <w:rsid w:val="00DF0B51"/>
    <w:rsid w:val="00DF4962"/>
    <w:rsid w:val="00E00750"/>
    <w:rsid w:val="00E011B0"/>
    <w:rsid w:val="00E02AEF"/>
    <w:rsid w:val="00E02B34"/>
    <w:rsid w:val="00E0320C"/>
    <w:rsid w:val="00E05E44"/>
    <w:rsid w:val="00E1008D"/>
    <w:rsid w:val="00E107C9"/>
    <w:rsid w:val="00E120FC"/>
    <w:rsid w:val="00E1262D"/>
    <w:rsid w:val="00E13D65"/>
    <w:rsid w:val="00E2167F"/>
    <w:rsid w:val="00E22F4C"/>
    <w:rsid w:val="00E24DB4"/>
    <w:rsid w:val="00E30F84"/>
    <w:rsid w:val="00E3219F"/>
    <w:rsid w:val="00E32D78"/>
    <w:rsid w:val="00E34F26"/>
    <w:rsid w:val="00E35C0C"/>
    <w:rsid w:val="00E35DC7"/>
    <w:rsid w:val="00E41020"/>
    <w:rsid w:val="00E42623"/>
    <w:rsid w:val="00E44CFE"/>
    <w:rsid w:val="00E46146"/>
    <w:rsid w:val="00E46DFB"/>
    <w:rsid w:val="00E47933"/>
    <w:rsid w:val="00E513A4"/>
    <w:rsid w:val="00E5141A"/>
    <w:rsid w:val="00E546B4"/>
    <w:rsid w:val="00E55311"/>
    <w:rsid w:val="00E56ECE"/>
    <w:rsid w:val="00E57FAE"/>
    <w:rsid w:val="00E60E59"/>
    <w:rsid w:val="00E63210"/>
    <w:rsid w:val="00E632AF"/>
    <w:rsid w:val="00E64001"/>
    <w:rsid w:val="00E64079"/>
    <w:rsid w:val="00E642A6"/>
    <w:rsid w:val="00E65342"/>
    <w:rsid w:val="00E653D9"/>
    <w:rsid w:val="00E65C61"/>
    <w:rsid w:val="00E70076"/>
    <w:rsid w:val="00E70412"/>
    <w:rsid w:val="00E7098E"/>
    <w:rsid w:val="00E711EA"/>
    <w:rsid w:val="00E73D5C"/>
    <w:rsid w:val="00E74F6D"/>
    <w:rsid w:val="00E757B0"/>
    <w:rsid w:val="00E76F01"/>
    <w:rsid w:val="00E80289"/>
    <w:rsid w:val="00E83A47"/>
    <w:rsid w:val="00E85A7F"/>
    <w:rsid w:val="00E87B35"/>
    <w:rsid w:val="00E91CB7"/>
    <w:rsid w:val="00E922B7"/>
    <w:rsid w:val="00E951B6"/>
    <w:rsid w:val="00E969DE"/>
    <w:rsid w:val="00E9766A"/>
    <w:rsid w:val="00EA0B05"/>
    <w:rsid w:val="00EA15B8"/>
    <w:rsid w:val="00EA243A"/>
    <w:rsid w:val="00EA2482"/>
    <w:rsid w:val="00EA43AF"/>
    <w:rsid w:val="00EA4759"/>
    <w:rsid w:val="00EA4ADA"/>
    <w:rsid w:val="00EA502E"/>
    <w:rsid w:val="00EA58B4"/>
    <w:rsid w:val="00EA6917"/>
    <w:rsid w:val="00EA6AE2"/>
    <w:rsid w:val="00EA7478"/>
    <w:rsid w:val="00EB02B1"/>
    <w:rsid w:val="00EB0AB9"/>
    <w:rsid w:val="00EB258C"/>
    <w:rsid w:val="00EB2ACE"/>
    <w:rsid w:val="00EB2CDC"/>
    <w:rsid w:val="00EB3066"/>
    <w:rsid w:val="00EB4AB2"/>
    <w:rsid w:val="00EB6FBD"/>
    <w:rsid w:val="00ED2D8E"/>
    <w:rsid w:val="00ED3D84"/>
    <w:rsid w:val="00ED51B1"/>
    <w:rsid w:val="00EE1D21"/>
    <w:rsid w:val="00EE36FF"/>
    <w:rsid w:val="00EE4315"/>
    <w:rsid w:val="00EF1A16"/>
    <w:rsid w:val="00EF4360"/>
    <w:rsid w:val="00EF5E84"/>
    <w:rsid w:val="00EF6512"/>
    <w:rsid w:val="00EF7F84"/>
    <w:rsid w:val="00F00611"/>
    <w:rsid w:val="00F01126"/>
    <w:rsid w:val="00F02273"/>
    <w:rsid w:val="00F0284A"/>
    <w:rsid w:val="00F05D08"/>
    <w:rsid w:val="00F07D9B"/>
    <w:rsid w:val="00F11773"/>
    <w:rsid w:val="00F126B6"/>
    <w:rsid w:val="00F1553C"/>
    <w:rsid w:val="00F15BB3"/>
    <w:rsid w:val="00F16970"/>
    <w:rsid w:val="00F20667"/>
    <w:rsid w:val="00F2257C"/>
    <w:rsid w:val="00F229E6"/>
    <w:rsid w:val="00F23EF0"/>
    <w:rsid w:val="00F25E16"/>
    <w:rsid w:val="00F342A3"/>
    <w:rsid w:val="00F35AA5"/>
    <w:rsid w:val="00F367BA"/>
    <w:rsid w:val="00F3799E"/>
    <w:rsid w:val="00F415AC"/>
    <w:rsid w:val="00F41EA7"/>
    <w:rsid w:val="00F5065D"/>
    <w:rsid w:val="00F520DC"/>
    <w:rsid w:val="00F600C5"/>
    <w:rsid w:val="00F60DED"/>
    <w:rsid w:val="00F60EF1"/>
    <w:rsid w:val="00F61C14"/>
    <w:rsid w:val="00F6642A"/>
    <w:rsid w:val="00F670AB"/>
    <w:rsid w:val="00F7381F"/>
    <w:rsid w:val="00F7563E"/>
    <w:rsid w:val="00F75A18"/>
    <w:rsid w:val="00F763AB"/>
    <w:rsid w:val="00F835DF"/>
    <w:rsid w:val="00F90268"/>
    <w:rsid w:val="00F9118D"/>
    <w:rsid w:val="00F911EF"/>
    <w:rsid w:val="00F92A51"/>
    <w:rsid w:val="00F93D3B"/>
    <w:rsid w:val="00F94DB3"/>
    <w:rsid w:val="00F95AFA"/>
    <w:rsid w:val="00F95C72"/>
    <w:rsid w:val="00F96A15"/>
    <w:rsid w:val="00F96BFF"/>
    <w:rsid w:val="00F973EF"/>
    <w:rsid w:val="00FA03B1"/>
    <w:rsid w:val="00FA1B8D"/>
    <w:rsid w:val="00FA1E14"/>
    <w:rsid w:val="00FA2A7C"/>
    <w:rsid w:val="00FA7522"/>
    <w:rsid w:val="00FB337D"/>
    <w:rsid w:val="00FB5ABF"/>
    <w:rsid w:val="00FC05FE"/>
    <w:rsid w:val="00FC1B28"/>
    <w:rsid w:val="00FC5221"/>
    <w:rsid w:val="00FC5ACE"/>
    <w:rsid w:val="00FC6D6B"/>
    <w:rsid w:val="00FD1AF9"/>
    <w:rsid w:val="00FD6285"/>
    <w:rsid w:val="00FD6E81"/>
    <w:rsid w:val="00FD7425"/>
    <w:rsid w:val="00FE11C0"/>
    <w:rsid w:val="00FE3899"/>
    <w:rsid w:val="00FE6E75"/>
    <w:rsid w:val="00FF0498"/>
    <w:rsid w:val="00FF0B85"/>
    <w:rsid w:val="00FF195D"/>
    <w:rsid w:val="00FF2EA0"/>
    <w:rsid w:val="00FF4E74"/>
    <w:rsid w:val="00FF532E"/>
    <w:rsid w:val="00FF54A7"/>
    <w:rsid w:val="00FF73C2"/>
    <w:rsid w:val="36A87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E524C98"/>
  <w15:docId w15:val="{B2ACD933-5EE1-4B65-9BAC-2E6F84C6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CD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2C0CD5"/>
    <w:pPr>
      <w:keepNext/>
      <w:jc w:val="center"/>
      <w:outlineLvl w:val="0"/>
    </w:pPr>
    <w:rPr>
      <w:i/>
      <w:sz w:val="24"/>
    </w:rPr>
  </w:style>
  <w:style w:type="paragraph" w:styleId="Heading2">
    <w:name w:val="heading 2"/>
    <w:basedOn w:val="Normal"/>
    <w:next w:val="Normal"/>
    <w:link w:val="Heading2Char"/>
    <w:uiPriority w:val="9"/>
    <w:unhideWhenUsed/>
    <w:qFormat/>
    <w:rsid w:val="001E505E"/>
    <w:pPr>
      <w:keepNext/>
      <w:keepLines/>
      <w:suppressAutoHyphens/>
      <w:spacing w:before="320" w:after="160"/>
      <w:outlineLvl w:val="1"/>
    </w:pPr>
    <w:rPr>
      <w:rFonts w:asciiTheme="majorHAnsi" w:eastAsiaTheme="majorEastAsia" w:hAnsiTheme="majorHAnsi" w:cstheme="majorBidi"/>
      <w:color w:val="373545" w:themeColor="text2"/>
      <w:sz w:val="36"/>
      <w:szCs w:val="26"/>
      <w:lang w:eastAsia="en-US"/>
    </w:rPr>
  </w:style>
  <w:style w:type="paragraph" w:styleId="Heading3">
    <w:name w:val="heading 3"/>
    <w:basedOn w:val="Normal"/>
    <w:next w:val="Normal"/>
    <w:link w:val="Heading3Char"/>
    <w:uiPriority w:val="9"/>
    <w:unhideWhenUsed/>
    <w:qFormat/>
    <w:rsid w:val="001E505E"/>
    <w:pPr>
      <w:keepNext/>
      <w:keepLines/>
      <w:spacing w:before="40"/>
      <w:outlineLvl w:val="2"/>
    </w:pPr>
    <w:rPr>
      <w:rFonts w:asciiTheme="majorHAnsi" w:eastAsiaTheme="majorEastAsia" w:hAnsiTheme="majorHAnsi" w:cstheme="majorBidi"/>
      <w:color w:val="1A495C" w:themeColor="accent1" w:themeShade="7F"/>
      <w:sz w:val="24"/>
      <w:szCs w:val="24"/>
    </w:rPr>
  </w:style>
  <w:style w:type="paragraph" w:styleId="Heading4">
    <w:name w:val="heading 4"/>
    <w:basedOn w:val="Normal"/>
    <w:next w:val="Normal"/>
    <w:link w:val="Heading4Char"/>
    <w:uiPriority w:val="9"/>
    <w:unhideWhenUsed/>
    <w:rsid w:val="001E505E"/>
    <w:pPr>
      <w:keepNext/>
      <w:keepLines/>
      <w:suppressAutoHyphens/>
      <w:spacing w:before="240" w:after="160"/>
      <w:outlineLvl w:val="3"/>
    </w:pPr>
    <w:rPr>
      <w:rFonts w:asciiTheme="majorHAnsi" w:eastAsiaTheme="majorEastAsia" w:hAnsiTheme="majorHAnsi" w:cstheme="majorBidi"/>
      <w:b/>
      <w:iCs/>
      <w:color w:val="3C4647" w:themeColor="accent4" w:themeShade="80"/>
      <w:sz w:val="26"/>
      <w:szCs w:val="22"/>
      <w:lang w:eastAsia="en-US"/>
    </w:rPr>
  </w:style>
  <w:style w:type="paragraph" w:styleId="Heading5">
    <w:name w:val="heading 5"/>
    <w:basedOn w:val="Normal"/>
    <w:next w:val="Normal"/>
    <w:link w:val="Heading5Char"/>
    <w:uiPriority w:val="9"/>
    <w:unhideWhenUsed/>
    <w:rsid w:val="001E505E"/>
    <w:pPr>
      <w:keepNext/>
      <w:keepLines/>
      <w:suppressAutoHyphens/>
      <w:spacing w:before="240" w:after="160"/>
      <w:outlineLvl w:val="4"/>
    </w:pPr>
    <w:rPr>
      <w:rFonts w:asciiTheme="majorHAnsi" w:eastAsiaTheme="majorEastAsia" w:hAnsiTheme="majorHAnsi" w:cstheme="majorBidi"/>
      <w:b/>
      <w:color w:val="373545" w:themeColor="text2"/>
      <w:sz w:val="22"/>
      <w:szCs w:val="22"/>
      <w:lang w:eastAsia="en-US"/>
    </w:rPr>
  </w:style>
  <w:style w:type="paragraph" w:styleId="Heading6">
    <w:name w:val="heading 6"/>
    <w:basedOn w:val="Normal"/>
    <w:next w:val="Normal"/>
    <w:link w:val="Heading6Char"/>
    <w:uiPriority w:val="9"/>
    <w:semiHidden/>
    <w:unhideWhenUsed/>
    <w:rsid w:val="001E505E"/>
    <w:pPr>
      <w:keepNext/>
      <w:keepLines/>
      <w:suppressAutoHyphens/>
      <w:spacing w:before="240" w:after="160"/>
      <w:outlineLvl w:val="5"/>
    </w:pPr>
    <w:rPr>
      <w:rFonts w:asciiTheme="majorHAnsi" w:eastAsiaTheme="majorEastAsia" w:hAnsiTheme="majorHAnsi" w:cstheme="majorBidi"/>
      <w:i/>
      <w:color w:val="373545" w:themeColor="text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CD5"/>
    <w:rPr>
      <w:rFonts w:ascii="Times New Roman" w:eastAsia="Times New Roman" w:hAnsi="Times New Roman" w:cs="Times New Roman"/>
      <w:i/>
      <w:sz w:val="24"/>
      <w:szCs w:val="20"/>
      <w:lang w:eastAsia="en-AU"/>
    </w:rPr>
  </w:style>
  <w:style w:type="paragraph" w:styleId="Title">
    <w:name w:val="Title"/>
    <w:basedOn w:val="Normal"/>
    <w:link w:val="TitleChar"/>
    <w:uiPriority w:val="17"/>
    <w:qFormat/>
    <w:rsid w:val="002C0CD5"/>
    <w:pPr>
      <w:jc w:val="center"/>
    </w:pPr>
    <w:rPr>
      <w:b/>
      <w:sz w:val="24"/>
      <w:u w:val="single"/>
      <w:lang w:val="en-GB" w:eastAsia="en-US"/>
    </w:rPr>
  </w:style>
  <w:style w:type="character" w:customStyle="1" w:styleId="TitleChar">
    <w:name w:val="Title Char"/>
    <w:basedOn w:val="DefaultParagraphFont"/>
    <w:link w:val="Title"/>
    <w:uiPriority w:val="17"/>
    <w:rsid w:val="002C0CD5"/>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2C0CD5"/>
    <w:rPr>
      <w:sz w:val="24"/>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2C0CD5"/>
    <w:pPr>
      <w:jc w:val="center"/>
    </w:pPr>
    <w:rPr>
      <w:sz w:val="24"/>
    </w:rPr>
  </w:style>
  <w:style w:type="character" w:customStyle="1" w:styleId="BodyTextChar">
    <w:name w:val="Body Text Char"/>
    <w:basedOn w:val="DefaultParagraphFont"/>
    <w:link w:val="BodyText"/>
    <w:rsid w:val="002C0CD5"/>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2C0CD5"/>
    <w:pPr>
      <w:tabs>
        <w:tab w:val="center" w:pos="4320"/>
        <w:tab w:val="right" w:pos="8640"/>
      </w:tabs>
    </w:pPr>
    <w:rPr>
      <w:sz w:val="24"/>
    </w:rPr>
  </w:style>
  <w:style w:type="character" w:customStyle="1" w:styleId="HeaderChar">
    <w:name w:val="Header Char"/>
    <w:basedOn w:val="DefaultParagraphFont"/>
    <w:link w:val="Header"/>
    <w:uiPriority w:val="99"/>
    <w:rsid w:val="002C0CD5"/>
    <w:rPr>
      <w:rFonts w:ascii="Times New Roman" w:eastAsia="Times New Roman" w:hAnsi="Times New Roman" w:cs="Times New Roman"/>
      <w:sz w:val="24"/>
      <w:szCs w:val="20"/>
      <w:lang w:eastAsia="en-AU"/>
    </w:rPr>
  </w:style>
  <w:style w:type="character" w:styleId="PageNumber">
    <w:name w:val="page number"/>
    <w:basedOn w:val="DefaultParagraphFont"/>
    <w:uiPriority w:val="99"/>
    <w:rsid w:val="002C0CD5"/>
  </w:style>
  <w:style w:type="character" w:styleId="CommentReference">
    <w:name w:val="annotation reference"/>
    <w:basedOn w:val="DefaultParagraphFont"/>
    <w:uiPriority w:val="99"/>
    <w:semiHidden/>
    <w:rsid w:val="002C0CD5"/>
    <w:rPr>
      <w:sz w:val="16"/>
      <w:szCs w:val="16"/>
    </w:rPr>
  </w:style>
  <w:style w:type="paragraph" w:styleId="CommentText">
    <w:name w:val="annotation text"/>
    <w:basedOn w:val="Normal"/>
    <w:link w:val="CommentTextChar"/>
    <w:uiPriority w:val="99"/>
    <w:semiHidden/>
    <w:rsid w:val="002C0CD5"/>
  </w:style>
  <w:style w:type="character" w:customStyle="1" w:styleId="CommentTextChar">
    <w:name w:val="Comment Text Char"/>
    <w:basedOn w:val="DefaultParagraphFont"/>
    <w:link w:val="CommentText"/>
    <w:uiPriority w:val="99"/>
    <w:semiHidden/>
    <w:rsid w:val="002C0CD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C0CD5"/>
    <w:rPr>
      <w:rFonts w:ascii="Tahoma" w:hAnsi="Tahoma" w:cs="Tahoma"/>
      <w:sz w:val="16"/>
      <w:szCs w:val="16"/>
    </w:rPr>
  </w:style>
  <w:style w:type="character" w:customStyle="1" w:styleId="BalloonTextChar">
    <w:name w:val="Balloon Text Char"/>
    <w:basedOn w:val="DefaultParagraphFont"/>
    <w:link w:val="BalloonText"/>
    <w:uiPriority w:val="99"/>
    <w:semiHidden/>
    <w:rsid w:val="002C0CD5"/>
    <w:rPr>
      <w:rFonts w:ascii="Tahoma" w:eastAsia="Times New Roman" w:hAnsi="Tahoma" w:cs="Tahoma"/>
      <w:sz w:val="16"/>
      <w:szCs w:val="16"/>
      <w:lang w:eastAsia="en-AU"/>
    </w:rPr>
  </w:style>
  <w:style w:type="paragraph" w:styleId="Footer">
    <w:name w:val="footer"/>
    <w:basedOn w:val="Normal"/>
    <w:link w:val="FooterChar"/>
    <w:uiPriority w:val="99"/>
    <w:unhideWhenUsed/>
    <w:rsid w:val="00203EBE"/>
    <w:pPr>
      <w:tabs>
        <w:tab w:val="center" w:pos="4513"/>
        <w:tab w:val="right" w:pos="9026"/>
      </w:tabs>
    </w:pPr>
  </w:style>
  <w:style w:type="character" w:customStyle="1" w:styleId="FooterChar">
    <w:name w:val="Footer Char"/>
    <w:basedOn w:val="DefaultParagraphFont"/>
    <w:link w:val="Footer"/>
    <w:uiPriority w:val="99"/>
    <w:rsid w:val="00203EB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1AE3"/>
    <w:rPr>
      <w:b/>
      <w:bCs/>
    </w:rPr>
  </w:style>
  <w:style w:type="character" w:customStyle="1" w:styleId="CommentSubjectChar">
    <w:name w:val="Comment Subject Char"/>
    <w:basedOn w:val="CommentTextChar"/>
    <w:link w:val="CommentSubject"/>
    <w:uiPriority w:val="99"/>
    <w:semiHidden/>
    <w:rsid w:val="00951AE3"/>
    <w:rPr>
      <w:rFonts w:ascii="Times New Roman" w:eastAsia="Times New Roman" w:hAnsi="Times New Roman" w:cs="Times New Roman"/>
      <w:b/>
      <w:bCs/>
      <w:sz w:val="20"/>
      <w:szCs w:val="20"/>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styleId="ListParagraph">
    <w:name w:val="List Paragraph"/>
    <w:aliases w:val="Bullet point,CV text,Dot pt,F5 List Paragraph,FooterText,L,List Paragraph1,List Paragraph11,List Paragraph111,List Paragraph2,Medium Grid 1 - Accent 21,NFP GP Bulleted List,Numbered Paragraph,Recommendation,Table text,numbered,列,列出段,列出段落"/>
    <w:basedOn w:val="Normal"/>
    <w:link w:val="ListParagraphChar"/>
    <w:uiPriority w:val="34"/>
    <w:qFormat/>
    <w:rsid w:val="008A3C27"/>
    <w:pPr>
      <w:ind w:left="720"/>
      <w:contextualSpacing/>
    </w:pPr>
  </w:style>
  <w:style w:type="character" w:styleId="Emphasis">
    <w:name w:val="Emphasis"/>
    <w:basedOn w:val="DefaultParagraphFont"/>
    <w:uiPriority w:val="20"/>
    <w:qFormat/>
    <w:rsid w:val="0014799A"/>
    <w:rPr>
      <w:i/>
      <w:iCs/>
    </w:rPr>
  </w:style>
  <w:style w:type="paragraph" w:customStyle="1" w:styleId="Default">
    <w:name w:val="Default"/>
    <w:basedOn w:val="Normal"/>
    <w:rsid w:val="000C5458"/>
    <w:pPr>
      <w:autoSpaceDE w:val="0"/>
      <w:autoSpaceDN w:val="0"/>
    </w:pPr>
    <w:rPr>
      <w:rFonts w:ascii="Calibri" w:eastAsiaTheme="minorHAnsi" w:hAnsi="Calibri" w:cs="Calibri"/>
      <w:color w:val="000000"/>
      <w:sz w:val="24"/>
      <w:szCs w:val="24"/>
      <w:lang w:eastAsia="en-US"/>
    </w:rPr>
  </w:style>
  <w:style w:type="paragraph" w:styleId="Revision">
    <w:name w:val="Revision"/>
    <w:hidden/>
    <w:uiPriority w:val="99"/>
    <w:semiHidden/>
    <w:rsid w:val="000D57DD"/>
    <w:pPr>
      <w:spacing w:after="0" w:line="240" w:lineRule="auto"/>
    </w:pPr>
    <w:rPr>
      <w:rFonts w:ascii="Times New Roman" w:eastAsia="Times New Roman" w:hAnsi="Times New Roman" w:cs="Times New Roman"/>
      <w:sz w:val="20"/>
      <w:szCs w:val="20"/>
      <w:lang w:eastAsia="en-AU"/>
    </w:rPr>
  </w:style>
  <w:style w:type="character" w:customStyle="1" w:styleId="Heading2Char">
    <w:name w:val="Heading 2 Char"/>
    <w:basedOn w:val="DefaultParagraphFont"/>
    <w:link w:val="Heading2"/>
    <w:uiPriority w:val="9"/>
    <w:rsid w:val="001E505E"/>
    <w:rPr>
      <w:rFonts w:asciiTheme="majorHAnsi" w:eastAsiaTheme="majorEastAsia" w:hAnsiTheme="majorHAnsi" w:cstheme="majorBidi"/>
      <w:color w:val="373545" w:themeColor="text2"/>
      <w:sz w:val="36"/>
      <w:szCs w:val="26"/>
    </w:rPr>
  </w:style>
  <w:style w:type="character" w:customStyle="1" w:styleId="Heading3Char">
    <w:name w:val="Heading 3 Char"/>
    <w:basedOn w:val="DefaultParagraphFont"/>
    <w:link w:val="Heading3"/>
    <w:uiPriority w:val="9"/>
    <w:rsid w:val="001E505E"/>
    <w:rPr>
      <w:rFonts w:asciiTheme="majorHAnsi" w:eastAsiaTheme="majorEastAsia" w:hAnsiTheme="majorHAnsi" w:cstheme="majorBidi"/>
      <w:color w:val="1A495C" w:themeColor="accent1" w:themeShade="7F"/>
      <w:sz w:val="24"/>
      <w:szCs w:val="24"/>
      <w:lang w:eastAsia="en-AU"/>
    </w:rPr>
  </w:style>
  <w:style w:type="character" w:customStyle="1" w:styleId="Heading4Char">
    <w:name w:val="Heading 4 Char"/>
    <w:basedOn w:val="DefaultParagraphFont"/>
    <w:link w:val="Heading4"/>
    <w:uiPriority w:val="9"/>
    <w:rsid w:val="001E505E"/>
    <w:rPr>
      <w:rFonts w:asciiTheme="majorHAnsi" w:eastAsiaTheme="majorEastAsia" w:hAnsiTheme="majorHAnsi" w:cstheme="majorBidi"/>
      <w:b/>
      <w:iCs/>
      <w:color w:val="3C4647" w:themeColor="accent4" w:themeShade="80"/>
      <w:sz w:val="26"/>
    </w:rPr>
  </w:style>
  <w:style w:type="character" w:customStyle="1" w:styleId="Heading5Char">
    <w:name w:val="Heading 5 Char"/>
    <w:basedOn w:val="DefaultParagraphFont"/>
    <w:link w:val="Heading5"/>
    <w:uiPriority w:val="9"/>
    <w:rsid w:val="001E505E"/>
    <w:rPr>
      <w:rFonts w:asciiTheme="majorHAnsi" w:eastAsiaTheme="majorEastAsia" w:hAnsiTheme="majorHAnsi" w:cstheme="majorBidi"/>
      <w:b/>
      <w:color w:val="373545" w:themeColor="text2"/>
    </w:rPr>
  </w:style>
  <w:style w:type="character" w:customStyle="1" w:styleId="Heading6Char">
    <w:name w:val="Heading 6 Char"/>
    <w:basedOn w:val="DefaultParagraphFont"/>
    <w:link w:val="Heading6"/>
    <w:uiPriority w:val="9"/>
    <w:semiHidden/>
    <w:rsid w:val="001E505E"/>
    <w:rPr>
      <w:rFonts w:asciiTheme="majorHAnsi" w:eastAsiaTheme="majorEastAsia" w:hAnsiTheme="majorHAnsi" w:cstheme="majorBidi"/>
      <w:i/>
      <w:color w:val="373545" w:themeColor="text2"/>
    </w:rPr>
  </w:style>
  <w:style w:type="character" w:styleId="PlaceholderText">
    <w:name w:val="Placeholder Text"/>
    <w:basedOn w:val="DefaultParagraphFont"/>
    <w:uiPriority w:val="99"/>
    <w:semiHidden/>
    <w:rsid w:val="001E505E"/>
    <w:rPr>
      <w:color w:val="808080"/>
    </w:rPr>
  </w:style>
  <w:style w:type="paragraph" w:styleId="Subtitle">
    <w:name w:val="Subtitle"/>
    <w:basedOn w:val="Normal"/>
    <w:next w:val="Normal"/>
    <w:link w:val="SubtitleChar"/>
    <w:uiPriority w:val="18"/>
    <w:qFormat/>
    <w:rsid w:val="001E505E"/>
    <w:pPr>
      <w:numPr>
        <w:ilvl w:val="1"/>
      </w:numPr>
      <w:suppressAutoHyphens/>
      <w:spacing w:before="480" w:after="160"/>
    </w:pPr>
    <w:rPr>
      <w:rFonts w:asciiTheme="majorHAnsi" w:eastAsiaTheme="minorEastAsia" w:hAnsiTheme="majorHAnsi" w:cstheme="minorBidi"/>
      <w:color w:val="377B88"/>
      <w:sz w:val="44"/>
      <w:szCs w:val="22"/>
      <w:lang w:eastAsia="en-US"/>
    </w:rPr>
  </w:style>
  <w:style w:type="character" w:customStyle="1" w:styleId="SubtitleChar">
    <w:name w:val="Subtitle Char"/>
    <w:basedOn w:val="DefaultParagraphFont"/>
    <w:link w:val="Subtitle"/>
    <w:uiPriority w:val="18"/>
    <w:rsid w:val="001E505E"/>
    <w:rPr>
      <w:rFonts w:asciiTheme="majorHAnsi" w:eastAsiaTheme="minorEastAsia" w:hAnsiTheme="majorHAnsi"/>
      <w:color w:val="377B88"/>
      <w:sz w:val="44"/>
    </w:rPr>
  </w:style>
  <w:style w:type="paragraph" w:customStyle="1" w:styleId="CoverDate">
    <w:name w:val="Cover Date"/>
    <w:basedOn w:val="Normal"/>
    <w:uiPriority w:val="19"/>
    <w:qFormat/>
    <w:rsid w:val="001E505E"/>
    <w:pPr>
      <w:suppressAutoHyphens/>
      <w:spacing w:before="160" w:after="80"/>
    </w:pPr>
    <w:rPr>
      <w:rFonts w:asciiTheme="minorHAnsi" w:eastAsiaTheme="minorHAnsi" w:hAnsiTheme="minorHAnsi" w:cstheme="minorBidi"/>
      <w:b/>
      <w:color w:val="000000" w:themeColor="text1"/>
      <w:sz w:val="22"/>
      <w:szCs w:val="22"/>
      <w:lang w:eastAsia="en-US"/>
    </w:rPr>
  </w:style>
  <w:style w:type="paragraph" w:customStyle="1" w:styleId="CoverPhoto">
    <w:name w:val="Cover Photo"/>
    <w:basedOn w:val="Normal"/>
    <w:uiPriority w:val="19"/>
    <w:qFormat/>
    <w:rsid w:val="001E505E"/>
    <w:pPr>
      <w:suppressAutoHyphens/>
      <w:spacing w:before="1240" w:after="160"/>
    </w:pPr>
    <w:rPr>
      <w:rFonts w:asciiTheme="minorHAnsi" w:eastAsiaTheme="minorHAnsi" w:hAnsiTheme="minorHAnsi" w:cstheme="minorBidi"/>
      <w:color w:val="000000" w:themeColor="text1"/>
      <w:sz w:val="22"/>
      <w:szCs w:val="22"/>
      <w:lang w:eastAsia="en-US"/>
    </w:rPr>
  </w:style>
  <w:style w:type="paragraph" w:styleId="NoSpacing">
    <w:name w:val="No Spacing"/>
    <w:uiPriority w:val="1"/>
    <w:qFormat/>
    <w:rsid w:val="001E505E"/>
    <w:pPr>
      <w:suppressAutoHyphens/>
      <w:spacing w:before="160" w:after="80" w:line="240" w:lineRule="auto"/>
      <w:contextualSpacing/>
    </w:pPr>
    <w:rPr>
      <w:color w:val="000000" w:themeColor="text1"/>
      <w:kern w:val="12"/>
    </w:rPr>
  </w:style>
  <w:style w:type="paragraph" w:customStyle="1" w:styleId="ImprintHeading">
    <w:name w:val="Imprint Heading"/>
    <w:basedOn w:val="Normal"/>
    <w:uiPriority w:val="12"/>
    <w:rsid w:val="001E505E"/>
    <w:pPr>
      <w:suppressAutoHyphens/>
      <w:spacing w:before="240" w:after="160"/>
      <w:outlineLvl w:val="1"/>
    </w:pPr>
    <w:rPr>
      <w:rFonts w:asciiTheme="minorHAnsi" w:eastAsiaTheme="minorHAnsi" w:hAnsiTheme="minorHAnsi" w:cstheme="minorBidi"/>
      <w:b/>
      <w:color w:val="000000" w:themeColor="text1"/>
      <w:sz w:val="22"/>
      <w:szCs w:val="22"/>
      <w:lang w:val="x-none" w:eastAsia="en-US"/>
    </w:rPr>
  </w:style>
  <w:style w:type="character" w:styleId="Hyperlink">
    <w:name w:val="Hyperlink"/>
    <w:basedOn w:val="DefaultParagraphFont"/>
    <w:uiPriority w:val="99"/>
    <w:unhideWhenUsed/>
    <w:rsid w:val="001E505E"/>
    <w:rPr>
      <w:color w:val="6B9F25" w:themeColor="hyperlink"/>
      <w:u w:val="single"/>
    </w:rPr>
  </w:style>
  <w:style w:type="table" w:styleId="TableGrid">
    <w:name w:val="Table Grid"/>
    <w:basedOn w:val="TableNormal"/>
    <w:uiPriority w:val="39"/>
    <w:rsid w:val="001E505E"/>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CMA Footnote Text,ACMA Footnote Text Char1,Footnote Text Char Char,Footnote Text Char Char Char Char,Footnote Text Char1,Footnote Text Char1 Char Char,Footnote Text Char1 Char Char Char Char,Footnote text,footnote text"/>
    <w:basedOn w:val="Normal"/>
    <w:link w:val="FootnoteTextChar"/>
    <w:uiPriority w:val="99"/>
    <w:qFormat/>
    <w:rsid w:val="001E505E"/>
    <w:pPr>
      <w:suppressAutoHyphens/>
      <w:ind w:left="284" w:hanging="284"/>
    </w:pPr>
    <w:rPr>
      <w:rFonts w:asciiTheme="minorHAnsi" w:eastAsiaTheme="minorHAnsi" w:hAnsiTheme="minorHAnsi" w:cstheme="minorBidi"/>
      <w:color w:val="000000" w:themeColor="text1"/>
      <w:sz w:val="18"/>
      <w:szCs w:val="22"/>
      <w:lang w:eastAsia="en-US"/>
    </w:rPr>
  </w:style>
  <w:style w:type="character" w:customStyle="1" w:styleId="FootnoteTextChar">
    <w:name w:val="Footnote Text Char"/>
    <w:aliases w:val="ACMA Footnote Text Char,ACMA Footnote Text Char1 Char,Footnote Text Char Char Char,Footnote Text Char Char Char Char Char,Footnote Text Char1 Char,Footnote Text Char1 Char Char Char,Footnote Text Char1 Char Char Char Char Char"/>
    <w:basedOn w:val="DefaultParagraphFont"/>
    <w:link w:val="FootnoteText"/>
    <w:uiPriority w:val="99"/>
    <w:qFormat/>
    <w:rsid w:val="001E505E"/>
    <w:rPr>
      <w:color w:val="000000" w:themeColor="text1"/>
      <w:sz w:val="18"/>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
    <w:basedOn w:val="DefaultParagraphFont"/>
    <w:uiPriority w:val="99"/>
    <w:unhideWhenUsed/>
    <w:qFormat/>
    <w:rsid w:val="001E505E"/>
    <w:rPr>
      <w:vertAlign w:val="superscript"/>
    </w:rPr>
  </w:style>
  <w:style w:type="paragraph" w:customStyle="1" w:styleId="Introduction">
    <w:name w:val="Introduction"/>
    <w:basedOn w:val="Normal"/>
    <w:uiPriority w:val="2"/>
    <w:qFormat/>
    <w:rsid w:val="001E505E"/>
    <w:pPr>
      <w:suppressAutoHyphens/>
      <w:spacing w:before="240" w:after="240"/>
    </w:pPr>
    <w:rPr>
      <w:rFonts w:asciiTheme="minorHAnsi" w:eastAsiaTheme="minorHAnsi" w:hAnsiTheme="minorHAnsi" w:cstheme="minorBidi"/>
      <w:color w:val="377B88"/>
      <w:sz w:val="26"/>
      <w:szCs w:val="22"/>
      <w:lang w:val="x-none" w:eastAsia="en-US"/>
    </w:rPr>
  </w:style>
  <w:style w:type="paragraph" w:styleId="Caption">
    <w:name w:val="caption"/>
    <w:basedOn w:val="Normal"/>
    <w:next w:val="Normal"/>
    <w:uiPriority w:val="14"/>
    <w:qFormat/>
    <w:rsid w:val="001E505E"/>
    <w:pPr>
      <w:suppressAutoHyphens/>
      <w:spacing w:before="240" w:after="160"/>
    </w:pPr>
    <w:rPr>
      <w:rFonts w:asciiTheme="minorHAnsi" w:eastAsiaTheme="minorHAnsi" w:hAnsiTheme="minorHAnsi" w:cstheme="minorBidi"/>
      <w:b/>
      <w:iCs/>
      <w:color w:val="000000" w:themeColor="text1"/>
      <w:sz w:val="22"/>
      <w:szCs w:val="18"/>
      <w:lang w:eastAsia="en-US"/>
    </w:rPr>
  </w:style>
  <w:style w:type="table" w:customStyle="1" w:styleId="DefaultTable1">
    <w:name w:val="Default Table 1"/>
    <w:basedOn w:val="TableNormal"/>
    <w:uiPriority w:val="99"/>
    <w:rsid w:val="001E505E"/>
    <w:pPr>
      <w:spacing w:before="80" w:after="80" w:line="240" w:lineRule="auto"/>
    </w:pPr>
    <w:rPr>
      <w:color w:val="000000" w:themeColor="text1"/>
    </w:rPr>
    <w:tblPr>
      <w:tblStyleRowBandSize w:val="1"/>
      <w:tblStyleColBandSize w:val="1"/>
      <w:tblBorders>
        <w:top w:val="single" w:sz="4" w:space="0" w:color="58B6C0" w:themeColor="accent2"/>
        <w:bottom w:val="single" w:sz="4" w:space="0" w:color="58B6C0" w:themeColor="accent2"/>
        <w:insideH w:val="single" w:sz="4" w:space="0" w:color="58B6C0" w:themeColor="accent2"/>
      </w:tblBorders>
    </w:tblPr>
    <w:tblStylePr w:type="firstRow">
      <w:rPr>
        <w:b/>
        <w:color w:val="FFFFFF" w:themeColor="background1"/>
      </w:rPr>
      <w:tblPr/>
      <w:trPr>
        <w:tblHeader/>
      </w:trPr>
      <w:tcPr>
        <w:tcBorders>
          <w:top w:val="nil"/>
          <w:bottom w:val="nil"/>
        </w:tcBorders>
        <w:shd w:val="clear" w:color="auto" w:fill="3494BA" w:themeFill="accent1"/>
      </w:tcPr>
    </w:tblStylePr>
    <w:tblStylePr w:type="lastRow">
      <w:rPr>
        <w:b/>
      </w:rPr>
      <w:tblPr/>
      <w:tcPr>
        <w:shd w:val="clear" w:color="auto" w:fill="E6EEF0"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E505E"/>
    <w:pPr>
      <w:suppressAutoHyphens/>
      <w:spacing w:before="120" w:after="80"/>
    </w:pPr>
    <w:rPr>
      <w:rFonts w:asciiTheme="minorHAnsi" w:eastAsiaTheme="minorHAnsi" w:hAnsiTheme="minorHAnsi" w:cstheme="minorBidi"/>
      <w:color w:val="000000" w:themeColor="text1"/>
      <w:sz w:val="16"/>
      <w:szCs w:val="22"/>
      <w:lang w:val="x-none" w:eastAsia="en-US"/>
    </w:rPr>
  </w:style>
  <w:style w:type="paragraph" w:customStyle="1" w:styleId="Sourcenotesnumbered">
    <w:name w:val="Source notes numbered"/>
    <w:basedOn w:val="Sourcenotes"/>
    <w:uiPriority w:val="15"/>
    <w:qFormat/>
    <w:rsid w:val="001E505E"/>
    <w:pPr>
      <w:spacing w:before="80"/>
    </w:pPr>
  </w:style>
  <w:style w:type="paragraph" w:customStyle="1" w:styleId="ListLegal10">
    <w:name w:val="List Legal 1"/>
    <w:basedOn w:val="Normal"/>
    <w:uiPriority w:val="3"/>
    <w:qFormat/>
    <w:rsid w:val="001E505E"/>
    <w:pPr>
      <w:numPr>
        <w:numId w:val="2"/>
      </w:numPr>
      <w:suppressAutoHyphens/>
      <w:spacing w:before="80" w:after="80"/>
    </w:pPr>
    <w:rPr>
      <w:rFonts w:asciiTheme="minorHAnsi" w:eastAsiaTheme="minorHAnsi" w:hAnsiTheme="minorHAnsi" w:cstheme="minorBidi"/>
      <w:color w:val="000000" w:themeColor="text1"/>
      <w:sz w:val="22"/>
      <w:szCs w:val="22"/>
      <w:lang w:val="x-none" w:eastAsia="en-US"/>
    </w:rPr>
  </w:style>
  <w:style w:type="paragraph" w:customStyle="1" w:styleId="ListLegal2">
    <w:name w:val="List Legal 2"/>
    <w:basedOn w:val="ListLegal10"/>
    <w:uiPriority w:val="3"/>
    <w:rsid w:val="001E505E"/>
    <w:pPr>
      <w:numPr>
        <w:ilvl w:val="1"/>
      </w:numPr>
    </w:pPr>
  </w:style>
  <w:style w:type="paragraph" w:customStyle="1" w:styleId="ListLegal3">
    <w:name w:val="List Legal 3"/>
    <w:basedOn w:val="ListLegal2"/>
    <w:uiPriority w:val="3"/>
    <w:rsid w:val="001E505E"/>
    <w:pPr>
      <w:numPr>
        <w:ilvl w:val="2"/>
      </w:numPr>
    </w:pPr>
  </w:style>
  <w:style w:type="paragraph" w:customStyle="1" w:styleId="ListNumbered1">
    <w:name w:val="List Numbered 1"/>
    <w:basedOn w:val="Normal"/>
    <w:uiPriority w:val="3"/>
    <w:qFormat/>
    <w:rsid w:val="001E505E"/>
    <w:pPr>
      <w:numPr>
        <w:numId w:val="3"/>
      </w:numPr>
      <w:suppressAutoHyphens/>
      <w:spacing w:before="80" w:after="80"/>
    </w:pPr>
    <w:rPr>
      <w:rFonts w:asciiTheme="minorHAnsi" w:eastAsiaTheme="minorHAnsi" w:hAnsiTheme="minorHAnsi" w:cstheme="minorBidi"/>
      <w:color w:val="000000" w:themeColor="text1"/>
      <w:sz w:val="22"/>
      <w:szCs w:val="22"/>
      <w:lang w:val="x-none" w:eastAsia="en-US"/>
    </w:rPr>
  </w:style>
  <w:style w:type="paragraph" w:customStyle="1" w:styleId="ListNumbered21">
    <w:name w:val="List Numbered 2.1"/>
    <w:basedOn w:val="ListNumbered1"/>
    <w:uiPriority w:val="3"/>
    <w:rsid w:val="001E505E"/>
    <w:pPr>
      <w:numPr>
        <w:ilvl w:val="1"/>
      </w:numPr>
    </w:pPr>
  </w:style>
  <w:style w:type="paragraph" w:customStyle="1" w:styleId="ListNumbered311">
    <w:name w:val="List Numbered 3.1.1"/>
    <w:basedOn w:val="ListNumbered21"/>
    <w:uiPriority w:val="3"/>
    <w:rsid w:val="001E505E"/>
    <w:pPr>
      <w:numPr>
        <w:ilvl w:val="2"/>
      </w:numPr>
    </w:pPr>
  </w:style>
  <w:style w:type="paragraph" w:customStyle="1" w:styleId="Bullet1">
    <w:name w:val="Bullet 1"/>
    <w:basedOn w:val="Normal"/>
    <w:uiPriority w:val="3"/>
    <w:qFormat/>
    <w:rsid w:val="001E505E"/>
    <w:pPr>
      <w:numPr>
        <w:numId w:val="1"/>
      </w:numPr>
      <w:suppressAutoHyphens/>
      <w:spacing w:before="80" w:after="80"/>
    </w:pPr>
    <w:rPr>
      <w:rFonts w:asciiTheme="minorHAnsi" w:eastAsiaTheme="minorHAnsi" w:hAnsiTheme="minorHAnsi" w:cstheme="minorBidi"/>
      <w:color w:val="000000" w:themeColor="text1"/>
      <w:sz w:val="22"/>
      <w:szCs w:val="22"/>
      <w:lang w:val="x-none" w:eastAsia="en-US"/>
    </w:rPr>
  </w:style>
  <w:style w:type="paragraph" w:customStyle="1" w:styleId="Bullet2">
    <w:name w:val="Bullet 2"/>
    <w:basedOn w:val="Bullet1"/>
    <w:uiPriority w:val="3"/>
    <w:rsid w:val="001E505E"/>
    <w:pPr>
      <w:numPr>
        <w:ilvl w:val="1"/>
      </w:numPr>
    </w:pPr>
  </w:style>
  <w:style w:type="paragraph" w:customStyle="1" w:styleId="Bullet3">
    <w:name w:val="Bullet 3"/>
    <w:basedOn w:val="Bullet2"/>
    <w:uiPriority w:val="3"/>
    <w:rsid w:val="001E505E"/>
    <w:pPr>
      <w:numPr>
        <w:ilvl w:val="2"/>
      </w:numPr>
    </w:pPr>
  </w:style>
  <w:style w:type="paragraph" w:styleId="TOCHeading">
    <w:name w:val="TOC Heading"/>
    <w:basedOn w:val="Heading1"/>
    <w:next w:val="Normal"/>
    <w:uiPriority w:val="39"/>
    <w:qFormat/>
    <w:rsid w:val="001E505E"/>
    <w:pPr>
      <w:keepLines/>
      <w:suppressAutoHyphens/>
      <w:spacing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Box1Text">
    <w:name w:val="Box 1 Text"/>
    <w:basedOn w:val="Normal"/>
    <w:uiPriority w:val="23"/>
    <w:qFormat/>
    <w:rsid w:val="001E505E"/>
    <w:pPr>
      <w:pBdr>
        <w:top w:val="single" w:sz="4" w:space="14" w:color="58B6C0" w:themeColor="accent2"/>
        <w:left w:val="single" w:sz="4" w:space="14" w:color="58B6C0" w:themeColor="accent2"/>
        <w:bottom w:val="single" w:sz="4" w:space="14" w:color="58B6C0" w:themeColor="accent2"/>
        <w:right w:val="single" w:sz="4" w:space="14" w:color="58B6C0" w:themeColor="accent2"/>
      </w:pBdr>
      <w:suppressAutoHyphens/>
      <w:spacing w:before="160" w:after="80"/>
      <w:ind w:left="284" w:right="284"/>
    </w:pPr>
    <w:rPr>
      <w:rFonts w:asciiTheme="minorHAnsi" w:eastAsiaTheme="minorHAnsi" w:hAnsiTheme="minorHAnsi" w:cstheme="minorBidi"/>
      <w:color w:val="000000" w:themeColor="text1"/>
      <w:sz w:val="22"/>
      <w:szCs w:val="22"/>
      <w:lang w:val="x-none" w:eastAsia="en-US"/>
    </w:rPr>
  </w:style>
  <w:style w:type="paragraph" w:customStyle="1" w:styleId="Box1Heading">
    <w:name w:val="Box 1 Heading"/>
    <w:basedOn w:val="Box1Text"/>
    <w:uiPriority w:val="23"/>
    <w:qFormat/>
    <w:rsid w:val="001E505E"/>
    <w:rPr>
      <w:b/>
    </w:rPr>
  </w:style>
  <w:style w:type="paragraph" w:customStyle="1" w:styleId="Box1Bullet1">
    <w:name w:val="Box 1 Bullet 1"/>
    <w:basedOn w:val="Box1Text"/>
    <w:uiPriority w:val="24"/>
    <w:qFormat/>
    <w:rsid w:val="001E505E"/>
    <w:pPr>
      <w:numPr>
        <w:numId w:val="9"/>
      </w:numPr>
      <w:spacing w:before="80"/>
    </w:pPr>
    <w:rPr>
      <w:kern w:val="12"/>
      <w:sz w:val="20"/>
      <w:szCs w:val="20"/>
    </w:rPr>
  </w:style>
  <w:style w:type="paragraph" w:customStyle="1" w:styleId="Box2Text">
    <w:name w:val="Box 2 Text"/>
    <w:basedOn w:val="Normal"/>
    <w:uiPriority w:val="24"/>
    <w:qFormat/>
    <w:rsid w:val="001E505E"/>
    <w:pPr>
      <w:pBdr>
        <w:top w:val="single" w:sz="4" w:space="14" w:color="E6EEF0" w:themeColor="accent5" w:themeTint="33"/>
        <w:left w:val="single" w:sz="4" w:space="14" w:color="E6EEF0" w:themeColor="accent5" w:themeTint="33"/>
        <w:bottom w:val="single" w:sz="4" w:space="14" w:color="E6EEF0" w:themeColor="accent5" w:themeTint="33"/>
        <w:right w:val="single" w:sz="4" w:space="14" w:color="E6EEF0" w:themeColor="accent5" w:themeTint="33"/>
      </w:pBdr>
      <w:shd w:val="clear" w:color="auto" w:fill="E6EEF0" w:themeFill="accent5" w:themeFillTint="33"/>
      <w:suppressAutoHyphens/>
      <w:spacing w:before="160" w:after="80"/>
      <w:ind w:left="284" w:right="284"/>
    </w:pPr>
    <w:rPr>
      <w:rFonts w:asciiTheme="minorHAnsi" w:eastAsiaTheme="minorHAnsi" w:hAnsiTheme="minorHAnsi" w:cstheme="minorBidi"/>
      <w:color w:val="000000" w:themeColor="text1"/>
      <w:sz w:val="22"/>
      <w:szCs w:val="22"/>
      <w:lang w:val="x-none" w:eastAsia="en-US"/>
    </w:rPr>
  </w:style>
  <w:style w:type="paragraph" w:customStyle="1" w:styleId="Box2Heading">
    <w:name w:val="Box 2 Heading"/>
    <w:basedOn w:val="Box2Text"/>
    <w:uiPriority w:val="24"/>
    <w:qFormat/>
    <w:rsid w:val="001E505E"/>
    <w:rPr>
      <w:b/>
    </w:rPr>
  </w:style>
  <w:style w:type="paragraph" w:customStyle="1" w:styleId="Box2Bullet1">
    <w:name w:val="Box 2 Bullet 1"/>
    <w:basedOn w:val="Box2Text"/>
    <w:uiPriority w:val="25"/>
    <w:qFormat/>
    <w:rsid w:val="001E505E"/>
    <w:pPr>
      <w:numPr>
        <w:ilvl w:val="1"/>
        <w:numId w:val="9"/>
      </w:numPr>
      <w:spacing w:before="80"/>
    </w:pPr>
    <w:rPr>
      <w:kern w:val="12"/>
      <w:sz w:val="20"/>
      <w:szCs w:val="20"/>
    </w:rPr>
  </w:style>
  <w:style w:type="table" w:customStyle="1" w:styleId="IconBoxTable">
    <w:name w:val="Icon Box Table"/>
    <w:basedOn w:val="TableNormal"/>
    <w:uiPriority w:val="99"/>
    <w:rsid w:val="001E505E"/>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1E505E"/>
    <w:pPr>
      <w:numPr>
        <w:numId w:val="1"/>
      </w:numPr>
    </w:pPr>
  </w:style>
  <w:style w:type="numbering" w:customStyle="1" w:styleId="ListLegal">
    <w:name w:val="List Legal"/>
    <w:uiPriority w:val="99"/>
    <w:rsid w:val="001E505E"/>
    <w:pPr>
      <w:numPr>
        <w:numId w:val="2"/>
      </w:numPr>
    </w:pPr>
  </w:style>
  <w:style w:type="numbering" w:customStyle="1" w:styleId="ListNumbered">
    <w:name w:val="List Numbered"/>
    <w:uiPriority w:val="99"/>
    <w:rsid w:val="001E505E"/>
    <w:pPr>
      <w:numPr>
        <w:numId w:val="3"/>
      </w:numPr>
    </w:pPr>
  </w:style>
  <w:style w:type="paragraph" w:customStyle="1" w:styleId="Heading1Numbered">
    <w:name w:val="Heading 1 Numbered"/>
    <w:basedOn w:val="Heading1"/>
    <w:uiPriority w:val="10"/>
    <w:rsid w:val="001E505E"/>
    <w:pPr>
      <w:keepLines/>
      <w:numPr>
        <w:numId w:val="5"/>
      </w:numPr>
      <w:suppressAutoHyphens/>
      <w:spacing w:before="480"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Heading2Numbered">
    <w:name w:val="Heading 2 Numbered"/>
    <w:basedOn w:val="Heading2"/>
    <w:uiPriority w:val="10"/>
    <w:rsid w:val="001E505E"/>
    <w:pPr>
      <w:numPr>
        <w:ilvl w:val="1"/>
        <w:numId w:val="5"/>
      </w:numPr>
    </w:pPr>
  </w:style>
  <w:style w:type="paragraph" w:customStyle="1" w:styleId="Heading3Numbered">
    <w:name w:val="Heading 3 Numbered"/>
    <w:basedOn w:val="Heading3"/>
    <w:uiPriority w:val="10"/>
    <w:rsid w:val="001E505E"/>
    <w:pPr>
      <w:numPr>
        <w:ilvl w:val="2"/>
        <w:numId w:val="5"/>
      </w:numPr>
      <w:suppressAutoHyphens/>
      <w:spacing w:before="240" w:after="160"/>
    </w:pPr>
    <w:rPr>
      <w:b/>
      <w:color w:val="5A696A" w:themeColor="accent4" w:themeShade="BF"/>
      <w:sz w:val="32"/>
      <w:lang w:eastAsia="en-US"/>
    </w:rPr>
  </w:style>
  <w:style w:type="paragraph" w:customStyle="1" w:styleId="Heading4Numbered">
    <w:name w:val="Heading 4 Numbered"/>
    <w:basedOn w:val="Heading4"/>
    <w:uiPriority w:val="10"/>
    <w:rsid w:val="001E505E"/>
    <w:pPr>
      <w:numPr>
        <w:ilvl w:val="3"/>
        <w:numId w:val="5"/>
      </w:numPr>
    </w:pPr>
  </w:style>
  <w:style w:type="paragraph" w:customStyle="1" w:styleId="Heading5Numbered">
    <w:name w:val="Heading 5 Numbered"/>
    <w:basedOn w:val="Heading5"/>
    <w:uiPriority w:val="10"/>
    <w:rsid w:val="001E505E"/>
    <w:pPr>
      <w:numPr>
        <w:ilvl w:val="4"/>
        <w:numId w:val="5"/>
      </w:numPr>
    </w:pPr>
  </w:style>
  <w:style w:type="numbering" w:customStyle="1" w:styleId="NumberedHeadings">
    <w:name w:val="Numbered Headings"/>
    <w:uiPriority w:val="99"/>
    <w:rsid w:val="001E505E"/>
    <w:pPr>
      <w:numPr>
        <w:numId w:val="4"/>
      </w:numPr>
    </w:pPr>
  </w:style>
  <w:style w:type="paragraph" w:customStyle="1" w:styleId="AppendixHeading1">
    <w:name w:val="Appendix Heading 1"/>
    <w:basedOn w:val="Heading1"/>
    <w:uiPriority w:val="11"/>
    <w:qFormat/>
    <w:rsid w:val="001E505E"/>
    <w:pPr>
      <w:keepLines/>
      <w:numPr>
        <w:numId w:val="7"/>
      </w:numPr>
      <w:suppressAutoHyphens/>
      <w:spacing w:before="480"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AppendixHeading2">
    <w:name w:val="Appendix Heading 2"/>
    <w:basedOn w:val="Heading2"/>
    <w:uiPriority w:val="11"/>
    <w:rsid w:val="001E505E"/>
    <w:pPr>
      <w:numPr>
        <w:ilvl w:val="1"/>
        <w:numId w:val="7"/>
      </w:numPr>
    </w:pPr>
  </w:style>
  <w:style w:type="paragraph" w:customStyle="1" w:styleId="AttachmentHeading1">
    <w:name w:val="Attachment Heading 1"/>
    <w:basedOn w:val="Heading1"/>
    <w:uiPriority w:val="11"/>
    <w:qFormat/>
    <w:rsid w:val="001E505E"/>
    <w:pPr>
      <w:keepLines/>
      <w:numPr>
        <w:numId w:val="8"/>
      </w:numPr>
      <w:suppressAutoHyphens/>
      <w:spacing w:before="480"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AttachmentHeading2">
    <w:name w:val="Attachment Heading 2"/>
    <w:basedOn w:val="Heading2"/>
    <w:uiPriority w:val="11"/>
    <w:rsid w:val="001E505E"/>
    <w:pPr>
      <w:numPr>
        <w:ilvl w:val="1"/>
        <w:numId w:val="8"/>
      </w:numPr>
    </w:pPr>
  </w:style>
  <w:style w:type="numbering" w:customStyle="1" w:styleId="AppendixNumbers">
    <w:name w:val="Appendix Numbers"/>
    <w:uiPriority w:val="99"/>
    <w:rsid w:val="001E505E"/>
    <w:pPr>
      <w:numPr>
        <w:numId w:val="6"/>
      </w:numPr>
    </w:pPr>
  </w:style>
  <w:style w:type="numbering" w:customStyle="1" w:styleId="AttachmentNumbers">
    <w:name w:val="Attachment Numbers"/>
    <w:uiPriority w:val="99"/>
    <w:rsid w:val="001E505E"/>
    <w:pPr>
      <w:numPr>
        <w:numId w:val="8"/>
      </w:numPr>
    </w:pPr>
  </w:style>
  <w:style w:type="paragraph" w:styleId="Quote">
    <w:name w:val="Quote"/>
    <w:basedOn w:val="Normal"/>
    <w:next w:val="Normal"/>
    <w:link w:val="QuoteChar"/>
    <w:uiPriority w:val="29"/>
    <w:qFormat/>
    <w:rsid w:val="001E505E"/>
    <w:pPr>
      <w:pBdr>
        <w:left w:val="single" w:sz="48" w:space="22" w:color="4BB3B5"/>
      </w:pBdr>
      <w:suppressAutoHyphens/>
      <w:spacing w:before="160" w:after="160"/>
      <w:ind w:left="567" w:right="567"/>
    </w:pPr>
    <w:rPr>
      <w:rFonts w:asciiTheme="minorHAnsi" w:eastAsiaTheme="minorHAnsi" w:hAnsiTheme="minorHAnsi" w:cstheme="minorBidi"/>
      <w:b/>
      <w:iCs/>
      <w:color w:val="404040" w:themeColor="text1" w:themeTint="BF"/>
      <w:sz w:val="22"/>
      <w:szCs w:val="22"/>
      <w:lang w:eastAsia="en-US"/>
    </w:rPr>
  </w:style>
  <w:style w:type="character" w:customStyle="1" w:styleId="QuoteChar">
    <w:name w:val="Quote Char"/>
    <w:basedOn w:val="DefaultParagraphFont"/>
    <w:link w:val="Quote"/>
    <w:uiPriority w:val="29"/>
    <w:rsid w:val="001E505E"/>
    <w:rPr>
      <w:b/>
      <w:iCs/>
      <w:color w:val="404040" w:themeColor="text1" w:themeTint="BF"/>
    </w:rPr>
  </w:style>
  <w:style w:type="paragraph" w:styleId="TOC1">
    <w:name w:val="toc 1"/>
    <w:basedOn w:val="Normal"/>
    <w:next w:val="Normal"/>
    <w:autoRedefine/>
    <w:uiPriority w:val="39"/>
    <w:rsid w:val="001E505E"/>
    <w:pPr>
      <w:keepLines/>
      <w:tabs>
        <w:tab w:val="right" w:pos="9854"/>
      </w:tabs>
      <w:suppressAutoHyphens/>
      <w:spacing w:before="160" w:after="80"/>
      <w:ind w:left="567" w:hanging="567"/>
    </w:pPr>
    <w:rPr>
      <w:rFonts w:asciiTheme="minorHAnsi" w:eastAsiaTheme="minorHAnsi" w:hAnsiTheme="minorHAnsi" w:cstheme="minorBidi"/>
      <w:b/>
      <w:color w:val="000000" w:themeColor="text1"/>
      <w:sz w:val="24"/>
      <w:szCs w:val="22"/>
      <w:u w:val="single" w:color="58B6C0" w:themeColor="accent2"/>
      <w:lang w:eastAsia="en-US"/>
    </w:rPr>
  </w:style>
  <w:style w:type="paragraph" w:styleId="TOC2">
    <w:name w:val="toc 2"/>
    <w:basedOn w:val="Normal"/>
    <w:next w:val="Normal"/>
    <w:autoRedefine/>
    <w:uiPriority w:val="39"/>
    <w:rsid w:val="001E505E"/>
    <w:pPr>
      <w:keepLines/>
      <w:suppressAutoHyphens/>
      <w:spacing w:before="80" w:after="80"/>
      <w:ind w:left="567" w:hanging="567"/>
    </w:pPr>
    <w:rPr>
      <w:rFonts w:asciiTheme="minorHAnsi" w:eastAsiaTheme="minorHAnsi" w:hAnsiTheme="minorHAnsi" w:cstheme="minorBidi"/>
      <w:color w:val="000000" w:themeColor="text1"/>
      <w:sz w:val="22"/>
      <w:szCs w:val="22"/>
      <w:lang w:eastAsia="en-US"/>
    </w:rPr>
  </w:style>
  <w:style w:type="paragraph" w:styleId="TOC3">
    <w:name w:val="toc 3"/>
    <w:basedOn w:val="Normal"/>
    <w:next w:val="Normal"/>
    <w:autoRedefine/>
    <w:uiPriority w:val="39"/>
    <w:rsid w:val="001E505E"/>
    <w:pPr>
      <w:suppressAutoHyphens/>
      <w:spacing w:before="80" w:after="80"/>
      <w:ind w:left="1134" w:hanging="567"/>
    </w:pPr>
    <w:rPr>
      <w:rFonts w:asciiTheme="minorHAnsi" w:eastAsiaTheme="minorHAnsi" w:hAnsiTheme="minorHAnsi" w:cstheme="minorBidi"/>
      <w:color w:val="000000" w:themeColor="text1"/>
      <w:sz w:val="22"/>
      <w:szCs w:val="22"/>
      <w:lang w:eastAsia="en-US"/>
    </w:rPr>
  </w:style>
  <w:style w:type="paragraph" w:styleId="TableofFigures">
    <w:name w:val="table of figures"/>
    <w:basedOn w:val="Normal"/>
    <w:next w:val="Normal"/>
    <w:uiPriority w:val="40"/>
    <w:unhideWhenUsed/>
    <w:rsid w:val="001E505E"/>
    <w:pPr>
      <w:suppressAutoHyphens/>
      <w:spacing w:before="80" w:after="80"/>
    </w:pPr>
    <w:rPr>
      <w:rFonts w:asciiTheme="minorHAnsi" w:eastAsiaTheme="minorHAnsi" w:hAnsiTheme="minorHAnsi" w:cstheme="minorBidi"/>
      <w:color w:val="000000" w:themeColor="text1"/>
      <w:sz w:val="22"/>
      <w:szCs w:val="22"/>
      <w:lang w:eastAsia="en-US"/>
    </w:rPr>
  </w:style>
  <w:style w:type="paragraph" w:customStyle="1" w:styleId="AreaHeading">
    <w:name w:val="Area Heading"/>
    <w:basedOn w:val="Normal"/>
    <w:qFormat/>
    <w:rsid w:val="001E505E"/>
    <w:pPr>
      <w:suppressAutoHyphens/>
      <w:spacing w:after="80"/>
      <w:ind w:left="-1020" w:firstLine="1020"/>
    </w:pPr>
    <w:rPr>
      <w:rFonts w:asciiTheme="minorHAnsi" w:eastAsiaTheme="minorHAnsi" w:hAnsiTheme="minorHAnsi" w:cs="Times New Roman (Body CS)"/>
      <w:caps/>
      <w:color w:val="3C4647" w:themeColor="accent4" w:themeShade="80"/>
      <w:sz w:val="22"/>
      <w:szCs w:val="22"/>
      <w:lang w:eastAsia="en-US"/>
    </w:rPr>
  </w:style>
  <w:style w:type="paragraph" w:customStyle="1" w:styleId="Box2Checklist">
    <w:name w:val="Box 2 Checklist"/>
    <w:basedOn w:val="Box2Text"/>
    <w:uiPriority w:val="26"/>
    <w:qFormat/>
    <w:rsid w:val="001E505E"/>
    <w:pPr>
      <w:numPr>
        <w:ilvl w:val="2"/>
        <w:numId w:val="9"/>
      </w:numPr>
    </w:pPr>
    <w:rPr>
      <w:kern w:val="12"/>
      <w:sz w:val="20"/>
      <w:szCs w:val="20"/>
    </w:rPr>
  </w:style>
  <w:style w:type="numbering" w:customStyle="1" w:styleId="BoxedBullets">
    <w:name w:val="Boxed Bullets"/>
    <w:uiPriority w:val="99"/>
    <w:rsid w:val="001E505E"/>
    <w:pPr>
      <w:numPr>
        <w:numId w:val="9"/>
      </w:numPr>
    </w:pPr>
  </w:style>
  <w:style w:type="paragraph" w:styleId="NormalWeb">
    <w:name w:val="Normal (Web)"/>
    <w:basedOn w:val="Normal"/>
    <w:uiPriority w:val="99"/>
    <w:unhideWhenUsed/>
    <w:rsid w:val="001E505E"/>
    <w:pPr>
      <w:spacing w:before="100" w:beforeAutospacing="1" w:after="100" w:afterAutospacing="1"/>
    </w:pPr>
    <w:rPr>
      <w:sz w:val="24"/>
      <w:szCs w:val="24"/>
    </w:rPr>
  </w:style>
  <w:style w:type="character" w:styleId="HTMLCite">
    <w:name w:val="HTML Cite"/>
    <w:basedOn w:val="DefaultParagraphFont"/>
    <w:uiPriority w:val="99"/>
    <w:semiHidden/>
    <w:unhideWhenUsed/>
    <w:rsid w:val="001E505E"/>
    <w:rPr>
      <w:i/>
      <w:iCs/>
    </w:rPr>
  </w:style>
  <w:style w:type="character" w:customStyle="1" w:styleId="dyjrff">
    <w:name w:val="dyjrff"/>
    <w:basedOn w:val="DefaultParagraphFont"/>
    <w:rsid w:val="001E505E"/>
  </w:style>
  <w:style w:type="paragraph" w:customStyle="1" w:styleId="myvuie">
    <w:name w:val="myvuie"/>
    <w:basedOn w:val="Normal"/>
    <w:rsid w:val="001E505E"/>
    <w:pPr>
      <w:spacing w:before="100" w:beforeAutospacing="1" w:after="100" w:afterAutospacing="1"/>
    </w:pPr>
    <w:rPr>
      <w:sz w:val="24"/>
      <w:szCs w:val="24"/>
    </w:rPr>
  </w:style>
  <w:style w:type="character" w:customStyle="1" w:styleId="zgwo7">
    <w:name w:val="zgwo7"/>
    <w:basedOn w:val="DefaultParagraphFont"/>
    <w:rsid w:val="001E505E"/>
  </w:style>
  <w:style w:type="character" w:customStyle="1" w:styleId="UnresolvedMention1">
    <w:name w:val="Unresolved Mention1"/>
    <w:basedOn w:val="DefaultParagraphFont"/>
    <w:uiPriority w:val="99"/>
    <w:semiHidden/>
    <w:unhideWhenUsed/>
    <w:rsid w:val="001E505E"/>
    <w:rPr>
      <w:color w:val="605E5C"/>
      <w:shd w:val="clear" w:color="auto" w:fill="E1DFDD"/>
    </w:rPr>
  </w:style>
  <w:style w:type="character" w:styleId="FollowedHyperlink">
    <w:name w:val="FollowedHyperlink"/>
    <w:basedOn w:val="DefaultParagraphFont"/>
    <w:uiPriority w:val="99"/>
    <w:semiHidden/>
    <w:unhideWhenUsed/>
    <w:rsid w:val="001E505E"/>
    <w:rPr>
      <w:color w:val="9F6715" w:themeColor="followedHyperlink"/>
      <w:u w:val="single"/>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link w:val="ListParagraph"/>
    <w:uiPriority w:val="34"/>
    <w:qFormat/>
    <w:rsid w:val="001E505E"/>
    <w:rPr>
      <w:rFonts w:ascii="Times New Roman" w:eastAsia="Times New Roman" w:hAnsi="Times New Roman" w:cs="Times New Roman"/>
      <w:sz w:val="20"/>
      <w:szCs w:val="20"/>
      <w:lang w:eastAsia="en-AU"/>
    </w:rPr>
  </w:style>
  <w:style w:type="character" w:customStyle="1" w:styleId="UnresolvedMention2">
    <w:name w:val="Unresolved Mention2"/>
    <w:basedOn w:val="DefaultParagraphFont"/>
    <w:uiPriority w:val="99"/>
    <w:semiHidden/>
    <w:unhideWhenUsed/>
    <w:rsid w:val="001E505E"/>
    <w:rPr>
      <w:color w:val="605E5C"/>
      <w:shd w:val="clear" w:color="auto" w:fill="E1DFDD"/>
    </w:rPr>
  </w:style>
  <w:style w:type="numbering" w:customStyle="1" w:styleId="NoList1">
    <w:name w:val="No List1"/>
    <w:next w:val="NoList"/>
    <w:uiPriority w:val="99"/>
    <w:semiHidden/>
    <w:unhideWhenUsed/>
    <w:rsid w:val="001E505E"/>
  </w:style>
  <w:style w:type="table" w:customStyle="1" w:styleId="TableGrid1">
    <w:name w:val="Table Grid1"/>
    <w:basedOn w:val="TableNormal"/>
    <w:next w:val="TableGrid"/>
    <w:uiPriority w:val="39"/>
    <w:rsid w:val="001E505E"/>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11">
    <w:name w:val="Default Table 11"/>
    <w:basedOn w:val="TableNormal"/>
    <w:uiPriority w:val="99"/>
    <w:rsid w:val="001E505E"/>
    <w:pPr>
      <w:spacing w:before="80" w:after="80" w:line="240" w:lineRule="auto"/>
    </w:pPr>
    <w:rPr>
      <w:color w:val="000000"/>
    </w:rPr>
    <w:tblPr>
      <w:tblStyleRowBandSize w:val="1"/>
      <w:tblStyleColBandSize w:val="1"/>
      <w:tblBorders>
        <w:top w:val="single" w:sz="4" w:space="0" w:color="008089"/>
        <w:bottom w:val="single" w:sz="4" w:space="0" w:color="008089"/>
        <w:insideH w:val="single" w:sz="4" w:space="0" w:color="008089"/>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IconBoxTable1">
    <w:name w:val="Icon Box Table1"/>
    <w:basedOn w:val="TableNormal"/>
    <w:uiPriority w:val="99"/>
    <w:rsid w:val="001E505E"/>
    <w:pPr>
      <w:spacing w:before="80" w:after="80" w:line="240" w:lineRule="auto"/>
    </w:pPr>
    <w:rPr>
      <w:color w:val="000000"/>
    </w:rPr>
    <w:tblPr>
      <w:tblCellMar>
        <w:top w:w="57" w:type="dxa"/>
        <w:left w:w="170" w:type="dxa"/>
        <w:bottom w:w="57" w:type="dxa"/>
        <w:right w:w="170" w:type="dxa"/>
      </w:tblCellMar>
    </w:tblPr>
    <w:tcPr>
      <w:shd w:val="clear" w:color="auto" w:fill="F2F2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1">
    <w:name w:val="Bullets1"/>
    <w:uiPriority w:val="99"/>
    <w:rsid w:val="001E505E"/>
    <w:pPr>
      <w:numPr>
        <w:numId w:val="10"/>
      </w:numPr>
    </w:pPr>
  </w:style>
  <w:style w:type="numbering" w:customStyle="1" w:styleId="ListLegal1">
    <w:name w:val="List Legal1"/>
    <w:uiPriority w:val="99"/>
    <w:rsid w:val="001E505E"/>
    <w:pPr>
      <w:numPr>
        <w:numId w:val="11"/>
      </w:numPr>
    </w:pPr>
  </w:style>
  <w:style w:type="numbering" w:customStyle="1" w:styleId="ListNumbered10">
    <w:name w:val="List Numbered1"/>
    <w:uiPriority w:val="99"/>
    <w:rsid w:val="001E505E"/>
    <w:pPr>
      <w:numPr>
        <w:numId w:val="12"/>
      </w:numPr>
    </w:pPr>
  </w:style>
  <w:style w:type="numbering" w:customStyle="1" w:styleId="NumberedHeadings1">
    <w:name w:val="Numbered Headings1"/>
    <w:uiPriority w:val="99"/>
    <w:rsid w:val="001E505E"/>
    <w:pPr>
      <w:numPr>
        <w:numId w:val="13"/>
      </w:numPr>
    </w:pPr>
  </w:style>
  <w:style w:type="numbering" w:customStyle="1" w:styleId="AppendixNumbers1">
    <w:name w:val="Appendix Numbers1"/>
    <w:uiPriority w:val="99"/>
    <w:rsid w:val="001E505E"/>
    <w:pPr>
      <w:numPr>
        <w:numId w:val="14"/>
      </w:numPr>
    </w:pPr>
  </w:style>
  <w:style w:type="numbering" w:customStyle="1" w:styleId="AttachmentNumbers1">
    <w:name w:val="Attachment Numbers1"/>
    <w:uiPriority w:val="99"/>
    <w:rsid w:val="001E505E"/>
    <w:pPr>
      <w:numPr>
        <w:numId w:val="15"/>
      </w:numPr>
    </w:pPr>
  </w:style>
  <w:style w:type="numbering" w:customStyle="1" w:styleId="BoxedBullets1">
    <w:name w:val="Boxed Bullets1"/>
    <w:uiPriority w:val="99"/>
    <w:rsid w:val="001E505E"/>
    <w:pPr>
      <w:numPr>
        <w:numId w:val="16"/>
      </w:numPr>
    </w:pPr>
  </w:style>
  <w:style w:type="character" w:customStyle="1" w:styleId="UnresolvedMention3">
    <w:name w:val="Unresolved Mention3"/>
    <w:basedOn w:val="DefaultParagraphFont"/>
    <w:uiPriority w:val="99"/>
    <w:semiHidden/>
    <w:unhideWhenUsed/>
    <w:rsid w:val="009D1A85"/>
    <w:rPr>
      <w:color w:val="605E5C"/>
      <w:shd w:val="clear" w:color="auto" w:fill="E1DFDD"/>
    </w:rPr>
  </w:style>
  <w:style w:type="paragraph" w:customStyle="1" w:styleId="subsection">
    <w:name w:val="subsection"/>
    <w:aliases w:val="ss,Subsection"/>
    <w:basedOn w:val="Normal"/>
    <w:link w:val="subsectionChar"/>
    <w:rsid w:val="003C4BF8"/>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3C4BF8"/>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9A5AC3"/>
    <w:pPr>
      <w:keepNext/>
      <w:keepLines/>
      <w:spacing w:before="280"/>
      <w:ind w:left="1134" w:hanging="1134"/>
      <w:outlineLvl w:val="4"/>
    </w:pPr>
    <w:rPr>
      <w:b/>
      <w:kern w:val="28"/>
      <w:sz w:val="24"/>
    </w:rPr>
  </w:style>
  <w:style w:type="paragraph" w:customStyle="1" w:styleId="paragraph">
    <w:name w:val="paragraph"/>
    <w:aliases w:val="a"/>
    <w:basedOn w:val="Normal"/>
    <w:rsid w:val="00750665"/>
    <w:pPr>
      <w:tabs>
        <w:tab w:val="right" w:pos="1531"/>
      </w:tabs>
      <w:spacing w:before="40"/>
      <w:ind w:left="1644" w:hanging="1644"/>
    </w:pPr>
    <w:rPr>
      <w:sz w:val="22"/>
    </w:rPr>
  </w:style>
  <w:style w:type="paragraph" w:customStyle="1" w:styleId="paragraphsub">
    <w:name w:val="paragraph(sub)"/>
    <w:aliases w:val="aa"/>
    <w:basedOn w:val="Normal"/>
    <w:rsid w:val="00B729D0"/>
    <w:pPr>
      <w:tabs>
        <w:tab w:val="right" w:pos="1985"/>
      </w:tabs>
      <w:spacing w:before="40"/>
      <w:ind w:left="2098" w:hanging="2098"/>
    </w:pPr>
    <w:rPr>
      <w:sz w:val="22"/>
    </w:rPr>
  </w:style>
  <w:style w:type="character" w:styleId="UnresolvedMention">
    <w:name w:val="Unresolved Mention"/>
    <w:basedOn w:val="DefaultParagraphFont"/>
    <w:uiPriority w:val="99"/>
    <w:semiHidden/>
    <w:unhideWhenUsed/>
    <w:rsid w:val="000A1001"/>
    <w:rPr>
      <w:color w:val="605E5C"/>
      <w:shd w:val="clear" w:color="auto" w:fill="E1DFDD"/>
    </w:rPr>
  </w:style>
  <w:style w:type="character" w:styleId="Strong">
    <w:name w:val="Strong"/>
    <w:basedOn w:val="DefaultParagraphFont"/>
    <w:uiPriority w:val="22"/>
    <w:qFormat/>
    <w:rsid w:val="00E60E59"/>
    <w:rPr>
      <w:b/>
      <w:bCs/>
    </w:rPr>
  </w:style>
  <w:style w:type="paragraph" w:customStyle="1" w:styleId="notepara">
    <w:name w:val="note(para)"/>
    <w:aliases w:val="na"/>
    <w:basedOn w:val="Normal"/>
    <w:rsid w:val="00D4056E"/>
    <w:pPr>
      <w:spacing w:before="40" w:line="198" w:lineRule="exact"/>
      <w:ind w:left="2354" w:hanging="36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6211">
      <w:bodyDiv w:val="1"/>
      <w:marLeft w:val="0"/>
      <w:marRight w:val="0"/>
      <w:marTop w:val="0"/>
      <w:marBottom w:val="0"/>
      <w:divBdr>
        <w:top w:val="none" w:sz="0" w:space="0" w:color="auto"/>
        <w:left w:val="none" w:sz="0" w:space="0" w:color="auto"/>
        <w:bottom w:val="none" w:sz="0" w:space="0" w:color="auto"/>
        <w:right w:val="none" w:sz="0" w:space="0" w:color="auto"/>
      </w:divBdr>
    </w:div>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344601528">
      <w:bodyDiv w:val="1"/>
      <w:marLeft w:val="0"/>
      <w:marRight w:val="0"/>
      <w:marTop w:val="0"/>
      <w:marBottom w:val="0"/>
      <w:divBdr>
        <w:top w:val="none" w:sz="0" w:space="0" w:color="auto"/>
        <w:left w:val="none" w:sz="0" w:space="0" w:color="auto"/>
        <w:bottom w:val="none" w:sz="0" w:space="0" w:color="auto"/>
        <w:right w:val="none" w:sz="0" w:space="0" w:color="auto"/>
      </w:divBdr>
    </w:div>
    <w:div w:id="619532723">
      <w:bodyDiv w:val="1"/>
      <w:marLeft w:val="0"/>
      <w:marRight w:val="0"/>
      <w:marTop w:val="0"/>
      <w:marBottom w:val="0"/>
      <w:divBdr>
        <w:top w:val="none" w:sz="0" w:space="0" w:color="auto"/>
        <w:left w:val="none" w:sz="0" w:space="0" w:color="auto"/>
        <w:bottom w:val="none" w:sz="0" w:space="0" w:color="auto"/>
        <w:right w:val="none" w:sz="0" w:space="0" w:color="auto"/>
      </w:divBdr>
    </w:div>
    <w:div w:id="668288766">
      <w:bodyDiv w:val="1"/>
      <w:marLeft w:val="0"/>
      <w:marRight w:val="0"/>
      <w:marTop w:val="0"/>
      <w:marBottom w:val="0"/>
      <w:divBdr>
        <w:top w:val="none" w:sz="0" w:space="0" w:color="auto"/>
        <w:left w:val="none" w:sz="0" w:space="0" w:color="auto"/>
        <w:bottom w:val="none" w:sz="0" w:space="0" w:color="auto"/>
        <w:right w:val="none" w:sz="0" w:space="0" w:color="auto"/>
      </w:divBdr>
    </w:div>
    <w:div w:id="706106278">
      <w:bodyDiv w:val="1"/>
      <w:marLeft w:val="0"/>
      <w:marRight w:val="0"/>
      <w:marTop w:val="0"/>
      <w:marBottom w:val="0"/>
      <w:divBdr>
        <w:top w:val="none" w:sz="0" w:space="0" w:color="auto"/>
        <w:left w:val="none" w:sz="0" w:space="0" w:color="auto"/>
        <w:bottom w:val="none" w:sz="0" w:space="0" w:color="auto"/>
        <w:right w:val="none" w:sz="0" w:space="0" w:color="auto"/>
      </w:divBdr>
    </w:div>
    <w:div w:id="716006453">
      <w:bodyDiv w:val="1"/>
      <w:marLeft w:val="0"/>
      <w:marRight w:val="0"/>
      <w:marTop w:val="0"/>
      <w:marBottom w:val="0"/>
      <w:divBdr>
        <w:top w:val="none" w:sz="0" w:space="0" w:color="auto"/>
        <w:left w:val="none" w:sz="0" w:space="0" w:color="auto"/>
        <w:bottom w:val="none" w:sz="0" w:space="0" w:color="auto"/>
        <w:right w:val="none" w:sz="0" w:space="0" w:color="auto"/>
      </w:divBdr>
    </w:div>
    <w:div w:id="913585263">
      <w:bodyDiv w:val="1"/>
      <w:marLeft w:val="0"/>
      <w:marRight w:val="0"/>
      <w:marTop w:val="0"/>
      <w:marBottom w:val="0"/>
      <w:divBdr>
        <w:top w:val="none" w:sz="0" w:space="0" w:color="auto"/>
        <w:left w:val="none" w:sz="0" w:space="0" w:color="auto"/>
        <w:bottom w:val="none" w:sz="0" w:space="0" w:color="auto"/>
        <w:right w:val="none" w:sz="0" w:space="0" w:color="auto"/>
      </w:divBdr>
    </w:div>
    <w:div w:id="934174631">
      <w:bodyDiv w:val="1"/>
      <w:marLeft w:val="0"/>
      <w:marRight w:val="0"/>
      <w:marTop w:val="0"/>
      <w:marBottom w:val="0"/>
      <w:divBdr>
        <w:top w:val="none" w:sz="0" w:space="0" w:color="auto"/>
        <w:left w:val="none" w:sz="0" w:space="0" w:color="auto"/>
        <w:bottom w:val="none" w:sz="0" w:space="0" w:color="auto"/>
        <w:right w:val="none" w:sz="0" w:space="0" w:color="auto"/>
      </w:divBdr>
    </w:div>
    <w:div w:id="943533889">
      <w:bodyDiv w:val="1"/>
      <w:marLeft w:val="0"/>
      <w:marRight w:val="0"/>
      <w:marTop w:val="0"/>
      <w:marBottom w:val="0"/>
      <w:divBdr>
        <w:top w:val="none" w:sz="0" w:space="0" w:color="auto"/>
        <w:left w:val="none" w:sz="0" w:space="0" w:color="auto"/>
        <w:bottom w:val="none" w:sz="0" w:space="0" w:color="auto"/>
        <w:right w:val="none" w:sz="0" w:space="0" w:color="auto"/>
      </w:divBdr>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020426196">
      <w:bodyDiv w:val="1"/>
      <w:marLeft w:val="0"/>
      <w:marRight w:val="0"/>
      <w:marTop w:val="0"/>
      <w:marBottom w:val="0"/>
      <w:divBdr>
        <w:top w:val="none" w:sz="0" w:space="0" w:color="auto"/>
        <w:left w:val="none" w:sz="0" w:space="0" w:color="auto"/>
        <w:bottom w:val="none" w:sz="0" w:space="0" w:color="auto"/>
        <w:right w:val="none" w:sz="0" w:space="0" w:color="auto"/>
      </w:divBdr>
    </w:div>
    <w:div w:id="1044908573">
      <w:bodyDiv w:val="1"/>
      <w:marLeft w:val="0"/>
      <w:marRight w:val="0"/>
      <w:marTop w:val="0"/>
      <w:marBottom w:val="0"/>
      <w:divBdr>
        <w:top w:val="none" w:sz="0" w:space="0" w:color="auto"/>
        <w:left w:val="none" w:sz="0" w:space="0" w:color="auto"/>
        <w:bottom w:val="none" w:sz="0" w:space="0" w:color="auto"/>
        <w:right w:val="none" w:sz="0" w:space="0" w:color="auto"/>
      </w:divBdr>
    </w:div>
    <w:div w:id="1046830181">
      <w:bodyDiv w:val="1"/>
      <w:marLeft w:val="0"/>
      <w:marRight w:val="0"/>
      <w:marTop w:val="0"/>
      <w:marBottom w:val="0"/>
      <w:divBdr>
        <w:top w:val="none" w:sz="0" w:space="0" w:color="auto"/>
        <w:left w:val="none" w:sz="0" w:space="0" w:color="auto"/>
        <w:bottom w:val="none" w:sz="0" w:space="0" w:color="auto"/>
        <w:right w:val="none" w:sz="0" w:space="0" w:color="auto"/>
      </w:divBdr>
    </w:div>
    <w:div w:id="1051467522">
      <w:bodyDiv w:val="1"/>
      <w:marLeft w:val="0"/>
      <w:marRight w:val="0"/>
      <w:marTop w:val="0"/>
      <w:marBottom w:val="0"/>
      <w:divBdr>
        <w:top w:val="none" w:sz="0" w:space="0" w:color="auto"/>
        <w:left w:val="none" w:sz="0" w:space="0" w:color="auto"/>
        <w:bottom w:val="none" w:sz="0" w:space="0" w:color="auto"/>
        <w:right w:val="none" w:sz="0" w:space="0" w:color="auto"/>
      </w:divBdr>
    </w:div>
    <w:div w:id="1056275415">
      <w:bodyDiv w:val="1"/>
      <w:marLeft w:val="0"/>
      <w:marRight w:val="0"/>
      <w:marTop w:val="0"/>
      <w:marBottom w:val="0"/>
      <w:divBdr>
        <w:top w:val="none" w:sz="0" w:space="0" w:color="auto"/>
        <w:left w:val="none" w:sz="0" w:space="0" w:color="auto"/>
        <w:bottom w:val="none" w:sz="0" w:space="0" w:color="auto"/>
        <w:right w:val="none" w:sz="0" w:space="0" w:color="auto"/>
      </w:divBdr>
    </w:div>
    <w:div w:id="1110710096">
      <w:bodyDiv w:val="1"/>
      <w:marLeft w:val="0"/>
      <w:marRight w:val="0"/>
      <w:marTop w:val="0"/>
      <w:marBottom w:val="0"/>
      <w:divBdr>
        <w:top w:val="none" w:sz="0" w:space="0" w:color="auto"/>
        <w:left w:val="none" w:sz="0" w:space="0" w:color="auto"/>
        <w:bottom w:val="none" w:sz="0" w:space="0" w:color="auto"/>
        <w:right w:val="none" w:sz="0" w:space="0" w:color="auto"/>
      </w:divBdr>
    </w:div>
    <w:div w:id="1120761602">
      <w:bodyDiv w:val="1"/>
      <w:marLeft w:val="0"/>
      <w:marRight w:val="0"/>
      <w:marTop w:val="0"/>
      <w:marBottom w:val="0"/>
      <w:divBdr>
        <w:top w:val="none" w:sz="0" w:space="0" w:color="auto"/>
        <w:left w:val="none" w:sz="0" w:space="0" w:color="auto"/>
        <w:bottom w:val="none" w:sz="0" w:space="0" w:color="auto"/>
        <w:right w:val="none" w:sz="0" w:space="0" w:color="auto"/>
      </w:divBdr>
    </w:div>
    <w:div w:id="1518500320">
      <w:bodyDiv w:val="1"/>
      <w:marLeft w:val="0"/>
      <w:marRight w:val="0"/>
      <w:marTop w:val="0"/>
      <w:marBottom w:val="0"/>
      <w:divBdr>
        <w:top w:val="none" w:sz="0" w:space="0" w:color="auto"/>
        <w:left w:val="none" w:sz="0" w:space="0" w:color="auto"/>
        <w:bottom w:val="none" w:sz="0" w:space="0" w:color="auto"/>
        <w:right w:val="none" w:sz="0" w:space="0" w:color="auto"/>
      </w:divBdr>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 w:id="1614441666">
      <w:bodyDiv w:val="1"/>
      <w:marLeft w:val="0"/>
      <w:marRight w:val="0"/>
      <w:marTop w:val="0"/>
      <w:marBottom w:val="0"/>
      <w:divBdr>
        <w:top w:val="none" w:sz="0" w:space="0" w:color="auto"/>
        <w:left w:val="none" w:sz="0" w:space="0" w:color="auto"/>
        <w:bottom w:val="none" w:sz="0" w:space="0" w:color="auto"/>
        <w:right w:val="none" w:sz="0" w:space="0" w:color="auto"/>
      </w:divBdr>
    </w:div>
    <w:div w:id="1631201305">
      <w:bodyDiv w:val="1"/>
      <w:marLeft w:val="0"/>
      <w:marRight w:val="0"/>
      <w:marTop w:val="0"/>
      <w:marBottom w:val="0"/>
      <w:divBdr>
        <w:top w:val="none" w:sz="0" w:space="0" w:color="auto"/>
        <w:left w:val="none" w:sz="0" w:space="0" w:color="auto"/>
        <w:bottom w:val="none" w:sz="0" w:space="0" w:color="auto"/>
        <w:right w:val="none" w:sz="0" w:space="0" w:color="auto"/>
      </w:divBdr>
    </w:div>
    <w:div w:id="1689670573">
      <w:bodyDiv w:val="1"/>
      <w:marLeft w:val="0"/>
      <w:marRight w:val="0"/>
      <w:marTop w:val="0"/>
      <w:marBottom w:val="0"/>
      <w:divBdr>
        <w:top w:val="none" w:sz="0" w:space="0" w:color="auto"/>
        <w:left w:val="none" w:sz="0" w:space="0" w:color="auto"/>
        <w:bottom w:val="none" w:sz="0" w:space="0" w:color="auto"/>
        <w:right w:val="none" w:sz="0" w:space="0" w:color="auto"/>
      </w:divBdr>
    </w:div>
    <w:div w:id="1754933265">
      <w:bodyDiv w:val="1"/>
      <w:marLeft w:val="0"/>
      <w:marRight w:val="0"/>
      <w:marTop w:val="0"/>
      <w:marBottom w:val="0"/>
      <w:divBdr>
        <w:top w:val="none" w:sz="0" w:space="0" w:color="auto"/>
        <w:left w:val="none" w:sz="0" w:space="0" w:color="auto"/>
        <w:bottom w:val="none" w:sz="0" w:space="0" w:color="auto"/>
        <w:right w:val="none" w:sz="0" w:space="0" w:color="auto"/>
      </w:divBdr>
    </w:div>
    <w:div w:id="1909339372">
      <w:bodyDiv w:val="1"/>
      <w:marLeft w:val="0"/>
      <w:marRight w:val="0"/>
      <w:marTop w:val="0"/>
      <w:marBottom w:val="0"/>
      <w:divBdr>
        <w:top w:val="none" w:sz="0" w:space="0" w:color="auto"/>
        <w:left w:val="none" w:sz="0" w:space="0" w:color="auto"/>
        <w:bottom w:val="none" w:sz="0" w:space="0" w:color="auto"/>
        <w:right w:val="none" w:sz="0" w:space="0" w:color="auto"/>
      </w:divBdr>
    </w:div>
    <w:div w:id="1936478818">
      <w:bodyDiv w:val="1"/>
      <w:marLeft w:val="0"/>
      <w:marRight w:val="0"/>
      <w:marTop w:val="0"/>
      <w:marBottom w:val="0"/>
      <w:divBdr>
        <w:top w:val="none" w:sz="0" w:space="0" w:color="auto"/>
        <w:left w:val="none" w:sz="0" w:space="0" w:color="auto"/>
        <w:bottom w:val="none" w:sz="0" w:space="0" w:color="auto"/>
        <w:right w:val="none" w:sz="0" w:space="0" w:color="auto"/>
      </w:divBdr>
    </w:div>
    <w:div w:id="1956328656">
      <w:bodyDiv w:val="1"/>
      <w:marLeft w:val="0"/>
      <w:marRight w:val="0"/>
      <w:marTop w:val="0"/>
      <w:marBottom w:val="0"/>
      <w:divBdr>
        <w:top w:val="none" w:sz="0" w:space="0" w:color="auto"/>
        <w:left w:val="none" w:sz="0" w:space="0" w:color="auto"/>
        <w:bottom w:val="none" w:sz="0" w:space="0" w:color="auto"/>
        <w:right w:val="none" w:sz="0" w:space="0" w:color="auto"/>
      </w:divBdr>
    </w:div>
    <w:div w:id="1976330036">
      <w:bodyDiv w:val="1"/>
      <w:marLeft w:val="0"/>
      <w:marRight w:val="0"/>
      <w:marTop w:val="0"/>
      <w:marBottom w:val="0"/>
      <w:divBdr>
        <w:top w:val="none" w:sz="0" w:space="0" w:color="auto"/>
        <w:left w:val="none" w:sz="0" w:space="0" w:color="auto"/>
        <w:bottom w:val="none" w:sz="0" w:space="0" w:color="auto"/>
        <w:right w:val="none" w:sz="0" w:space="0" w:color="auto"/>
      </w:divBdr>
    </w:div>
    <w:div w:id="2124223420">
      <w:bodyDiv w:val="1"/>
      <w:marLeft w:val="0"/>
      <w:marRight w:val="0"/>
      <w:marTop w:val="0"/>
      <w:marBottom w:val="0"/>
      <w:divBdr>
        <w:top w:val="none" w:sz="0" w:space="0" w:color="auto"/>
        <w:left w:val="none" w:sz="0" w:space="0" w:color="auto"/>
        <w:bottom w:val="none" w:sz="0" w:space="0" w:color="auto"/>
        <w:right w:val="none" w:sz="0" w:space="0" w:color="auto"/>
      </w:divBdr>
    </w:div>
    <w:div w:id="214704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2022-09-01T00:00:00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BCC6E8F-A1D7-43D3-B0EE-A8B0BD980C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B1DA76BF6C62D4982F70D6426DF47A4" ma:contentTypeVersion="" ma:contentTypeDescription="PDMS Document Site Content Type" ma:contentTypeScope="" ma:versionID="29bb3c36a5ae42110b6f63ffa1e419fb">
  <xsd:schema xmlns:xsd="http://www.w3.org/2001/XMLSchema" xmlns:xs="http://www.w3.org/2001/XMLSchema" xmlns:p="http://schemas.microsoft.com/office/2006/metadata/properties" xmlns:ns2="DBCC6E8F-A1D7-43D3-B0EE-A8B0BD980CF4" targetNamespace="http://schemas.microsoft.com/office/2006/metadata/properties" ma:root="true" ma:fieldsID="a3ecb7cef2ff544deb217c79192603d7" ns2:_="">
    <xsd:import namespace="DBCC6E8F-A1D7-43D3-B0EE-A8B0BD980C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C6E8F-A1D7-43D3-B0EE-A8B0BD980C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A2C832-9A17-4DE8-9EE5-78F12A2A5F24}">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DBCC6E8F-A1D7-43D3-B0EE-A8B0BD980CF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B8E6FC8-5ED5-462D-85C2-38568EFAD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C6E8F-A1D7-43D3-B0EE-A8B0BD980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D91F81-EDC5-4074-B316-3AF94D2137FB}">
  <ds:schemaRefs>
    <ds:schemaRef ds:uri="http://schemas.microsoft.com/sharepoint/v3/contenttype/forms"/>
  </ds:schemaRefs>
</ds:datastoreItem>
</file>

<file path=customXml/itemProps5.xml><?xml version="1.0" encoding="utf-8"?>
<ds:datastoreItem xmlns:ds="http://schemas.openxmlformats.org/officeDocument/2006/customXml" ds:itemID="{317F0546-C001-4951-B820-E398E685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bmetschke</dc:creator>
  <cp:lastModifiedBy>MACKENZIE, Tom</cp:lastModifiedBy>
  <cp:revision>3</cp:revision>
  <cp:lastPrinted>2024-11-25T02:53:00Z</cp:lastPrinted>
  <dcterms:created xsi:type="dcterms:W3CDTF">2024-12-04T05:59:00Z</dcterms:created>
  <dcterms:modified xsi:type="dcterms:W3CDTF">2024-12-12T02:40:00Z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0x010100266966F133664895A6EE3632470D45F5007B1DA76BF6C62D4982F70D6426DF47A4</vt:lpwstr>
  </property>
  <property fmtid="{D5CDD505-2E9C-101B-9397-08002B2CF9AE}" pid="3" name="TaxCatchAll">
    <vt:lpwstr>1375;#Metschke, Bernadette [Person - BMETSCHKE] [internal] [23089]|14c4c4ea-7d5b-42a0-88f0-64aed0c65d50;#54;#Legal Practice Unit [Organization] [internal] [39804]|3601d318-3562-4026-bcf3-e3d37a91abed</vt:lpwstr>
  </property>
  <property fmtid="{D5CDD505-2E9C-101B-9397-08002B2CF9AE}" pid="4" name="me786d0e3c9949dc83d6a9826d3f7afb">
    <vt:lpwstr>Legal Practice Unit [Organization] [internal] [39804]|3601d318-3562-4026-bcf3-e3d37a91abed</vt:lpwstr>
  </property>
  <property fmtid="{D5CDD505-2E9C-101B-9397-08002B2CF9AE}" pid="5" name="l7f7762656034748af4098221ba10b64">
    <vt:lpwstr>Metschke, Bernadette [Person - BMETSCHKE] [internal] [23089]|14c4c4ea-7d5b-42a0-88f0-64aed0c65d50</vt:lpwstr>
  </property>
  <property fmtid="{D5CDD505-2E9C-101B-9397-08002B2CF9AE}" pid="6" name="c1aa94c1bcce43cc9138ccb9c7bf6e69">
    <vt:lpwstr/>
  </property>
  <property fmtid="{D5CDD505-2E9C-101B-9397-08002B2CF9AE}" pid="7" name="ie56bdfdc4a44ef997c05b4ed8c67594">
    <vt:lpwstr/>
  </property>
  <property fmtid="{D5CDD505-2E9C-101B-9397-08002B2CF9AE}" pid="8" name="dd9c7627a75f4720a6ccce58a35e4d75">
    <vt:lpwstr/>
  </property>
  <property fmtid="{D5CDD505-2E9C-101B-9397-08002B2CF9AE}" pid="9" name="e74c999a0f514bafbaad1ae53c56eac2">
    <vt:lpwstr/>
  </property>
  <property fmtid="{D5CDD505-2E9C-101B-9397-08002B2CF9AE}" pid="10" name="l30152c64bc5409cb0d6af5fc7998329">
    <vt:lpwstr/>
  </property>
  <property fmtid="{D5CDD505-2E9C-101B-9397-08002B2CF9AE}" pid="11" name="a26f7cb41fae41ebb6c8e377b7c30d71">
    <vt:lpwstr/>
  </property>
  <property fmtid="{D5CDD505-2E9C-101B-9397-08002B2CF9AE}" pid="12" name="hab31d4ae2264d5c8e77fd86c07e7635">
    <vt:lpwstr/>
  </property>
  <property fmtid="{D5CDD505-2E9C-101B-9397-08002B2CF9AE}" pid="13" name="e65fcc6ef396426b9c231bd6b3bc54de">
    <vt:lpwstr/>
  </property>
  <property fmtid="{D5CDD505-2E9C-101B-9397-08002B2CF9AE}" pid="14" name="TrimRevisionNumber">
    <vt:i4>63</vt:i4>
  </property>
  <property fmtid="{D5CDD505-2E9C-101B-9397-08002B2CF9AE}" pid="15" name="trimRootDocClassification">
    <vt:lpwstr/>
  </property>
  <property fmtid="{D5CDD505-2E9C-101B-9397-08002B2CF9AE}" pid="16" name="trimRootDocAssigneeLocation">
    <vt:lpwstr>1375;#Metschke, Bernadette [Person - BMETSCHKE] [internal] [23089]|14c4c4ea-7d5b-42a0-88f0-64aed0c65d50</vt:lpwstr>
  </property>
  <property fmtid="{D5CDD505-2E9C-101B-9397-08002B2CF9AE}" pid="17" name="trimRootDocOwnerLocation">
    <vt:lpwstr>54;#Legal Practice Unit [Organization] [internal] [39804]|3601d318-3562-4026-bcf3-e3d37a91abed</vt:lpwstr>
  </property>
  <property fmtid="{D5CDD505-2E9C-101B-9397-08002B2CF9AE}" pid="18" name="trimRootDocOtherContactLocation">
    <vt:lpwstr/>
  </property>
  <property fmtid="{D5CDD505-2E9C-101B-9397-08002B2CF9AE}" pid="19" name="trimRootDocACLCanUpdateMetadata_List">
    <vt:lpwstr/>
  </property>
  <property fmtid="{D5CDD505-2E9C-101B-9397-08002B2CF9AE}" pid="20" name="trimRootDocACLCanContributeDocuments_List">
    <vt:lpwstr/>
  </property>
  <property fmtid="{D5CDD505-2E9C-101B-9397-08002B2CF9AE}" pid="21" name="trimRootDocACLCanModifyAccess_List">
    <vt:lpwstr/>
  </property>
  <property fmtid="{D5CDD505-2E9C-101B-9397-08002B2CF9AE}" pid="22" name="trimRootDocACLCanUpdateDocument_List">
    <vt:lpwstr/>
  </property>
  <property fmtid="{D5CDD505-2E9C-101B-9397-08002B2CF9AE}" pid="23" name="trimRootDocACLCanViewMetadata_List">
    <vt:lpwstr/>
  </property>
  <property fmtid="{D5CDD505-2E9C-101B-9397-08002B2CF9AE}" pid="24" name="uri">
    <vt:lpwstr>2948986</vt:lpwstr>
  </property>
  <property fmtid="{D5CDD505-2E9C-101B-9397-08002B2CF9AE}" pid="25" name="trimRootDocACLCanViewDocument_List">
    <vt:lpwstr/>
  </property>
</Properties>
</file>