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5F44" w14:textId="77777777" w:rsidR="00E00750" w:rsidRPr="00D24F72" w:rsidRDefault="00E00750" w:rsidP="00E00750">
      <w:pPr>
        <w:pStyle w:val="Title"/>
        <w:rPr>
          <w:color w:val="000000" w:themeColor="text1"/>
        </w:rPr>
      </w:pPr>
      <w:r w:rsidRPr="00D24F72">
        <w:rPr>
          <w:color w:val="000000" w:themeColor="text1"/>
        </w:rPr>
        <w:t xml:space="preserve">Explanatory Statement </w:t>
      </w:r>
    </w:p>
    <w:p w14:paraId="30D196C2" w14:textId="77777777" w:rsidR="00E00750" w:rsidRPr="00D24F72" w:rsidRDefault="00E00750" w:rsidP="00E00750">
      <w:pPr>
        <w:rPr>
          <w:color w:val="000000" w:themeColor="text1"/>
          <w:sz w:val="24"/>
        </w:rPr>
      </w:pPr>
    </w:p>
    <w:p w14:paraId="73916F68" w14:textId="77777777" w:rsidR="00E00750" w:rsidRPr="00D24F72" w:rsidRDefault="00D751F2" w:rsidP="004120B9">
      <w:pPr>
        <w:jc w:val="center"/>
        <w:rPr>
          <w:i/>
          <w:color w:val="000000" w:themeColor="text1"/>
          <w:sz w:val="24"/>
          <w:szCs w:val="24"/>
        </w:rPr>
      </w:pPr>
      <w:bookmarkStart w:id="0" w:name="_Toc113891895"/>
      <w:bookmarkStart w:id="1" w:name="_Toc113892419"/>
      <w:r w:rsidRPr="00D24F72">
        <w:rPr>
          <w:i/>
          <w:color w:val="000000" w:themeColor="text1"/>
          <w:sz w:val="24"/>
          <w:szCs w:val="24"/>
        </w:rPr>
        <w:t>Broadcasting Services Act 1992</w:t>
      </w:r>
      <w:bookmarkEnd w:id="0"/>
      <w:bookmarkEnd w:id="1"/>
    </w:p>
    <w:p w14:paraId="2D6BEE4E" w14:textId="77777777" w:rsidR="00E00750" w:rsidRPr="00D24F72" w:rsidRDefault="00E00750" w:rsidP="00E00750">
      <w:pPr>
        <w:rPr>
          <w:color w:val="000000" w:themeColor="text1"/>
        </w:rPr>
      </w:pPr>
    </w:p>
    <w:p w14:paraId="20A1F430" w14:textId="602E4C0C" w:rsidR="00E00750" w:rsidRPr="00D24F72" w:rsidRDefault="00D50BAE" w:rsidP="00E00750">
      <w:pPr>
        <w:jc w:val="center"/>
        <w:rPr>
          <w:b/>
          <w:color w:val="000000" w:themeColor="text1"/>
          <w:sz w:val="28"/>
          <w:szCs w:val="28"/>
        </w:rPr>
      </w:pPr>
      <w:r>
        <w:rPr>
          <w:b/>
          <w:color w:val="000000" w:themeColor="text1"/>
          <w:sz w:val="28"/>
          <w:szCs w:val="28"/>
        </w:rPr>
        <w:t>Broadcasting Services (Minimum Prominence Requirements) Regulations 2024</w:t>
      </w:r>
    </w:p>
    <w:p w14:paraId="43C41583" w14:textId="77777777" w:rsidR="007F6AB9" w:rsidRPr="00D24F72" w:rsidRDefault="007F6AB9" w:rsidP="007F6AB9">
      <w:pPr>
        <w:rPr>
          <w:color w:val="000000" w:themeColor="text1"/>
          <w:sz w:val="24"/>
        </w:rPr>
      </w:pPr>
    </w:p>
    <w:p w14:paraId="3ADF440A" w14:textId="587C2560" w:rsidR="00136308" w:rsidRPr="00D24F72" w:rsidRDefault="001C1979" w:rsidP="00136308">
      <w:pPr>
        <w:jc w:val="center"/>
        <w:rPr>
          <w:color w:val="000000" w:themeColor="text1"/>
          <w:sz w:val="24"/>
          <w:szCs w:val="24"/>
        </w:rPr>
      </w:pPr>
      <w:r w:rsidRPr="00D24F72">
        <w:rPr>
          <w:color w:val="000000" w:themeColor="text1"/>
          <w:sz w:val="24"/>
          <w:szCs w:val="24"/>
        </w:rPr>
        <w:t>Issued by the A</w:t>
      </w:r>
      <w:r w:rsidR="003D6754" w:rsidRPr="00D24F72">
        <w:rPr>
          <w:color w:val="000000" w:themeColor="text1"/>
          <w:sz w:val="24"/>
          <w:szCs w:val="24"/>
        </w:rPr>
        <w:t>uthority of the Minister for Commun</w:t>
      </w:r>
      <w:r w:rsidR="00BB5279" w:rsidRPr="00D24F72">
        <w:rPr>
          <w:color w:val="000000" w:themeColor="text1"/>
          <w:sz w:val="24"/>
          <w:szCs w:val="24"/>
        </w:rPr>
        <w:t>ications</w:t>
      </w:r>
    </w:p>
    <w:p w14:paraId="0535E798" w14:textId="77777777" w:rsidR="0034679C" w:rsidRPr="00D24F72" w:rsidRDefault="0034679C" w:rsidP="00E00750">
      <w:pPr>
        <w:rPr>
          <w:color w:val="000000" w:themeColor="text1"/>
          <w:sz w:val="24"/>
        </w:rPr>
      </w:pPr>
    </w:p>
    <w:p w14:paraId="594B40CD" w14:textId="77777777" w:rsidR="00E00750" w:rsidRPr="00D24F72" w:rsidRDefault="0014799A" w:rsidP="00E00750">
      <w:pPr>
        <w:rPr>
          <w:color w:val="000000" w:themeColor="text1"/>
          <w:sz w:val="24"/>
          <w:u w:val="single"/>
        </w:rPr>
      </w:pPr>
      <w:r w:rsidRPr="00D24F72">
        <w:rPr>
          <w:color w:val="000000" w:themeColor="text1"/>
          <w:sz w:val="24"/>
          <w:u w:val="single"/>
        </w:rPr>
        <w:t xml:space="preserve">Authority </w:t>
      </w:r>
    </w:p>
    <w:p w14:paraId="3701EEEF" w14:textId="77777777" w:rsidR="00E00750" w:rsidRPr="00D24F72" w:rsidRDefault="00E00750" w:rsidP="00E00750">
      <w:pPr>
        <w:rPr>
          <w:color w:val="000000" w:themeColor="text1"/>
          <w:sz w:val="24"/>
          <w:szCs w:val="24"/>
        </w:rPr>
      </w:pPr>
    </w:p>
    <w:p w14:paraId="60382755" w14:textId="75B909DA" w:rsidR="005914D6" w:rsidRDefault="36A87989" w:rsidP="36A87989">
      <w:pPr>
        <w:rPr>
          <w:color w:val="000000" w:themeColor="text1"/>
          <w:sz w:val="24"/>
          <w:szCs w:val="24"/>
        </w:rPr>
      </w:pPr>
      <w:bookmarkStart w:id="2" w:name="_Hlk129786456"/>
      <w:r w:rsidRPr="36A87989">
        <w:rPr>
          <w:color w:val="000000" w:themeColor="text1"/>
          <w:sz w:val="24"/>
          <w:szCs w:val="24"/>
        </w:rPr>
        <w:t xml:space="preserve">The </w:t>
      </w:r>
      <w:r w:rsidRPr="36A87989">
        <w:rPr>
          <w:i/>
          <w:iCs/>
          <w:color w:val="000000" w:themeColor="text1"/>
          <w:sz w:val="24"/>
          <w:szCs w:val="24"/>
        </w:rPr>
        <w:t>Broadcasting Services (</w:t>
      </w:r>
      <w:r w:rsidR="00D50BAE">
        <w:rPr>
          <w:i/>
          <w:iCs/>
          <w:color w:val="000000" w:themeColor="text1"/>
          <w:sz w:val="24"/>
          <w:szCs w:val="24"/>
        </w:rPr>
        <w:t>Minimum Prominence Requirements) Regulations</w:t>
      </w:r>
      <w:r w:rsidRPr="36A87989">
        <w:rPr>
          <w:i/>
          <w:iCs/>
          <w:color w:val="000000" w:themeColor="text1"/>
          <w:sz w:val="24"/>
          <w:szCs w:val="24"/>
        </w:rPr>
        <w:t xml:space="preserve"> 2024</w:t>
      </w:r>
      <w:r w:rsidRPr="36A87989">
        <w:rPr>
          <w:color w:val="000000" w:themeColor="text1"/>
          <w:sz w:val="24"/>
          <w:szCs w:val="24"/>
        </w:rPr>
        <w:t xml:space="preserve"> (the </w:t>
      </w:r>
      <w:r w:rsidR="004F70C2">
        <w:rPr>
          <w:color w:val="000000" w:themeColor="text1"/>
          <w:sz w:val="24"/>
          <w:szCs w:val="24"/>
        </w:rPr>
        <w:t>Regulations</w:t>
      </w:r>
      <w:r w:rsidRPr="36A87989">
        <w:rPr>
          <w:color w:val="000000" w:themeColor="text1"/>
          <w:sz w:val="24"/>
          <w:szCs w:val="24"/>
        </w:rPr>
        <w:t xml:space="preserve">) </w:t>
      </w:r>
      <w:r w:rsidR="009D264A">
        <w:rPr>
          <w:color w:val="000000" w:themeColor="text1"/>
          <w:sz w:val="24"/>
          <w:szCs w:val="24"/>
        </w:rPr>
        <w:t>are</w:t>
      </w:r>
      <w:r w:rsidRPr="36A87989">
        <w:rPr>
          <w:color w:val="000000" w:themeColor="text1"/>
          <w:sz w:val="24"/>
          <w:szCs w:val="24"/>
        </w:rPr>
        <w:t xml:space="preserve"> made by the </w:t>
      </w:r>
      <w:r w:rsidR="00055512">
        <w:rPr>
          <w:color w:val="000000" w:themeColor="text1"/>
          <w:sz w:val="24"/>
          <w:szCs w:val="24"/>
        </w:rPr>
        <w:t>Governor</w:t>
      </w:r>
      <w:r w:rsidR="0079006C">
        <w:rPr>
          <w:color w:val="000000" w:themeColor="text1"/>
          <w:sz w:val="24"/>
          <w:szCs w:val="24"/>
        </w:rPr>
        <w:t xml:space="preserve">-General, </w:t>
      </w:r>
      <w:r w:rsidRPr="36A87989">
        <w:rPr>
          <w:color w:val="000000" w:themeColor="text1"/>
          <w:sz w:val="24"/>
          <w:szCs w:val="24"/>
        </w:rPr>
        <w:t>under s</w:t>
      </w:r>
      <w:r w:rsidR="001934A6">
        <w:rPr>
          <w:color w:val="000000" w:themeColor="text1"/>
          <w:sz w:val="24"/>
          <w:szCs w:val="24"/>
        </w:rPr>
        <w:t xml:space="preserve">ection 130ZZO </w:t>
      </w:r>
      <w:r w:rsidRPr="36A87989">
        <w:rPr>
          <w:color w:val="000000" w:themeColor="text1"/>
          <w:sz w:val="24"/>
          <w:szCs w:val="24"/>
        </w:rPr>
        <w:t xml:space="preserve">of the </w:t>
      </w:r>
      <w:r w:rsidRPr="36A87989">
        <w:rPr>
          <w:i/>
          <w:iCs/>
          <w:color w:val="000000" w:themeColor="text1"/>
          <w:sz w:val="24"/>
          <w:szCs w:val="24"/>
        </w:rPr>
        <w:t>Broadcasting Services Act 1992</w:t>
      </w:r>
      <w:r w:rsidRPr="36A87989">
        <w:rPr>
          <w:color w:val="000000" w:themeColor="text1"/>
          <w:sz w:val="24"/>
          <w:szCs w:val="24"/>
        </w:rPr>
        <w:t xml:space="preserve"> (</w:t>
      </w:r>
      <w:r w:rsidRPr="00C63971">
        <w:rPr>
          <w:color w:val="000000" w:themeColor="text1"/>
          <w:sz w:val="24"/>
          <w:szCs w:val="24"/>
        </w:rPr>
        <w:t xml:space="preserve">the </w:t>
      </w:r>
      <w:r w:rsidR="00055512">
        <w:rPr>
          <w:color w:val="000000" w:themeColor="text1"/>
          <w:sz w:val="24"/>
          <w:szCs w:val="24"/>
        </w:rPr>
        <w:t>Act</w:t>
      </w:r>
      <w:r w:rsidRPr="00C63971">
        <w:rPr>
          <w:color w:val="000000" w:themeColor="text1"/>
          <w:sz w:val="24"/>
          <w:szCs w:val="24"/>
        </w:rPr>
        <w:t>).</w:t>
      </w:r>
      <w:r w:rsidRPr="36A87989">
        <w:rPr>
          <w:color w:val="000000" w:themeColor="text1"/>
          <w:sz w:val="24"/>
          <w:szCs w:val="24"/>
        </w:rPr>
        <w:t xml:space="preserve">  </w:t>
      </w:r>
    </w:p>
    <w:p w14:paraId="6549BFEB" w14:textId="77777777" w:rsidR="00E00750" w:rsidRPr="00D24F72" w:rsidRDefault="00E00750" w:rsidP="00E00750">
      <w:pPr>
        <w:rPr>
          <w:color w:val="000000" w:themeColor="text1"/>
          <w:sz w:val="24"/>
          <w:szCs w:val="24"/>
        </w:rPr>
      </w:pPr>
    </w:p>
    <w:p w14:paraId="5954849E" w14:textId="77777777" w:rsidR="0014799A" w:rsidRPr="00D24F72" w:rsidRDefault="0014799A" w:rsidP="001318EF">
      <w:pPr>
        <w:rPr>
          <w:color w:val="000000" w:themeColor="text1"/>
          <w:sz w:val="24"/>
          <w:szCs w:val="24"/>
          <w:u w:val="single"/>
        </w:rPr>
      </w:pPr>
      <w:r w:rsidRPr="00D24F72">
        <w:rPr>
          <w:color w:val="000000" w:themeColor="text1"/>
          <w:sz w:val="24"/>
          <w:szCs w:val="24"/>
          <w:u w:val="single"/>
        </w:rPr>
        <w:t xml:space="preserve">Purpose </w:t>
      </w:r>
    </w:p>
    <w:p w14:paraId="2E7E5B84" w14:textId="77777777" w:rsidR="00C2387F" w:rsidRDefault="00C2387F" w:rsidP="00C2387F">
      <w:pPr>
        <w:shd w:val="clear" w:color="auto" w:fill="FFFFFF"/>
        <w:rPr>
          <w:color w:val="000000"/>
          <w:sz w:val="24"/>
          <w:szCs w:val="24"/>
        </w:rPr>
      </w:pPr>
    </w:p>
    <w:p w14:paraId="03129777" w14:textId="70B42F48" w:rsidR="005E7645" w:rsidRDefault="005E7645" w:rsidP="005E7645">
      <w:pPr>
        <w:ind w:right="91"/>
        <w:rPr>
          <w:sz w:val="24"/>
        </w:rPr>
      </w:pPr>
      <w:r>
        <w:rPr>
          <w:sz w:val="24"/>
        </w:rPr>
        <w:t xml:space="preserve">Section 217 of the Act provides that the Governor-General may make regulations, not inconsistent with the </w:t>
      </w:r>
      <w:r w:rsidR="00104EB1">
        <w:rPr>
          <w:sz w:val="24"/>
        </w:rPr>
        <w:t>A</w:t>
      </w:r>
      <w:r>
        <w:rPr>
          <w:sz w:val="24"/>
        </w:rPr>
        <w:t>ct, prescribing matters required or permitted to be prescribed by the Act, or necessary or convenient to be prescribed for carrying out or giving effect to the Act.</w:t>
      </w:r>
    </w:p>
    <w:p w14:paraId="47D3BBD4" w14:textId="77777777" w:rsidR="005E7645" w:rsidRDefault="005E7645" w:rsidP="0079006C">
      <w:pPr>
        <w:ind w:right="91"/>
        <w:rPr>
          <w:sz w:val="24"/>
        </w:rPr>
      </w:pPr>
    </w:p>
    <w:p w14:paraId="3EF82AAF" w14:textId="7B495877" w:rsidR="0079006C" w:rsidRDefault="0079006C" w:rsidP="0079006C">
      <w:pPr>
        <w:ind w:right="91"/>
        <w:rPr>
          <w:sz w:val="24"/>
        </w:rPr>
      </w:pPr>
      <w:r w:rsidRPr="000C68F2">
        <w:rPr>
          <w:sz w:val="24"/>
        </w:rPr>
        <w:t xml:space="preserve">Section 130ZZO of the </w:t>
      </w:r>
      <w:r w:rsidR="00055512">
        <w:rPr>
          <w:sz w:val="24"/>
        </w:rPr>
        <w:t>Act</w:t>
      </w:r>
      <w:r w:rsidRPr="000C68F2">
        <w:rPr>
          <w:sz w:val="24"/>
        </w:rPr>
        <w:t xml:space="preserve"> provides that </w:t>
      </w:r>
      <w:r>
        <w:rPr>
          <w:sz w:val="24"/>
        </w:rPr>
        <w:t>regulations may</w:t>
      </w:r>
      <w:r w:rsidRPr="000C68F2">
        <w:rPr>
          <w:sz w:val="24"/>
        </w:rPr>
        <w:t xml:space="preserve"> prescribe </w:t>
      </w:r>
      <w:r>
        <w:rPr>
          <w:sz w:val="24"/>
        </w:rPr>
        <w:t xml:space="preserve">the </w:t>
      </w:r>
      <w:r w:rsidRPr="000C68F2">
        <w:rPr>
          <w:sz w:val="24"/>
        </w:rPr>
        <w:t>minimum prominence requirement</w:t>
      </w:r>
      <w:r w:rsidR="009D264A">
        <w:rPr>
          <w:sz w:val="24"/>
        </w:rPr>
        <w:t>s</w:t>
      </w:r>
      <w:r w:rsidRPr="000C68F2">
        <w:rPr>
          <w:sz w:val="24"/>
        </w:rPr>
        <w:t xml:space="preserve"> with which a regulated television device must comply</w:t>
      </w:r>
      <w:r>
        <w:rPr>
          <w:sz w:val="24"/>
        </w:rPr>
        <w:t xml:space="preserve"> </w:t>
      </w:r>
      <w:r w:rsidR="009D264A">
        <w:rPr>
          <w:sz w:val="24"/>
        </w:rPr>
        <w:t xml:space="preserve">with </w:t>
      </w:r>
      <w:r>
        <w:rPr>
          <w:sz w:val="24"/>
        </w:rPr>
        <w:t>under the prominence framework</w:t>
      </w:r>
      <w:r w:rsidR="001E01FD">
        <w:rPr>
          <w:sz w:val="24"/>
        </w:rPr>
        <w:t xml:space="preserve"> (the framework)</w:t>
      </w:r>
      <w:r w:rsidRPr="000C68F2">
        <w:rPr>
          <w:sz w:val="24"/>
        </w:rPr>
        <w:t xml:space="preserve">. </w:t>
      </w:r>
    </w:p>
    <w:p w14:paraId="518A4AC6" w14:textId="77777777" w:rsidR="0079006C" w:rsidRPr="002D4980" w:rsidRDefault="0079006C" w:rsidP="0079006C">
      <w:pPr>
        <w:ind w:right="91"/>
        <w:rPr>
          <w:sz w:val="24"/>
        </w:rPr>
      </w:pPr>
    </w:p>
    <w:p w14:paraId="4163678B" w14:textId="4A46D7FC" w:rsidR="0079006C" w:rsidRPr="0046428A" w:rsidRDefault="0079006C" w:rsidP="0079006C">
      <w:pPr>
        <w:tabs>
          <w:tab w:val="left" w:pos="1560"/>
        </w:tabs>
        <w:ind w:right="91"/>
        <w:rPr>
          <w:sz w:val="24"/>
        </w:rPr>
      </w:pPr>
      <w:r w:rsidRPr="002D4980">
        <w:rPr>
          <w:sz w:val="24"/>
        </w:rPr>
        <w:t>The</w:t>
      </w:r>
      <w:r w:rsidR="009D264A">
        <w:rPr>
          <w:sz w:val="24"/>
        </w:rPr>
        <w:t xml:space="preserve"> </w:t>
      </w:r>
      <w:r>
        <w:rPr>
          <w:sz w:val="24"/>
        </w:rPr>
        <w:t xml:space="preserve">Regulations </w:t>
      </w:r>
      <w:r w:rsidRPr="0046428A">
        <w:rPr>
          <w:sz w:val="24"/>
        </w:rPr>
        <w:t>prescribe the minimum prominence requirements</w:t>
      </w:r>
      <w:r>
        <w:rPr>
          <w:sz w:val="24"/>
        </w:rPr>
        <w:t xml:space="preserve"> for the framework</w:t>
      </w:r>
      <w:r w:rsidRPr="0046428A">
        <w:rPr>
          <w:sz w:val="24"/>
        </w:rPr>
        <w:t xml:space="preserve"> that manufacturers of regulated television devices and their related bodies corporate must adhere to. The</w:t>
      </w:r>
      <w:r w:rsidR="000E10B4">
        <w:rPr>
          <w:sz w:val="24"/>
        </w:rPr>
        <w:t>se include</w:t>
      </w:r>
      <w:r w:rsidR="009D264A">
        <w:rPr>
          <w:sz w:val="24"/>
        </w:rPr>
        <w:t>,</w:t>
      </w:r>
      <w:r w:rsidR="000E10B4">
        <w:rPr>
          <w:sz w:val="24"/>
        </w:rPr>
        <w:t xml:space="preserve"> </w:t>
      </w:r>
      <w:r w:rsidRPr="0046428A">
        <w:rPr>
          <w:sz w:val="24"/>
        </w:rPr>
        <w:t>but</w:t>
      </w:r>
      <w:r w:rsidR="000E10B4">
        <w:rPr>
          <w:sz w:val="24"/>
        </w:rPr>
        <w:t xml:space="preserve"> are</w:t>
      </w:r>
      <w:r w:rsidRPr="0046428A">
        <w:rPr>
          <w:sz w:val="24"/>
        </w:rPr>
        <w:t xml:space="preserve"> not restricted to</w:t>
      </w:r>
      <w:r w:rsidR="009D264A">
        <w:rPr>
          <w:sz w:val="24"/>
        </w:rPr>
        <w:t>,</w:t>
      </w:r>
      <w:r w:rsidR="00C1767E">
        <w:rPr>
          <w:sz w:val="24"/>
        </w:rPr>
        <w:t xml:space="preserve"> requirements in relation to</w:t>
      </w:r>
      <w:r w:rsidRPr="0046428A">
        <w:rPr>
          <w:sz w:val="24"/>
        </w:rPr>
        <w:t>:</w:t>
      </w:r>
    </w:p>
    <w:p w14:paraId="3114FD27" w14:textId="77777777" w:rsidR="00CA7159" w:rsidRDefault="00CA7159" w:rsidP="00CA7159">
      <w:pPr>
        <w:pStyle w:val="ListParagraph"/>
        <w:tabs>
          <w:tab w:val="left" w:pos="1560"/>
        </w:tabs>
        <w:ind w:left="357" w:right="91"/>
        <w:contextualSpacing w:val="0"/>
        <w:rPr>
          <w:sz w:val="24"/>
        </w:rPr>
      </w:pPr>
    </w:p>
    <w:p w14:paraId="1D8822A1" w14:textId="6AFCA7AF" w:rsidR="0079006C" w:rsidRPr="0046428A" w:rsidRDefault="0079006C" w:rsidP="00CA7159">
      <w:pPr>
        <w:pStyle w:val="ListParagraph"/>
        <w:numPr>
          <w:ilvl w:val="0"/>
          <w:numId w:val="40"/>
        </w:numPr>
        <w:tabs>
          <w:tab w:val="left" w:pos="1560"/>
        </w:tabs>
        <w:ind w:left="357" w:right="91" w:hanging="357"/>
        <w:contextualSpacing w:val="0"/>
        <w:rPr>
          <w:sz w:val="24"/>
        </w:rPr>
      </w:pPr>
      <w:r w:rsidRPr="0046428A">
        <w:rPr>
          <w:sz w:val="24"/>
        </w:rPr>
        <w:t>access to regulated television services on the device</w:t>
      </w:r>
    </w:p>
    <w:p w14:paraId="027C04EC" w14:textId="77777777" w:rsidR="00CA7159" w:rsidRDefault="00CA7159" w:rsidP="00CA7159">
      <w:pPr>
        <w:pStyle w:val="ListParagraph"/>
        <w:tabs>
          <w:tab w:val="left" w:pos="1560"/>
        </w:tabs>
        <w:ind w:left="357" w:right="91"/>
        <w:contextualSpacing w:val="0"/>
        <w:rPr>
          <w:sz w:val="24"/>
        </w:rPr>
      </w:pPr>
    </w:p>
    <w:p w14:paraId="0AA539E2" w14:textId="262066F9" w:rsidR="0079006C" w:rsidRPr="0046428A" w:rsidRDefault="00D46382" w:rsidP="00CA7159">
      <w:pPr>
        <w:pStyle w:val="ListParagraph"/>
        <w:numPr>
          <w:ilvl w:val="0"/>
          <w:numId w:val="40"/>
        </w:numPr>
        <w:tabs>
          <w:tab w:val="left" w:pos="1560"/>
        </w:tabs>
        <w:ind w:left="357" w:right="91" w:hanging="357"/>
        <w:contextualSpacing w:val="0"/>
        <w:rPr>
          <w:sz w:val="24"/>
        </w:rPr>
      </w:pPr>
      <w:r>
        <w:rPr>
          <w:sz w:val="24"/>
        </w:rPr>
        <w:t xml:space="preserve">the </w:t>
      </w:r>
      <w:r w:rsidR="0079006C" w:rsidRPr="0046428A">
        <w:rPr>
          <w:sz w:val="24"/>
        </w:rPr>
        <w:t>display, location or positioning of regulated television services</w:t>
      </w:r>
      <w:r w:rsidR="00C043DE">
        <w:rPr>
          <w:sz w:val="24"/>
        </w:rPr>
        <w:t>, or applications</w:t>
      </w:r>
      <w:r w:rsidR="008E621D">
        <w:rPr>
          <w:sz w:val="24"/>
        </w:rPr>
        <w:t xml:space="preserve"> (apps)</w:t>
      </w:r>
      <w:r w:rsidR="00C043DE">
        <w:rPr>
          <w:sz w:val="24"/>
        </w:rPr>
        <w:t xml:space="preserve"> that are used to access regulated television services, </w:t>
      </w:r>
      <w:r w:rsidR="0079006C" w:rsidRPr="0046428A">
        <w:rPr>
          <w:sz w:val="24"/>
        </w:rPr>
        <w:t xml:space="preserve">on the device or the </w:t>
      </w:r>
      <w:r w:rsidR="0019403D">
        <w:rPr>
          <w:sz w:val="24"/>
        </w:rPr>
        <w:t>p</w:t>
      </w:r>
      <w:r>
        <w:rPr>
          <w:sz w:val="24"/>
        </w:rPr>
        <w:t xml:space="preserve">rimary </w:t>
      </w:r>
      <w:r w:rsidR="0019403D">
        <w:rPr>
          <w:sz w:val="24"/>
        </w:rPr>
        <w:t>u</w:t>
      </w:r>
      <w:r>
        <w:rPr>
          <w:sz w:val="24"/>
        </w:rPr>
        <w:t xml:space="preserve">ser </w:t>
      </w:r>
      <w:r w:rsidR="0019403D">
        <w:rPr>
          <w:sz w:val="24"/>
        </w:rPr>
        <w:t>i</w:t>
      </w:r>
      <w:r>
        <w:rPr>
          <w:sz w:val="24"/>
        </w:rPr>
        <w:t>nterface</w:t>
      </w:r>
      <w:r w:rsidR="0079006C" w:rsidRPr="0046428A">
        <w:rPr>
          <w:sz w:val="24"/>
        </w:rPr>
        <w:t xml:space="preserve"> of the device</w:t>
      </w:r>
    </w:p>
    <w:p w14:paraId="1D6F8E44" w14:textId="77777777" w:rsidR="00CA7159" w:rsidRDefault="00CA7159" w:rsidP="00CA7159">
      <w:pPr>
        <w:pStyle w:val="ListParagraph"/>
        <w:tabs>
          <w:tab w:val="left" w:pos="1560"/>
        </w:tabs>
        <w:ind w:left="357" w:right="91"/>
        <w:contextualSpacing w:val="0"/>
        <w:rPr>
          <w:sz w:val="24"/>
        </w:rPr>
      </w:pPr>
    </w:p>
    <w:p w14:paraId="7FAA39D6" w14:textId="0D419D36" w:rsidR="0079006C" w:rsidRPr="0046428A" w:rsidRDefault="0079006C" w:rsidP="00CA7159">
      <w:pPr>
        <w:pStyle w:val="ListParagraph"/>
        <w:numPr>
          <w:ilvl w:val="0"/>
          <w:numId w:val="40"/>
        </w:numPr>
        <w:tabs>
          <w:tab w:val="left" w:pos="1560"/>
        </w:tabs>
        <w:ind w:left="357" w:right="91" w:hanging="357"/>
        <w:contextualSpacing w:val="0"/>
        <w:rPr>
          <w:sz w:val="24"/>
        </w:rPr>
      </w:pPr>
      <w:r w:rsidRPr="0046428A">
        <w:rPr>
          <w:sz w:val="24"/>
        </w:rPr>
        <w:t xml:space="preserve">the installation and updating of </w:t>
      </w:r>
      <w:r w:rsidR="008E621D">
        <w:rPr>
          <w:sz w:val="24"/>
        </w:rPr>
        <w:t>apps</w:t>
      </w:r>
      <w:r w:rsidRPr="0046428A">
        <w:rPr>
          <w:sz w:val="24"/>
        </w:rPr>
        <w:t xml:space="preserve"> on the device</w:t>
      </w:r>
      <w:r w:rsidR="00C043DE">
        <w:rPr>
          <w:sz w:val="24"/>
        </w:rPr>
        <w:t xml:space="preserve"> that are used to access regulated television services</w:t>
      </w:r>
    </w:p>
    <w:p w14:paraId="4618A0CF" w14:textId="77777777" w:rsidR="00CA7159" w:rsidRDefault="00CA7159" w:rsidP="00CA7159">
      <w:pPr>
        <w:pStyle w:val="ListParagraph"/>
        <w:tabs>
          <w:tab w:val="left" w:pos="1560"/>
        </w:tabs>
        <w:ind w:left="357" w:right="91"/>
        <w:contextualSpacing w:val="0"/>
        <w:rPr>
          <w:sz w:val="24"/>
        </w:rPr>
      </w:pPr>
    </w:p>
    <w:p w14:paraId="4079C36C" w14:textId="70A668BA" w:rsidR="0079006C" w:rsidRPr="0046428A" w:rsidRDefault="0079006C" w:rsidP="00CA7159">
      <w:pPr>
        <w:pStyle w:val="ListParagraph"/>
        <w:numPr>
          <w:ilvl w:val="0"/>
          <w:numId w:val="40"/>
        </w:numPr>
        <w:tabs>
          <w:tab w:val="left" w:pos="1560"/>
        </w:tabs>
        <w:ind w:left="357" w:right="91" w:hanging="357"/>
        <w:contextualSpacing w:val="0"/>
        <w:rPr>
          <w:sz w:val="24"/>
        </w:rPr>
      </w:pPr>
      <w:r w:rsidRPr="0046428A">
        <w:rPr>
          <w:sz w:val="24"/>
        </w:rPr>
        <w:t>any electronic program guide on the device that provides information about</w:t>
      </w:r>
      <w:r w:rsidR="00A06697">
        <w:rPr>
          <w:sz w:val="24"/>
        </w:rPr>
        <w:t>,</w:t>
      </w:r>
      <w:r w:rsidRPr="0046428A">
        <w:rPr>
          <w:sz w:val="24"/>
        </w:rPr>
        <w:t xml:space="preserve"> or access to</w:t>
      </w:r>
      <w:r w:rsidR="00A06697">
        <w:rPr>
          <w:sz w:val="24"/>
        </w:rPr>
        <w:t>,</w:t>
      </w:r>
      <w:r w:rsidRPr="0046428A">
        <w:rPr>
          <w:sz w:val="24"/>
        </w:rPr>
        <w:t xml:space="preserve"> regulated television services</w:t>
      </w:r>
      <w:r w:rsidR="00743A5F">
        <w:rPr>
          <w:sz w:val="24"/>
        </w:rPr>
        <w:t>.</w:t>
      </w:r>
    </w:p>
    <w:p w14:paraId="1A4AE9AB" w14:textId="77777777" w:rsidR="0079006C" w:rsidRPr="0046428A" w:rsidRDefault="0079006C" w:rsidP="0079006C">
      <w:pPr>
        <w:pStyle w:val="ListParagraph"/>
        <w:tabs>
          <w:tab w:val="left" w:pos="1560"/>
        </w:tabs>
        <w:ind w:right="91"/>
        <w:rPr>
          <w:sz w:val="24"/>
        </w:rPr>
      </w:pPr>
    </w:p>
    <w:p w14:paraId="46F2FA05" w14:textId="77777777" w:rsidR="0079006C" w:rsidRDefault="0079006C" w:rsidP="0079006C">
      <w:pPr>
        <w:ind w:right="91"/>
        <w:rPr>
          <w:sz w:val="24"/>
        </w:rPr>
      </w:pPr>
      <w:r>
        <w:rPr>
          <w:sz w:val="24"/>
        </w:rPr>
        <w:t>The Regulations are intended to be adaptable and responsive to reflect market conditions and changes in technology.</w:t>
      </w:r>
    </w:p>
    <w:p w14:paraId="5E13BE29" w14:textId="6A9B0313" w:rsidR="00C2387F" w:rsidRPr="0072055F" w:rsidRDefault="00C2387F" w:rsidP="0072055F">
      <w:pPr>
        <w:shd w:val="clear" w:color="auto" w:fill="FFFFFF"/>
        <w:rPr>
          <w:color w:val="000000"/>
          <w:sz w:val="24"/>
          <w:szCs w:val="24"/>
          <w:lang w:val="en-GB"/>
        </w:rPr>
      </w:pPr>
      <w:r>
        <w:rPr>
          <w:color w:val="000000"/>
          <w:sz w:val="24"/>
          <w:szCs w:val="24"/>
          <w:lang w:val="en-GB"/>
        </w:rPr>
        <w:t xml:space="preserve"> </w:t>
      </w:r>
    </w:p>
    <w:p w14:paraId="36731B23" w14:textId="6A7E53FD" w:rsidR="00C2387F" w:rsidRPr="0072055F" w:rsidRDefault="00C2387F" w:rsidP="00C2387F">
      <w:pPr>
        <w:rPr>
          <w:color w:val="000000" w:themeColor="text1"/>
          <w:sz w:val="24"/>
          <w:szCs w:val="24"/>
        </w:rPr>
      </w:pPr>
      <w:r w:rsidRPr="0072055F">
        <w:rPr>
          <w:color w:val="000000" w:themeColor="text1"/>
          <w:sz w:val="24"/>
          <w:szCs w:val="24"/>
        </w:rPr>
        <w:t>The notes on the provisions of the</w:t>
      </w:r>
      <w:r w:rsidR="0072055F" w:rsidRPr="0072055F">
        <w:rPr>
          <w:color w:val="000000" w:themeColor="text1"/>
          <w:sz w:val="24"/>
          <w:szCs w:val="24"/>
        </w:rPr>
        <w:t xml:space="preserve"> Regulations</w:t>
      </w:r>
      <w:r w:rsidRPr="0072055F">
        <w:rPr>
          <w:color w:val="000000" w:themeColor="text1"/>
          <w:sz w:val="24"/>
          <w:szCs w:val="24"/>
        </w:rPr>
        <w:t xml:space="preserve"> are set out in </w:t>
      </w:r>
      <w:r w:rsidRPr="0072055F">
        <w:rPr>
          <w:b/>
          <w:color w:val="000000" w:themeColor="text1"/>
          <w:sz w:val="24"/>
          <w:szCs w:val="24"/>
          <w:u w:val="single"/>
        </w:rPr>
        <w:t>Attachment A</w:t>
      </w:r>
      <w:r w:rsidRPr="0072055F">
        <w:rPr>
          <w:color w:val="000000" w:themeColor="text1"/>
          <w:sz w:val="24"/>
          <w:szCs w:val="24"/>
        </w:rPr>
        <w:t>.</w:t>
      </w:r>
    </w:p>
    <w:p w14:paraId="74333E8F" w14:textId="77777777" w:rsidR="002131AC" w:rsidRPr="00D24F72" w:rsidRDefault="002131AC" w:rsidP="00E00750">
      <w:pPr>
        <w:rPr>
          <w:color w:val="000000" w:themeColor="text1"/>
          <w:sz w:val="24"/>
          <w:szCs w:val="24"/>
        </w:rPr>
      </w:pPr>
      <w:bookmarkStart w:id="3" w:name="_Hlk129789014"/>
    </w:p>
    <w:p w14:paraId="6CF3DDF8" w14:textId="6B5F3476" w:rsidR="00E00750" w:rsidRDefault="00E00750" w:rsidP="00E00750">
      <w:pPr>
        <w:rPr>
          <w:color w:val="000000" w:themeColor="text1"/>
          <w:sz w:val="24"/>
          <w:szCs w:val="24"/>
          <w:u w:val="single"/>
        </w:rPr>
      </w:pPr>
      <w:r w:rsidRPr="00156A60">
        <w:rPr>
          <w:color w:val="000000" w:themeColor="text1"/>
          <w:sz w:val="24"/>
          <w:szCs w:val="24"/>
          <w:u w:val="single"/>
        </w:rPr>
        <w:t>Background</w:t>
      </w:r>
    </w:p>
    <w:p w14:paraId="3E6C75B3" w14:textId="77777777" w:rsidR="007C7B24" w:rsidRPr="00EB4C20" w:rsidRDefault="007C7B24" w:rsidP="00E00750">
      <w:pPr>
        <w:rPr>
          <w:color w:val="000000" w:themeColor="text1"/>
          <w:sz w:val="24"/>
          <w:szCs w:val="24"/>
        </w:rPr>
      </w:pPr>
    </w:p>
    <w:p w14:paraId="71BF8681" w14:textId="047E9EA7" w:rsidR="00FC6D6B" w:rsidRDefault="00055512" w:rsidP="00E00750">
      <w:pPr>
        <w:rPr>
          <w:color w:val="000000" w:themeColor="text1"/>
          <w:sz w:val="24"/>
          <w:szCs w:val="24"/>
        </w:rPr>
      </w:pPr>
      <w:r>
        <w:rPr>
          <w:color w:val="000000" w:themeColor="text1"/>
          <w:sz w:val="24"/>
          <w:szCs w:val="24"/>
        </w:rPr>
        <w:t>In</w:t>
      </w:r>
      <w:r w:rsidR="008554B0">
        <w:rPr>
          <w:color w:val="000000" w:themeColor="text1"/>
          <w:sz w:val="24"/>
          <w:szCs w:val="24"/>
        </w:rPr>
        <w:t xml:space="preserve"> July</w:t>
      </w:r>
      <w:r w:rsidR="007727DE">
        <w:rPr>
          <w:color w:val="000000" w:themeColor="text1"/>
          <w:sz w:val="24"/>
          <w:szCs w:val="24"/>
        </w:rPr>
        <w:t xml:space="preserve"> 2024, the </w:t>
      </w:r>
      <w:r w:rsidR="007727DE" w:rsidRPr="007727DE">
        <w:rPr>
          <w:i/>
          <w:color w:val="000000" w:themeColor="text1"/>
          <w:sz w:val="24"/>
          <w:szCs w:val="24"/>
        </w:rPr>
        <w:t>Communications Legislation Amendment (Prominence and Anti</w:t>
      </w:r>
      <w:r w:rsidR="00E7519E">
        <w:rPr>
          <w:i/>
          <w:color w:val="000000" w:themeColor="text1"/>
          <w:sz w:val="24"/>
          <w:szCs w:val="24"/>
        </w:rPr>
        <w:t>-</w:t>
      </w:r>
      <w:r w:rsidR="007727DE" w:rsidRPr="007727DE">
        <w:rPr>
          <w:i/>
          <w:color w:val="000000" w:themeColor="text1"/>
          <w:sz w:val="24"/>
          <w:szCs w:val="24"/>
        </w:rPr>
        <w:t>siphoning) Act 2024</w:t>
      </w:r>
      <w:r w:rsidR="007727DE" w:rsidRPr="007727DE">
        <w:rPr>
          <w:color w:val="000000" w:themeColor="text1"/>
          <w:sz w:val="24"/>
          <w:szCs w:val="24"/>
        </w:rPr>
        <w:t xml:space="preserve"> </w:t>
      </w:r>
      <w:r>
        <w:rPr>
          <w:color w:val="000000" w:themeColor="text1"/>
          <w:sz w:val="24"/>
          <w:szCs w:val="24"/>
        </w:rPr>
        <w:t xml:space="preserve">(the Prominence and Anti-siphoning Act) </w:t>
      </w:r>
      <w:r w:rsidR="007727DE" w:rsidRPr="007727DE">
        <w:rPr>
          <w:color w:val="000000" w:themeColor="text1"/>
          <w:sz w:val="24"/>
          <w:szCs w:val="24"/>
        </w:rPr>
        <w:t xml:space="preserve">was </w:t>
      </w:r>
      <w:r>
        <w:rPr>
          <w:color w:val="000000" w:themeColor="text1"/>
          <w:sz w:val="24"/>
          <w:szCs w:val="24"/>
        </w:rPr>
        <w:t xml:space="preserve">passed by the Parliament and </w:t>
      </w:r>
      <w:r w:rsidR="007727DE" w:rsidRPr="007727DE">
        <w:rPr>
          <w:color w:val="000000" w:themeColor="text1"/>
          <w:sz w:val="24"/>
          <w:szCs w:val="24"/>
        </w:rPr>
        <w:t xml:space="preserve">received Royal Assent. </w:t>
      </w:r>
      <w:r>
        <w:rPr>
          <w:color w:val="000000" w:themeColor="text1"/>
          <w:sz w:val="24"/>
          <w:szCs w:val="24"/>
        </w:rPr>
        <w:t>Among other matters, t</w:t>
      </w:r>
      <w:r w:rsidR="007727DE" w:rsidRPr="007727DE">
        <w:rPr>
          <w:color w:val="000000" w:themeColor="text1"/>
          <w:sz w:val="24"/>
          <w:szCs w:val="24"/>
        </w:rPr>
        <w:t xml:space="preserve">he </w:t>
      </w:r>
      <w:r>
        <w:rPr>
          <w:color w:val="000000" w:themeColor="text1"/>
          <w:sz w:val="24"/>
          <w:szCs w:val="24"/>
        </w:rPr>
        <w:t xml:space="preserve">Prominence and Anti-siphoning </w:t>
      </w:r>
      <w:r w:rsidR="007727DE" w:rsidRPr="007727DE">
        <w:rPr>
          <w:color w:val="000000" w:themeColor="text1"/>
          <w:sz w:val="24"/>
          <w:szCs w:val="24"/>
        </w:rPr>
        <w:t xml:space="preserve">Act </w:t>
      </w:r>
      <w:r>
        <w:rPr>
          <w:color w:val="000000" w:themeColor="text1"/>
          <w:sz w:val="24"/>
          <w:szCs w:val="24"/>
        </w:rPr>
        <w:t xml:space="preserve">amended the Act to introduce </w:t>
      </w:r>
      <w:r w:rsidR="007727DE">
        <w:rPr>
          <w:color w:val="000000" w:themeColor="text1"/>
          <w:sz w:val="24"/>
          <w:szCs w:val="24"/>
        </w:rPr>
        <w:t>the framework</w:t>
      </w:r>
      <w:r w:rsidR="008E2FA4">
        <w:rPr>
          <w:color w:val="000000" w:themeColor="text1"/>
          <w:sz w:val="24"/>
          <w:szCs w:val="24"/>
        </w:rPr>
        <w:t xml:space="preserve"> </w:t>
      </w:r>
      <w:r w:rsidR="007727DE" w:rsidRPr="007727DE">
        <w:rPr>
          <w:color w:val="000000" w:themeColor="text1"/>
          <w:sz w:val="24"/>
          <w:szCs w:val="24"/>
        </w:rPr>
        <w:t xml:space="preserve">that will enable all Australians to easily find and </w:t>
      </w:r>
      <w:r w:rsidR="007727DE" w:rsidRPr="007727DE">
        <w:rPr>
          <w:color w:val="000000" w:themeColor="text1"/>
          <w:sz w:val="24"/>
          <w:szCs w:val="24"/>
        </w:rPr>
        <w:lastRenderedPageBreak/>
        <w:t xml:space="preserve">access free-to-air television services on new </w:t>
      </w:r>
      <w:r w:rsidR="00A67D84">
        <w:rPr>
          <w:color w:val="000000" w:themeColor="text1"/>
          <w:sz w:val="24"/>
          <w:szCs w:val="24"/>
        </w:rPr>
        <w:t>internet</w:t>
      </w:r>
      <w:r w:rsidR="00F05D4C">
        <w:rPr>
          <w:color w:val="000000" w:themeColor="text1"/>
          <w:sz w:val="24"/>
          <w:szCs w:val="24"/>
        </w:rPr>
        <w:t xml:space="preserve"> </w:t>
      </w:r>
      <w:r w:rsidR="007727DE" w:rsidRPr="007727DE">
        <w:rPr>
          <w:color w:val="000000" w:themeColor="text1"/>
          <w:sz w:val="24"/>
          <w:szCs w:val="24"/>
        </w:rPr>
        <w:t>connected television devices, such as smart televisions. The framework, as legislated, was informed by</w:t>
      </w:r>
      <w:r w:rsidR="003E2E73">
        <w:rPr>
          <w:color w:val="000000" w:themeColor="text1"/>
          <w:sz w:val="24"/>
          <w:szCs w:val="24"/>
        </w:rPr>
        <w:t xml:space="preserve"> an</w:t>
      </w:r>
      <w:r w:rsidR="007727DE" w:rsidRPr="007727DE">
        <w:rPr>
          <w:color w:val="000000" w:themeColor="text1"/>
          <w:sz w:val="24"/>
          <w:szCs w:val="24"/>
        </w:rPr>
        <w:t xml:space="preserve"> extensive </w:t>
      </w:r>
      <w:r w:rsidR="009D264A">
        <w:rPr>
          <w:color w:val="000000" w:themeColor="text1"/>
          <w:sz w:val="24"/>
          <w:szCs w:val="24"/>
        </w:rPr>
        <w:t xml:space="preserve">process of </w:t>
      </w:r>
      <w:r w:rsidR="007727DE" w:rsidRPr="007727DE">
        <w:rPr>
          <w:color w:val="000000" w:themeColor="text1"/>
          <w:sz w:val="24"/>
          <w:szCs w:val="24"/>
        </w:rPr>
        <w:t xml:space="preserve">stakeholder </w:t>
      </w:r>
      <w:r w:rsidR="009D264A">
        <w:rPr>
          <w:color w:val="000000" w:themeColor="text1"/>
          <w:sz w:val="24"/>
          <w:szCs w:val="24"/>
        </w:rPr>
        <w:t xml:space="preserve">and public </w:t>
      </w:r>
      <w:r w:rsidR="007727DE" w:rsidRPr="007727DE">
        <w:rPr>
          <w:color w:val="000000" w:themeColor="text1"/>
          <w:sz w:val="24"/>
          <w:szCs w:val="24"/>
        </w:rPr>
        <w:t>engagement.</w:t>
      </w:r>
    </w:p>
    <w:p w14:paraId="766854DF" w14:textId="3506C915" w:rsidR="00743A5F" w:rsidRDefault="00743A5F" w:rsidP="00E00750">
      <w:pPr>
        <w:rPr>
          <w:i/>
          <w:color w:val="000000" w:themeColor="text1"/>
          <w:sz w:val="24"/>
          <w:szCs w:val="24"/>
        </w:rPr>
      </w:pPr>
    </w:p>
    <w:p w14:paraId="08CE0887" w14:textId="195FCFED" w:rsidR="007727DE" w:rsidRPr="007727DE" w:rsidRDefault="007727DE" w:rsidP="00674799">
      <w:pPr>
        <w:tabs>
          <w:tab w:val="left" w:pos="1289"/>
        </w:tabs>
        <w:rPr>
          <w:color w:val="000000" w:themeColor="text1"/>
          <w:sz w:val="24"/>
          <w:szCs w:val="24"/>
        </w:rPr>
      </w:pPr>
      <w:r w:rsidRPr="007727DE">
        <w:rPr>
          <w:color w:val="000000" w:themeColor="text1"/>
          <w:sz w:val="24"/>
          <w:szCs w:val="24"/>
        </w:rPr>
        <w:t xml:space="preserve">The framework </w:t>
      </w:r>
      <w:r>
        <w:rPr>
          <w:color w:val="000000" w:themeColor="text1"/>
          <w:sz w:val="24"/>
          <w:szCs w:val="24"/>
        </w:rPr>
        <w:t>proh</w:t>
      </w:r>
      <w:r w:rsidR="004B7667">
        <w:rPr>
          <w:color w:val="000000" w:themeColor="text1"/>
          <w:sz w:val="24"/>
          <w:szCs w:val="24"/>
        </w:rPr>
        <w:t>i</w:t>
      </w:r>
      <w:r>
        <w:rPr>
          <w:color w:val="000000" w:themeColor="text1"/>
          <w:sz w:val="24"/>
          <w:szCs w:val="24"/>
        </w:rPr>
        <w:t>bits</w:t>
      </w:r>
      <w:r w:rsidRPr="007727DE">
        <w:rPr>
          <w:color w:val="000000" w:themeColor="text1"/>
          <w:sz w:val="24"/>
          <w:szCs w:val="24"/>
        </w:rPr>
        <w:t xml:space="preserve"> manufacturers of internet</w:t>
      </w:r>
      <w:r w:rsidR="00F05D4C">
        <w:rPr>
          <w:color w:val="000000" w:themeColor="text1"/>
          <w:sz w:val="24"/>
          <w:szCs w:val="24"/>
        </w:rPr>
        <w:t xml:space="preserve"> </w:t>
      </w:r>
      <w:r w:rsidRPr="007727DE">
        <w:rPr>
          <w:color w:val="000000" w:themeColor="text1"/>
          <w:sz w:val="24"/>
          <w:szCs w:val="24"/>
        </w:rPr>
        <w:t>connected television devices from suppl</w:t>
      </w:r>
      <w:r w:rsidR="00674799">
        <w:rPr>
          <w:color w:val="000000" w:themeColor="text1"/>
          <w:sz w:val="24"/>
          <w:szCs w:val="24"/>
        </w:rPr>
        <w:t>y</w:t>
      </w:r>
      <w:r w:rsidRPr="007727DE">
        <w:rPr>
          <w:color w:val="000000" w:themeColor="text1"/>
          <w:sz w:val="24"/>
          <w:szCs w:val="24"/>
        </w:rPr>
        <w:t>ing a device that does</w:t>
      </w:r>
      <w:r w:rsidR="00A67D84">
        <w:rPr>
          <w:color w:val="000000" w:themeColor="text1"/>
          <w:sz w:val="24"/>
          <w:szCs w:val="24"/>
        </w:rPr>
        <w:t xml:space="preserve"> not </w:t>
      </w:r>
      <w:r w:rsidRPr="007727DE">
        <w:rPr>
          <w:color w:val="000000" w:themeColor="text1"/>
          <w:sz w:val="24"/>
          <w:szCs w:val="24"/>
        </w:rPr>
        <w:t>comply with a set of minimum prominence requirements, and to take reasonable steps to ensure that compliance is maintained once the device is supplied.</w:t>
      </w:r>
      <w:r w:rsidR="00674799">
        <w:rPr>
          <w:color w:val="000000" w:themeColor="text1"/>
          <w:sz w:val="24"/>
          <w:szCs w:val="24"/>
        </w:rPr>
        <w:t xml:space="preserve"> </w:t>
      </w:r>
      <w:r w:rsidRPr="007727DE">
        <w:rPr>
          <w:color w:val="000000" w:themeColor="text1"/>
          <w:sz w:val="24"/>
          <w:szCs w:val="24"/>
        </w:rPr>
        <w:t xml:space="preserve">The framework </w:t>
      </w:r>
      <w:r w:rsidR="00F636F8">
        <w:rPr>
          <w:color w:val="000000" w:themeColor="text1"/>
          <w:sz w:val="24"/>
          <w:szCs w:val="24"/>
        </w:rPr>
        <w:t xml:space="preserve">also </w:t>
      </w:r>
      <w:r w:rsidRPr="007727DE">
        <w:rPr>
          <w:color w:val="000000" w:themeColor="text1"/>
          <w:sz w:val="24"/>
          <w:szCs w:val="24"/>
        </w:rPr>
        <w:t>prohibit</w:t>
      </w:r>
      <w:r>
        <w:rPr>
          <w:color w:val="000000" w:themeColor="text1"/>
          <w:sz w:val="24"/>
          <w:szCs w:val="24"/>
        </w:rPr>
        <w:t>s</w:t>
      </w:r>
      <w:r w:rsidRPr="007727DE">
        <w:rPr>
          <w:color w:val="000000" w:themeColor="text1"/>
          <w:sz w:val="24"/>
          <w:szCs w:val="24"/>
        </w:rPr>
        <w:t xml:space="preserve"> manufacturers from requiring payment or any other form of consideration from broadcasters in relation to the minimum prominence requirements</w:t>
      </w:r>
      <w:r w:rsidR="00E93366">
        <w:rPr>
          <w:color w:val="000000" w:themeColor="text1"/>
          <w:sz w:val="24"/>
          <w:szCs w:val="24"/>
        </w:rPr>
        <w:t xml:space="preserve">, and </w:t>
      </w:r>
      <w:r w:rsidR="00A55ECF">
        <w:rPr>
          <w:color w:val="000000" w:themeColor="text1"/>
          <w:sz w:val="24"/>
          <w:szCs w:val="24"/>
        </w:rPr>
        <w:t xml:space="preserve">requires manufacturers to </w:t>
      </w:r>
      <w:r w:rsidR="00E93366">
        <w:rPr>
          <w:color w:val="000000" w:themeColor="text1"/>
          <w:sz w:val="24"/>
          <w:szCs w:val="24"/>
        </w:rPr>
        <w:t xml:space="preserve">take reasonable steps to ensure that the </w:t>
      </w:r>
      <w:proofErr w:type="spellStart"/>
      <w:r w:rsidR="009912C7" w:rsidRPr="00E93366">
        <w:rPr>
          <w:color w:val="000000" w:themeColor="text1"/>
          <w:sz w:val="24"/>
          <w:szCs w:val="24"/>
        </w:rPr>
        <w:t>audiovisual</w:t>
      </w:r>
      <w:proofErr w:type="spellEnd"/>
      <w:r w:rsidR="00E93366" w:rsidRPr="00E93366">
        <w:rPr>
          <w:color w:val="000000" w:themeColor="text1"/>
          <w:sz w:val="24"/>
          <w:szCs w:val="24"/>
        </w:rPr>
        <w:t xml:space="preserve"> content provided by </w:t>
      </w:r>
      <w:r w:rsidR="00A55ECF">
        <w:rPr>
          <w:color w:val="000000" w:themeColor="text1"/>
          <w:sz w:val="24"/>
          <w:szCs w:val="24"/>
        </w:rPr>
        <w:t xml:space="preserve">a regulated television </w:t>
      </w:r>
      <w:r w:rsidR="00E93366" w:rsidRPr="00E93366">
        <w:rPr>
          <w:color w:val="000000" w:themeColor="text1"/>
          <w:sz w:val="24"/>
          <w:szCs w:val="24"/>
        </w:rPr>
        <w:t>service is not altered or interfered with</w:t>
      </w:r>
      <w:r w:rsidRPr="007727DE">
        <w:rPr>
          <w:color w:val="000000" w:themeColor="text1"/>
          <w:sz w:val="24"/>
          <w:szCs w:val="24"/>
        </w:rPr>
        <w:t xml:space="preserve">. </w:t>
      </w:r>
    </w:p>
    <w:p w14:paraId="074A9F6C" w14:textId="77777777" w:rsidR="007727DE" w:rsidRPr="007727DE" w:rsidRDefault="007727DE" w:rsidP="007727DE">
      <w:pPr>
        <w:rPr>
          <w:color w:val="000000" w:themeColor="text1"/>
          <w:sz w:val="24"/>
          <w:szCs w:val="24"/>
        </w:rPr>
      </w:pPr>
    </w:p>
    <w:p w14:paraId="57E5F3AE" w14:textId="7F278684" w:rsidR="007727DE" w:rsidRDefault="007727DE" w:rsidP="007727DE">
      <w:pPr>
        <w:rPr>
          <w:color w:val="000000" w:themeColor="text1"/>
          <w:sz w:val="24"/>
          <w:szCs w:val="24"/>
        </w:rPr>
      </w:pPr>
      <w:r w:rsidRPr="007727DE">
        <w:rPr>
          <w:color w:val="000000" w:themeColor="text1"/>
          <w:sz w:val="24"/>
          <w:szCs w:val="24"/>
        </w:rPr>
        <w:t>The framework will not prevent users at home from customising, or changing the display</w:t>
      </w:r>
      <w:r w:rsidR="008E621D">
        <w:rPr>
          <w:color w:val="000000" w:themeColor="text1"/>
          <w:sz w:val="24"/>
          <w:szCs w:val="24"/>
        </w:rPr>
        <w:t xml:space="preserve"> order,</w:t>
      </w:r>
      <w:r w:rsidRPr="007727DE">
        <w:rPr>
          <w:color w:val="000000" w:themeColor="text1"/>
          <w:sz w:val="24"/>
          <w:szCs w:val="24"/>
        </w:rPr>
        <w:t xml:space="preserve"> of apps on their screen. It will not prevent a user from removing an app they do not want on their device</w:t>
      </w:r>
      <w:r>
        <w:rPr>
          <w:color w:val="000000" w:themeColor="text1"/>
          <w:sz w:val="24"/>
          <w:szCs w:val="24"/>
        </w:rPr>
        <w:t xml:space="preserve">. </w:t>
      </w:r>
      <w:r w:rsidRPr="007727DE">
        <w:rPr>
          <w:color w:val="000000" w:themeColor="text1"/>
          <w:sz w:val="24"/>
          <w:szCs w:val="24"/>
        </w:rPr>
        <w:t xml:space="preserve">The framework will also not prevent a device manufacturer from placing their own proprietary apps in a position on the </w:t>
      </w:r>
      <w:r w:rsidR="00663C75">
        <w:rPr>
          <w:color w:val="000000" w:themeColor="text1"/>
          <w:sz w:val="24"/>
          <w:szCs w:val="24"/>
        </w:rPr>
        <w:t>PUI</w:t>
      </w:r>
      <w:r w:rsidRPr="007727DE">
        <w:rPr>
          <w:color w:val="000000" w:themeColor="text1"/>
          <w:sz w:val="24"/>
          <w:szCs w:val="24"/>
        </w:rPr>
        <w:t xml:space="preserve"> that they consider to be the most important spot</w:t>
      </w:r>
      <w:r w:rsidR="00663C75">
        <w:rPr>
          <w:color w:val="000000" w:themeColor="text1"/>
          <w:sz w:val="24"/>
          <w:szCs w:val="24"/>
        </w:rPr>
        <w:t xml:space="preserve">, provided that the minimum prominence </w:t>
      </w:r>
      <w:r w:rsidR="008E621D">
        <w:rPr>
          <w:color w:val="000000" w:themeColor="text1"/>
          <w:sz w:val="24"/>
          <w:szCs w:val="24"/>
        </w:rPr>
        <w:t>requirements</w:t>
      </w:r>
      <w:r w:rsidR="00663C75">
        <w:rPr>
          <w:color w:val="000000" w:themeColor="text1"/>
          <w:sz w:val="24"/>
          <w:szCs w:val="24"/>
        </w:rPr>
        <w:t xml:space="preserve"> are upheld. </w:t>
      </w:r>
    </w:p>
    <w:p w14:paraId="6E28F62F" w14:textId="77777777" w:rsidR="007727DE" w:rsidRPr="007727DE" w:rsidRDefault="007727DE" w:rsidP="007727DE">
      <w:pPr>
        <w:rPr>
          <w:color w:val="000000" w:themeColor="text1"/>
          <w:sz w:val="24"/>
          <w:szCs w:val="24"/>
        </w:rPr>
      </w:pPr>
    </w:p>
    <w:p w14:paraId="756A376F" w14:textId="72949131" w:rsidR="007727DE" w:rsidRPr="007727DE" w:rsidRDefault="007727DE" w:rsidP="007727DE">
      <w:pPr>
        <w:rPr>
          <w:color w:val="000000" w:themeColor="text1"/>
          <w:sz w:val="24"/>
          <w:szCs w:val="24"/>
        </w:rPr>
      </w:pPr>
      <w:r w:rsidRPr="007727DE">
        <w:rPr>
          <w:color w:val="000000" w:themeColor="text1"/>
          <w:sz w:val="24"/>
          <w:szCs w:val="24"/>
        </w:rPr>
        <w:t xml:space="preserve">This balanced approach ensures free-to-air broadcasting services continue to be available on </w:t>
      </w:r>
      <w:r w:rsidR="008E621D">
        <w:rPr>
          <w:color w:val="000000" w:themeColor="text1"/>
          <w:sz w:val="24"/>
          <w:szCs w:val="24"/>
        </w:rPr>
        <w:t xml:space="preserve">internet </w:t>
      </w:r>
      <w:r w:rsidRPr="007727DE">
        <w:rPr>
          <w:color w:val="000000" w:themeColor="text1"/>
          <w:sz w:val="24"/>
          <w:szCs w:val="24"/>
        </w:rPr>
        <w:t xml:space="preserve">connected </w:t>
      </w:r>
      <w:r w:rsidR="00A67D84">
        <w:rPr>
          <w:color w:val="000000" w:themeColor="text1"/>
          <w:sz w:val="24"/>
          <w:szCs w:val="24"/>
        </w:rPr>
        <w:t xml:space="preserve">television </w:t>
      </w:r>
      <w:r w:rsidRPr="007727DE">
        <w:rPr>
          <w:color w:val="000000" w:themeColor="text1"/>
          <w:sz w:val="24"/>
          <w:szCs w:val="24"/>
        </w:rPr>
        <w:t>devices to consumers, without imposing significant burdens on manufacturers or distorting consumer choices.</w:t>
      </w:r>
    </w:p>
    <w:bookmarkEnd w:id="2"/>
    <w:p w14:paraId="260E6410" w14:textId="77777777" w:rsidR="00E57FAE" w:rsidRPr="00534DF3" w:rsidRDefault="00E57FAE" w:rsidP="001C0BCA">
      <w:pPr>
        <w:rPr>
          <w:color w:val="000000" w:themeColor="text1"/>
          <w:sz w:val="24"/>
          <w:szCs w:val="24"/>
        </w:rPr>
      </w:pPr>
    </w:p>
    <w:p w14:paraId="593511C7" w14:textId="77777777" w:rsidR="001A1ED0" w:rsidRPr="00534DF3" w:rsidRDefault="001A1ED0" w:rsidP="001C0BCA">
      <w:pPr>
        <w:rPr>
          <w:bCs/>
          <w:color w:val="000000" w:themeColor="text1"/>
          <w:sz w:val="24"/>
          <w:szCs w:val="24"/>
          <w:u w:val="single"/>
        </w:rPr>
      </w:pPr>
      <w:r w:rsidRPr="00534DF3">
        <w:rPr>
          <w:color w:val="000000" w:themeColor="text1"/>
          <w:sz w:val="24"/>
          <w:szCs w:val="24"/>
          <w:u w:val="single"/>
        </w:rPr>
        <w:t>Consultation</w:t>
      </w:r>
    </w:p>
    <w:p w14:paraId="63F7EC89" w14:textId="047B1626" w:rsidR="001A1ED0" w:rsidRDefault="001A1ED0" w:rsidP="001A1ED0">
      <w:pPr>
        <w:ind w:right="91"/>
        <w:rPr>
          <w:color w:val="000000" w:themeColor="text1"/>
          <w:sz w:val="24"/>
          <w:szCs w:val="24"/>
        </w:rPr>
      </w:pPr>
    </w:p>
    <w:p w14:paraId="51AD22A5" w14:textId="12C9E7BB" w:rsidR="00324CA2" w:rsidRDefault="00324CA2" w:rsidP="008554B0">
      <w:pPr>
        <w:ind w:right="91"/>
        <w:rPr>
          <w:color w:val="000000" w:themeColor="text1"/>
          <w:sz w:val="24"/>
          <w:szCs w:val="24"/>
        </w:rPr>
      </w:pPr>
      <w:r w:rsidRPr="00324CA2">
        <w:rPr>
          <w:color w:val="000000" w:themeColor="text1"/>
          <w:sz w:val="24"/>
          <w:szCs w:val="24"/>
        </w:rPr>
        <w:t xml:space="preserve">Extensive consultation was undertaken to support the design of the framework and the passage of the Bill containing the framework. </w:t>
      </w:r>
      <w:r w:rsidR="008E621D">
        <w:rPr>
          <w:color w:val="000000" w:themeColor="text1"/>
          <w:sz w:val="24"/>
          <w:szCs w:val="24"/>
        </w:rPr>
        <w:t>As</w:t>
      </w:r>
      <w:r w:rsidRPr="00324CA2">
        <w:rPr>
          <w:color w:val="000000" w:themeColor="text1"/>
          <w:sz w:val="24"/>
          <w:szCs w:val="24"/>
        </w:rPr>
        <w:t xml:space="preserve"> legislated</w:t>
      </w:r>
      <w:r w:rsidR="008E621D">
        <w:rPr>
          <w:color w:val="000000" w:themeColor="text1"/>
          <w:sz w:val="24"/>
          <w:szCs w:val="24"/>
        </w:rPr>
        <w:t>, the framework</w:t>
      </w:r>
      <w:r w:rsidRPr="00324CA2">
        <w:rPr>
          <w:color w:val="000000" w:themeColor="text1"/>
          <w:sz w:val="24"/>
          <w:szCs w:val="24"/>
        </w:rPr>
        <w:t xml:space="preserve"> incorporates and has been informed by the feedback and views put forward through these consultation processes. </w:t>
      </w:r>
    </w:p>
    <w:p w14:paraId="4F430425" w14:textId="77777777" w:rsidR="008554B0" w:rsidRDefault="008554B0" w:rsidP="008554B0">
      <w:pPr>
        <w:ind w:right="91"/>
        <w:rPr>
          <w:color w:val="000000" w:themeColor="text1"/>
          <w:sz w:val="24"/>
          <w:szCs w:val="24"/>
        </w:rPr>
      </w:pPr>
    </w:p>
    <w:p w14:paraId="2200BACB" w14:textId="77777777" w:rsidR="008554B0" w:rsidRDefault="008554B0" w:rsidP="008554B0">
      <w:pPr>
        <w:ind w:right="91"/>
        <w:rPr>
          <w:color w:val="000000" w:themeColor="text1"/>
          <w:sz w:val="24"/>
          <w:szCs w:val="24"/>
        </w:rPr>
      </w:pPr>
      <w:r w:rsidRPr="008554B0">
        <w:rPr>
          <w:color w:val="000000" w:themeColor="text1"/>
          <w:sz w:val="24"/>
          <w:szCs w:val="24"/>
        </w:rPr>
        <w:t>Two consecutive consultation processes were undertaken in 2022 and 2023, providing all stakeholders and the public with the opportunity to contribute to the development of the framework.</w:t>
      </w:r>
    </w:p>
    <w:p w14:paraId="5100E130" w14:textId="77777777" w:rsidR="00B63963" w:rsidRDefault="00B63963" w:rsidP="00B63963">
      <w:pPr>
        <w:pStyle w:val="ListParagraph"/>
        <w:ind w:left="357" w:right="91"/>
        <w:contextualSpacing w:val="0"/>
        <w:rPr>
          <w:color w:val="000000" w:themeColor="text1"/>
          <w:sz w:val="24"/>
          <w:szCs w:val="24"/>
        </w:rPr>
      </w:pPr>
    </w:p>
    <w:p w14:paraId="0FBA7258" w14:textId="56994535" w:rsidR="008554B0" w:rsidRPr="00FA57C1" w:rsidRDefault="008554B0" w:rsidP="00B63963">
      <w:pPr>
        <w:pStyle w:val="ListParagraph"/>
        <w:numPr>
          <w:ilvl w:val="0"/>
          <w:numId w:val="41"/>
        </w:numPr>
        <w:ind w:left="357" w:right="91" w:hanging="357"/>
        <w:contextualSpacing w:val="0"/>
        <w:rPr>
          <w:color w:val="000000" w:themeColor="text1"/>
          <w:sz w:val="24"/>
          <w:szCs w:val="24"/>
        </w:rPr>
      </w:pPr>
      <w:r w:rsidRPr="00FA57C1">
        <w:rPr>
          <w:color w:val="000000" w:themeColor="text1"/>
          <w:sz w:val="24"/>
          <w:szCs w:val="24"/>
        </w:rPr>
        <w:t xml:space="preserve">In August 2022, the Government engaged a wide range of stakeholders – including members of the Future of Broadcasting Working Group – to support the initial design and scoping work for the prominence framework. This was supported with the release of a background paper that sought submissions by October 2022.  </w:t>
      </w:r>
    </w:p>
    <w:p w14:paraId="0A9B3449" w14:textId="77777777" w:rsidR="00B63963" w:rsidRDefault="00B63963" w:rsidP="00B63963">
      <w:pPr>
        <w:pStyle w:val="ListParagraph"/>
        <w:ind w:left="357" w:right="91"/>
        <w:contextualSpacing w:val="0"/>
        <w:rPr>
          <w:color w:val="000000" w:themeColor="text1"/>
          <w:sz w:val="24"/>
          <w:szCs w:val="24"/>
        </w:rPr>
      </w:pPr>
    </w:p>
    <w:p w14:paraId="3B73317C" w14:textId="2F748A50" w:rsidR="008554B0" w:rsidRPr="00FA57C1" w:rsidRDefault="008554B0" w:rsidP="00B63963">
      <w:pPr>
        <w:pStyle w:val="ListParagraph"/>
        <w:numPr>
          <w:ilvl w:val="0"/>
          <w:numId w:val="41"/>
        </w:numPr>
        <w:ind w:left="357" w:right="91" w:hanging="357"/>
        <w:contextualSpacing w:val="0"/>
        <w:rPr>
          <w:color w:val="000000" w:themeColor="text1"/>
          <w:sz w:val="24"/>
          <w:szCs w:val="24"/>
        </w:rPr>
      </w:pPr>
      <w:r w:rsidRPr="00FA57C1">
        <w:rPr>
          <w:color w:val="000000" w:themeColor="text1"/>
          <w:sz w:val="24"/>
          <w:szCs w:val="24"/>
        </w:rPr>
        <w:t xml:space="preserve">On 23 December 2022, a proposals paper was released, informed by the earlier stakeholder engagement seeking views on the television services to be afforded prominence, scope of devices to be regulated, entities responsible for compliance, regulatory models and legislative mechanisms. The consultation period for written submissions </w:t>
      </w:r>
      <w:r w:rsidR="008E621D">
        <w:rPr>
          <w:color w:val="000000" w:themeColor="text1"/>
          <w:sz w:val="24"/>
          <w:szCs w:val="24"/>
        </w:rPr>
        <w:t xml:space="preserve">ran through to </w:t>
      </w:r>
      <w:r w:rsidRPr="00FA57C1">
        <w:rPr>
          <w:color w:val="000000" w:themeColor="text1"/>
          <w:sz w:val="24"/>
          <w:szCs w:val="24"/>
        </w:rPr>
        <w:t xml:space="preserve">March 2023. </w:t>
      </w:r>
    </w:p>
    <w:p w14:paraId="19523090" w14:textId="77777777" w:rsidR="008554B0" w:rsidRDefault="008554B0" w:rsidP="008554B0">
      <w:pPr>
        <w:ind w:right="91"/>
        <w:rPr>
          <w:color w:val="000000" w:themeColor="text1"/>
          <w:sz w:val="24"/>
          <w:szCs w:val="24"/>
        </w:rPr>
      </w:pPr>
    </w:p>
    <w:p w14:paraId="0CD91F5A" w14:textId="33D30E71" w:rsidR="008E621D" w:rsidRDefault="008554B0" w:rsidP="008554B0">
      <w:pPr>
        <w:ind w:right="91"/>
        <w:rPr>
          <w:color w:val="000000" w:themeColor="text1"/>
          <w:sz w:val="24"/>
          <w:szCs w:val="24"/>
        </w:rPr>
      </w:pPr>
      <w:r w:rsidRPr="008554B0">
        <w:rPr>
          <w:color w:val="000000" w:themeColor="text1"/>
          <w:sz w:val="24"/>
          <w:szCs w:val="24"/>
        </w:rPr>
        <w:t xml:space="preserve">The </w:t>
      </w:r>
      <w:r w:rsidR="00055512">
        <w:rPr>
          <w:color w:val="000000" w:themeColor="text1"/>
          <w:sz w:val="24"/>
          <w:szCs w:val="24"/>
        </w:rPr>
        <w:t>Act</w:t>
      </w:r>
      <w:r w:rsidRPr="008554B0">
        <w:rPr>
          <w:color w:val="000000" w:themeColor="text1"/>
          <w:sz w:val="24"/>
          <w:szCs w:val="24"/>
        </w:rPr>
        <w:t xml:space="preserve"> provides that regulations can prescribe the minimum prominence requirements that </w:t>
      </w:r>
      <w:r w:rsidR="008E621D">
        <w:rPr>
          <w:color w:val="000000" w:themeColor="text1"/>
          <w:sz w:val="24"/>
          <w:szCs w:val="24"/>
        </w:rPr>
        <w:t xml:space="preserve">internet </w:t>
      </w:r>
      <w:r w:rsidRPr="008554B0">
        <w:rPr>
          <w:color w:val="000000" w:themeColor="text1"/>
          <w:sz w:val="24"/>
          <w:szCs w:val="24"/>
        </w:rPr>
        <w:t xml:space="preserve">connected television devices must comply with. An exposure draft of the regulations was released on 6 February 2024 to assist and inform </w:t>
      </w:r>
      <w:r w:rsidR="008E621D">
        <w:rPr>
          <w:color w:val="000000" w:themeColor="text1"/>
          <w:sz w:val="24"/>
          <w:szCs w:val="24"/>
        </w:rPr>
        <w:t xml:space="preserve">Parliamentary consideration of the </w:t>
      </w:r>
      <w:r w:rsidR="008E621D" w:rsidRPr="003D4888">
        <w:rPr>
          <w:i/>
          <w:color w:val="000000" w:themeColor="text1"/>
          <w:sz w:val="24"/>
          <w:szCs w:val="24"/>
        </w:rPr>
        <w:t>Communications Legislation Amendment (Prominence and Anti-siphoning) Bill</w:t>
      </w:r>
      <w:r w:rsidR="008E621D">
        <w:rPr>
          <w:color w:val="000000" w:themeColor="text1"/>
          <w:sz w:val="24"/>
          <w:szCs w:val="24"/>
        </w:rPr>
        <w:t xml:space="preserve"> </w:t>
      </w:r>
      <w:r w:rsidR="008E621D" w:rsidRPr="003D4888">
        <w:rPr>
          <w:i/>
          <w:color w:val="000000" w:themeColor="text1"/>
          <w:sz w:val="24"/>
          <w:szCs w:val="24"/>
        </w:rPr>
        <w:t>202</w:t>
      </w:r>
      <w:r w:rsidR="00147AE8">
        <w:rPr>
          <w:i/>
          <w:color w:val="000000" w:themeColor="text1"/>
          <w:sz w:val="24"/>
          <w:szCs w:val="24"/>
        </w:rPr>
        <w:t>3</w:t>
      </w:r>
      <w:r w:rsidR="008E621D" w:rsidRPr="003D4888">
        <w:rPr>
          <w:i/>
          <w:color w:val="000000" w:themeColor="text1"/>
          <w:sz w:val="24"/>
          <w:szCs w:val="24"/>
        </w:rPr>
        <w:t xml:space="preserve"> (</w:t>
      </w:r>
      <w:r w:rsidR="008E621D">
        <w:rPr>
          <w:color w:val="000000" w:themeColor="text1"/>
          <w:sz w:val="24"/>
          <w:szCs w:val="24"/>
        </w:rPr>
        <w:t xml:space="preserve">the Bill).  </w:t>
      </w:r>
    </w:p>
    <w:p w14:paraId="46CC982B" w14:textId="77777777" w:rsidR="00D46382" w:rsidRDefault="00D46382" w:rsidP="00845462">
      <w:pPr>
        <w:ind w:right="91"/>
        <w:rPr>
          <w:color w:val="000000" w:themeColor="text1"/>
          <w:sz w:val="24"/>
          <w:szCs w:val="24"/>
          <w:shd w:val="clear" w:color="auto" w:fill="FFFFFF"/>
        </w:rPr>
      </w:pPr>
    </w:p>
    <w:p w14:paraId="02ACA41F" w14:textId="761CB805" w:rsidR="00D4671F" w:rsidRDefault="00845462" w:rsidP="00845462">
      <w:pPr>
        <w:ind w:right="91"/>
        <w:rPr>
          <w:color w:val="000000" w:themeColor="text1"/>
          <w:sz w:val="24"/>
          <w:szCs w:val="24"/>
          <w:shd w:val="clear" w:color="auto" w:fill="FFFFFF"/>
        </w:rPr>
      </w:pPr>
      <w:r>
        <w:rPr>
          <w:color w:val="000000" w:themeColor="text1"/>
          <w:sz w:val="24"/>
          <w:szCs w:val="24"/>
          <w:shd w:val="clear" w:color="auto" w:fill="FFFFFF"/>
        </w:rPr>
        <w:t xml:space="preserve">The development of </w:t>
      </w:r>
      <w:r w:rsidR="00DC0239">
        <w:rPr>
          <w:color w:val="000000" w:themeColor="text1"/>
          <w:sz w:val="24"/>
          <w:szCs w:val="24"/>
          <w:shd w:val="clear" w:color="auto" w:fill="FFFFFF"/>
        </w:rPr>
        <w:t>R</w:t>
      </w:r>
      <w:r>
        <w:rPr>
          <w:color w:val="000000" w:themeColor="text1"/>
          <w:sz w:val="24"/>
          <w:szCs w:val="24"/>
          <w:shd w:val="clear" w:color="auto" w:fill="FFFFFF"/>
        </w:rPr>
        <w:t xml:space="preserve">egulations </w:t>
      </w:r>
      <w:r w:rsidR="00DC0239">
        <w:rPr>
          <w:color w:val="000000" w:themeColor="text1"/>
          <w:sz w:val="24"/>
          <w:szCs w:val="24"/>
          <w:shd w:val="clear" w:color="auto" w:fill="FFFFFF"/>
        </w:rPr>
        <w:t>has</w:t>
      </w:r>
      <w:r w:rsidRPr="00845462">
        <w:rPr>
          <w:color w:val="000000" w:themeColor="text1"/>
          <w:sz w:val="24"/>
          <w:szCs w:val="24"/>
          <w:shd w:val="clear" w:color="auto" w:fill="FFFFFF"/>
        </w:rPr>
        <w:t xml:space="preserve"> be</w:t>
      </w:r>
      <w:r>
        <w:rPr>
          <w:color w:val="000000" w:themeColor="text1"/>
          <w:sz w:val="24"/>
          <w:szCs w:val="24"/>
          <w:shd w:val="clear" w:color="auto" w:fill="FFFFFF"/>
        </w:rPr>
        <w:t xml:space="preserve">en </w:t>
      </w:r>
      <w:r w:rsidRPr="00845462">
        <w:rPr>
          <w:color w:val="000000" w:themeColor="text1"/>
          <w:sz w:val="24"/>
          <w:szCs w:val="24"/>
          <w:shd w:val="clear" w:color="auto" w:fill="FFFFFF"/>
        </w:rPr>
        <w:t xml:space="preserve">informed by: </w:t>
      </w:r>
    </w:p>
    <w:p w14:paraId="019ACA0D" w14:textId="77777777" w:rsidR="00B63963" w:rsidRDefault="00B63963" w:rsidP="00B63963">
      <w:pPr>
        <w:pStyle w:val="ListParagraph"/>
        <w:ind w:left="357" w:right="91"/>
        <w:contextualSpacing w:val="0"/>
        <w:rPr>
          <w:color w:val="000000" w:themeColor="text1"/>
          <w:sz w:val="24"/>
          <w:szCs w:val="24"/>
          <w:shd w:val="clear" w:color="auto" w:fill="FFFFFF"/>
        </w:rPr>
      </w:pPr>
    </w:p>
    <w:p w14:paraId="292B36C6" w14:textId="7A1417D3" w:rsidR="00803376" w:rsidRPr="007A7F11" w:rsidRDefault="00663C75" w:rsidP="00B63963">
      <w:pPr>
        <w:pStyle w:val="ListParagraph"/>
        <w:numPr>
          <w:ilvl w:val="0"/>
          <w:numId w:val="42"/>
        </w:numPr>
        <w:ind w:left="357" w:right="91" w:hanging="357"/>
        <w:contextualSpacing w:val="0"/>
        <w:rPr>
          <w:color w:val="000000" w:themeColor="text1"/>
          <w:sz w:val="24"/>
          <w:szCs w:val="24"/>
          <w:shd w:val="clear" w:color="auto" w:fill="FFFFFF"/>
        </w:rPr>
      </w:pPr>
      <w:r>
        <w:rPr>
          <w:color w:val="000000" w:themeColor="text1"/>
          <w:sz w:val="24"/>
          <w:szCs w:val="24"/>
          <w:shd w:val="clear" w:color="auto" w:fill="FFFFFF"/>
        </w:rPr>
        <w:lastRenderedPageBreak/>
        <w:t>t</w:t>
      </w:r>
      <w:r w:rsidR="00803376" w:rsidRPr="007A7F11">
        <w:rPr>
          <w:color w:val="000000" w:themeColor="text1"/>
          <w:sz w:val="24"/>
          <w:szCs w:val="24"/>
          <w:shd w:val="clear" w:color="auto" w:fill="FFFFFF"/>
        </w:rPr>
        <w:t>he exposure draft released in February 2024</w:t>
      </w:r>
      <w:r w:rsidR="005E7645">
        <w:rPr>
          <w:color w:val="000000" w:themeColor="text1"/>
          <w:sz w:val="24"/>
          <w:szCs w:val="24"/>
          <w:shd w:val="clear" w:color="auto" w:fill="FFFFFF"/>
        </w:rPr>
        <w:t>;</w:t>
      </w:r>
    </w:p>
    <w:p w14:paraId="5D78A9E5" w14:textId="77777777" w:rsidR="00B63963" w:rsidRDefault="00B63963" w:rsidP="00B63963">
      <w:pPr>
        <w:pStyle w:val="ListParagraph"/>
        <w:ind w:left="357" w:right="91"/>
        <w:contextualSpacing w:val="0"/>
        <w:rPr>
          <w:color w:val="000000" w:themeColor="text1"/>
          <w:sz w:val="24"/>
          <w:szCs w:val="24"/>
          <w:shd w:val="clear" w:color="auto" w:fill="FFFFFF"/>
        </w:rPr>
      </w:pPr>
    </w:p>
    <w:p w14:paraId="52BC79D0" w14:textId="65B9A6E8" w:rsidR="00D4671F" w:rsidRPr="00FA57C1" w:rsidRDefault="00663C75" w:rsidP="00B63963">
      <w:pPr>
        <w:pStyle w:val="ListParagraph"/>
        <w:numPr>
          <w:ilvl w:val="0"/>
          <w:numId w:val="42"/>
        </w:numPr>
        <w:ind w:left="357" w:right="91" w:hanging="357"/>
        <w:contextualSpacing w:val="0"/>
        <w:rPr>
          <w:color w:val="000000" w:themeColor="text1"/>
          <w:sz w:val="24"/>
          <w:szCs w:val="24"/>
          <w:shd w:val="clear" w:color="auto" w:fill="FFFFFF"/>
        </w:rPr>
      </w:pPr>
      <w:r>
        <w:rPr>
          <w:color w:val="000000" w:themeColor="text1"/>
          <w:sz w:val="24"/>
          <w:szCs w:val="24"/>
          <w:shd w:val="clear" w:color="auto" w:fill="FFFFFF"/>
        </w:rPr>
        <w:t>t</w:t>
      </w:r>
      <w:r w:rsidR="00845462" w:rsidRPr="00FA57C1">
        <w:rPr>
          <w:color w:val="000000" w:themeColor="text1"/>
          <w:sz w:val="24"/>
          <w:szCs w:val="24"/>
          <w:shd w:val="clear" w:color="auto" w:fill="FFFFFF"/>
        </w:rPr>
        <w:t xml:space="preserve">he issues and proposals raised through the inquiry conducted into the Bill by the </w:t>
      </w:r>
      <w:r w:rsidR="00DC0239" w:rsidRPr="00FA57C1">
        <w:rPr>
          <w:color w:val="000000" w:themeColor="text1"/>
          <w:sz w:val="24"/>
          <w:szCs w:val="24"/>
          <w:shd w:val="clear" w:color="auto" w:fill="FFFFFF"/>
        </w:rPr>
        <w:t>Senate Environment</w:t>
      </w:r>
      <w:r w:rsidR="00845462" w:rsidRPr="00FA57C1">
        <w:rPr>
          <w:color w:val="000000" w:themeColor="text1"/>
          <w:sz w:val="24"/>
          <w:szCs w:val="24"/>
          <w:shd w:val="clear" w:color="auto" w:fill="FFFFFF"/>
        </w:rPr>
        <w:t xml:space="preserve"> and Communications Legislation Committee</w:t>
      </w:r>
      <w:r w:rsidR="005E7645">
        <w:rPr>
          <w:color w:val="000000" w:themeColor="text1"/>
          <w:sz w:val="24"/>
          <w:szCs w:val="24"/>
          <w:shd w:val="clear" w:color="auto" w:fill="FFFFFF"/>
        </w:rPr>
        <w:t>; and</w:t>
      </w:r>
    </w:p>
    <w:p w14:paraId="0D82A88C" w14:textId="77777777" w:rsidR="00B63963" w:rsidRDefault="00B63963" w:rsidP="00B63963">
      <w:pPr>
        <w:pStyle w:val="ListParagraph"/>
        <w:ind w:left="357" w:right="91"/>
        <w:contextualSpacing w:val="0"/>
        <w:rPr>
          <w:color w:val="000000" w:themeColor="text1"/>
          <w:sz w:val="24"/>
          <w:szCs w:val="24"/>
          <w:shd w:val="clear" w:color="auto" w:fill="FFFFFF"/>
        </w:rPr>
      </w:pPr>
    </w:p>
    <w:p w14:paraId="2BFCC798" w14:textId="14AC310B" w:rsidR="00845462" w:rsidRPr="00FA57C1" w:rsidRDefault="00663C75" w:rsidP="00B63963">
      <w:pPr>
        <w:pStyle w:val="ListParagraph"/>
        <w:numPr>
          <w:ilvl w:val="0"/>
          <w:numId w:val="42"/>
        </w:numPr>
        <w:ind w:left="357" w:right="91" w:hanging="357"/>
        <w:contextualSpacing w:val="0"/>
        <w:rPr>
          <w:color w:val="000000" w:themeColor="text1"/>
          <w:sz w:val="24"/>
          <w:szCs w:val="24"/>
          <w:shd w:val="clear" w:color="auto" w:fill="FFFFFF"/>
        </w:rPr>
      </w:pPr>
      <w:r>
        <w:rPr>
          <w:color w:val="000000" w:themeColor="text1"/>
          <w:sz w:val="24"/>
          <w:szCs w:val="24"/>
          <w:shd w:val="clear" w:color="auto" w:fill="FFFFFF"/>
        </w:rPr>
        <w:t>t</w:t>
      </w:r>
      <w:r w:rsidR="00845462" w:rsidRPr="00FA57C1">
        <w:rPr>
          <w:color w:val="000000" w:themeColor="text1"/>
          <w:sz w:val="24"/>
          <w:szCs w:val="24"/>
          <w:shd w:val="clear" w:color="auto" w:fill="FFFFFF"/>
        </w:rPr>
        <w:t xml:space="preserve">he views and perspectives raised by various stakeholders in the consultation </w:t>
      </w:r>
      <w:r w:rsidR="008E621D">
        <w:rPr>
          <w:color w:val="000000" w:themeColor="text1"/>
          <w:sz w:val="24"/>
          <w:szCs w:val="24"/>
          <w:shd w:val="clear" w:color="auto" w:fill="FFFFFF"/>
        </w:rPr>
        <w:t>initiated</w:t>
      </w:r>
      <w:r w:rsidR="00845462" w:rsidRPr="00FA57C1">
        <w:rPr>
          <w:color w:val="000000" w:themeColor="text1"/>
          <w:sz w:val="24"/>
          <w:szCs w:val="24"/>
          <w:shd w:val="clear" w:color="auto" w:fill="FFFFFF"/>
        </w:rPr>
        <w:t xml:space="preserve"> by the </w:t>
      </w:r>
      <w:r w:rsidR="00A67D84">
        <w:rPr>
          <w:color w:val="000000" w:themeColor="text1"/>
          <w:sz w:val="24"/>
          <w:szCs w:val="24"/>
          <w:shd w:val="clear" w:color="auto" w:fill="FFFFFF"/>
        </w:rPr>
        <w:t xml:space="preserve">Australian Communications and Media Authority (the </w:t>
      </w:r>
      <w:r w:rsidR="00845462" w:rsidRPr="00FA57C1">
        <w:rPr>
          <w:color w:val="000000" w:themeColor="text1"/>
          <w:sz w:val="24"/>
          <w:szCs w:val="24"/>
          <w:shd w:val="clear" w:color="auto" w:fill="FFFFFF"/>
        </w:rPr>
        <w:t>ACMA</w:t>
      </w:r>
      <w:r w:rsidR="00A67D84">
        <w:rPr>
          <w:color w:val="000000" w:themeColor="text1"/>
          <w:sz w:val="24"/>
          <w:szCs w:val="24"/>
          <w:shd w:val="clear" w:color="auto" w:fill="FFFFFF"/>
        </w:rPr>
        <w:t>)</w:t>
      </w:r>
      <w:r w:rsidR="00845462" w:rsidRPr="00FA57C1">
        <w:rPr>
          <w:color w:val="000000" w:themeColor="text1"/>
          <w:sz w:val="24"/>
          <w:szCs w:val="24"/>
          <w:shd w:val="clear" w:color="auto" w:fill="FFFFFF"/>
        </w:rPr>
        <w:t xml:space="preserve"> </w:t>
      </w:r>
      <w:r w:rsidR="008E621D">
        <w:rPr>
          <w:color w:val="000000" w:themeColor="text1"/>
          <w:sz w:val="24"/>
          <w:szCs w:val="24"/>
          <w:shd w:val="clear" w:color="auto" w:fill="FFFFFF"/>
        </w:rPr>
        <w:t xml:space="preserve">in September 2024 </w:t>
      </w:r>
      <w:r w:rsidR="00845462" w:rsidRPr="00FA57C1">
        <w:rPr>
          <w:color w:val="000000" w:themeColor="text1"/>
          <w:sz w:val="24"/>
          <w:szCs w:val="24"/>
          <w:shd w:val="clear" w:color="auto" w:fill="FFFFFF"/>
        </w:rPr>
        <w:t>with respect to potential</w:t>
      </w:r>
      <w:r w:rsidR="00FA56A5">
        <w:rPr>
          <w:color w:val="000000" w:themeColor="text1"/>
          <w:sz w:val="24"/>
          <w:szCs w:val="24"/>
          <w:shd w:val="clear" w:color="auto" w:fill="FFFFFF"/>
        </w:rPr>
        <w:t xml:space="preserve"> legislative</w:t>
      </w:r>
      <w:r w:rsidR="00845462" w:rsidRPr="00FA57C1">
        <w:rPr>
          <w:color w:val="000000" w:themeColor="text1"/>
          <w:sz w:val="24"/>
          <w:szCs w:val="24"/>
          <w:shd w:val="clear" w:color="auto" w:fill="FFFFFF"/>
        </w:rPr>
        <w:t xml:space="preserve"> instruments that may be made under the framework</w:t>
      </w:r>
      <w:r w:rsidR="000C3DDE">
        <w:rPr>
          <w:color w:val="000000" w:themeColor="text1"/>
          <w:sz w:val="24"/>
          <w:szCs w:val="24"/>
          <w:shd w:val="clear" w:color="auto" w:fill="FFFFFF"/>
        </w:rPr>
        <w:t>.</w:t>
      </w:r>
    </w:p>
    <w:p w14:paraId="27B04AD0" w14:textId="77777777" w:rsidR="00BA74F2" w:rsidRPr="00D4671F" w:rsidRDefault="00BA74F2" w:rsidP="00BA74F2">
      <w:pPr>
        <w:pStyle w:val="ListParagraph"/>
        <w:ind w:left="1080" w:right="91"/>
        <w:rPr>
          <w:color w:val="000000" w:themeColor="text1"/>
          <w:sz w:val="24"/>
          <w:szCs w:val="24"/>
          <w:shd w:val="clear" w:color="auto" w:fill="FFFFFF"/>
        </w:rPr>
      </w:pPr>
    </w:p>
    <w:p w14:paraId="63D6A23F" w14:textId="77777777" w:rsidR="008D1DB0" w:rsidRPr="00203CB7" w:rsidRDefault="002374A8" w:rsidP="001C0BCA">
      <w:pPr>
        <w:rPr>
          <w:color w:val="000000" w:themeColor="text1"/>
          <w:sz w:val="24"/>
          <w:szCs w:val="24"/>
          <w:u w:val="single"/>
        </w:rPr>
      </w:pPr>
      <w:r w:rsidRPr="00203CB7">
        <w:rPr>
          <w:color w:val="000000" w:themeColor="text1"/>
          <w:sz w:val="24"/>
          <w:szCs w:val="24"/>
          <w:u w:val="single"/>
        </w:rPr>
        <w:t xml:space="preserve">Regulatory </w:t>
      </w:r>
      <w:r w:rsidR="00EB6FBD" w:rsidRPr="00203CB7">
        <w:rPr>
          <w:color w:val="000000" w:themeColor="text1"/>
          <w:sz w:val="24"/>
          <w:szCs w:val="24"/>
          <w:u w:val="single"/>
        </w:rPr>
        <w:t>impact analysis</w:t>
      </w:r>
    </w:p>
    <w:p w14:paraId="3C1B4492" w14:textId="3132DA97" w:rsidR="001C0BCA" w:rsidRDefault="001C0BCA" w:rsidP="001C0BCA">
      <w:pPr>
        <w:ind w:right="91"/>
        <w:rPr>
          <w:color w:val="000000" w:themeColor="text1"/>
          <w:sz w:val="24"/>
          <w:szCs w:val="24"/>
        </w:rPr>
      </w:pPr>
      <w:bookmarkStart w:id="4" w:name="_Hlk129775427"/>
    </w:p>
    <w:p w14:paraId="06F8A235" w14:textId="7B0CECD3" w:rsidR="00BA74F2" w:rsidRPr="00203CB7" w:rsidRDefault="00BA74F2" w:rsidP="001C0BCA">
      <w:pPr>
        <w:ind w:right="91"/>
        <w:rPr>
          <w:color w:val="000000" w:themeColor="text1"/>
          <w:sz w:val="24"/>
          <w:szCs w:val="24"/>
        </w:rPr>
      </w:pPr>
      <w:r>
        <w:rPr>
          <w:color w:val="000000" w:themeColor="text1"/>
          <w:sz w:val="24"/>
          <w:szCs w:val="24"/>
        </w:rPr>
        <w:t xml:space="preserve">An Impact Analysis has been undertaken. The OIA reference number is </w:t>
      </w:r>
      <w:r w:rsidR="00A06D9F" w:rsidRPr="005023BC">
        <w:rPr>
          <w:color w:val="000000" w:themeColor="text1"/>
          <w:sz w:val="24"/>
          <w:szCs w:val="24"/>
        </w:rPr>
        <w:t>O</w:t>
      </w:r>
      <w:r w:rsidR="00A06D9F">
        <w:rPr>
          <w:color w:val="000000" w:themeColor="text1"/>
          <w:sz w:val="24"/>
          <w:szCs w:val="24"/>
        </w:rPr>
        <w:t>BPR</w:t>
      </w:r>
      <w:r w:rsidR="00A06D9F" w:rsidRPr="005023BC">
        <w:rPr>
          <w:color w:val="000000" w:themeColor="text1"/>
          <w:sz w:val="24"/>
          <w:szCs w:val="24"/>
        </w:rPr>
        <w:t>23</w:t>
      </w:r>
      <w:r w:rsidR="005023BC" w:rsidRPr="005023BC">
        <w:rPr>
          <w:color w:val="000000" w:themeColor="text1"/>
          <w:sz w:val="24"/>
          <w:szCs w:val="24"/>
        </w:rPr>
        <w:t>-03906.</w:t>
      </w:r>
    </w:p>
    <w:bookmarkEnd w:id="4"/>
    <w:p w14:paraId="2CED8072" w14:textId="77777777" w:rsidR="00103BD9" w:rsidRPr="00EB4C20" w:rsidRDefault="00103BD9" w:rsidP="008D1DB0">
      <w:pPr>
        <w:rPr>
          <w:color w:val="000000" w:themeColor="text1"/>
          <w:sz w:val="24"/>
          <w:szCs w:val="24"/>
        </w:rPr>
      </w:pPr>
    </w:p>
    <w:p w14:paraId="2E65698F" w14:textId="77777777" w:rsidR="002131AC" w:rsidRPr="00203CB7" w:rsidRDefault="002131AC" w:rsidP="007F201A">
      <w:pPr>
        <w:keepNext/>
        <w:rPr>
          <w:bCs/>
          <w:color w:val="000000" w:themeColor="text1"/>
          <w:sz w:val="24"/>
          <w:szCs w:val="24"/>
          <w:u w:val="single"/>
        </w:rPr>
      </w:pPr>
      <w:bookmarkStart w:id="5" w:name="_GoBack"/>
      <w:bookmarkEnd w:id="5"/>
      <w:r w:rsidRPr="00203CB7">
        <w:rPr>
          <w:bCs/>
          <w:color w:val="000000" w:themeColor="text1"/>
          <w:sz w:val="24"/>
          <w:szCs w:val="24"/>
          <w:u w:val="single"/>
        </w:rPr>
        <w:t>Statement of compatibility with human rights</w:t>
      </w:r>
    </w:p>
    <w:p w14:paraId="038F6C1E" w14:textId="77777777" w:rsidR="008D1DB0" w:rsidRPr="00203CB7" w:rsidRDefault="008D1DB0" w:rsidP="001C0BCA">
      <w:pPr>
        <w:ind w:right="91"/>
        <w:rPr>
          <w:color w:val="000000" w:themeColor="text1"/>
          <w:sz w:val="24"/>
          <w:szCs w:val="24"/>
        </w:rPr>
      </w:pPr>
    </w:p>
    <w:p w14:paraId="30337438" w14:textId="77777777" w:rsidR="002131AC" w:rsidRPr="00156A60" w:rsidRDefault="00B562E2" w:rsidP="007F201A">
      <w:pPr>
        <w:keepNext/>
        <w:rPr>
          <w:color w:val="000000" w:themeColor="text1"/>
          <w:sz w:val="24"/>
          <w:szCs w:val="24"/>
        </w:rPr>
      </w:pPr>
      <w:r w:rsidRPr="00203CB7">
        <w:rPr>
          <w:color w:val="000000" w:themeColor="text1"/>
          <w:sz w:val="24"/>
          <w:szCs w:val="24"/>
        </w:rPr>
        <w:t xml:space="preserve">A statement of compatibility with human rights for the purposes of Part 3 of the </w:t>
      </w:r>
      <w:r w:rsidRPr="00203CB7">
        <w:rPr>
          <w:i/>
          <w:color w:val="000000" w:themeColor="text1"/>
          <w:sz w:val="24"/>
          <w:szCs w:val="24"/>
        </w:rPr>
        <w:t>Human Rights (Parliamentary Scrutiny) Act 2011</w:t>
      </w:r>
      <w:r w:rsidRPr="00203CB7">
        <w:rPr>
          <w:color w:val="000000" w:themeColor="text1"/>
          <w:sz w:val="24"/>
          <w:szCs w:val="24"/>
        </w:rPr>
        <w:t xml:space="preserve"> is set out in </w:t>
      </w:r>
      <w:r w:rsidRPr="00203CB7">
        <w:rPr>
          <w:b/>
          <w:color w:val="000000" w:themeColor="text1"/>
          <w:sz w:val="24"/>
          <w:szCs w:val="24"/>
          <w:u w:val="single"/>
        </w:rPr>
        <w:t xml:space="preserve">Attachment </w:t>
      </w:r>
      <w:r w:rsidR="00D46917" w:rsidRPr="00203CB7">
        <w:rPr>
          <w:b/>
          <w:color w:val="000000" w:themeColor="text1"/>
          <w:sz w:val="24"/>
          <w:szCs w:val="24"/>
          <w:u w:val="single"/>
        </w:rPr>
        <w:t>B</w:t>
      </w:r>
      <w:r w:rsidRPr="00203CB7">
        <w:rPr>
          <w:color w:val="000000" w:themeColor="text1"/>
          <w:sz w:val="24"/>
          <w:szCs w:val="24"/>
        </w:rPr>
        <w:t>.</w:t>
      </w:r>
    </w:p>
    <w:p w14:paraId="40FE6076" w14:textId="77777777" w:rsidR="008D1DB0" w:rsidRPr="00156A60" w:rsidRDefault="008D1DB0" w:rsidP="008D1DB0">
      <w:pPr>
        <w:rPr>
          <w:color w:val="000000" w:themeColor="text1"/>
          <w:sz w:val="24"/>
          <w:szCs w:val="24"/>
        </w:rPr>
      </w:pPr>
    </w:p>
    <w:p w14:paraId="79C759B8" w14:textId="77777777" w:rsidR="006B6586" w:rsidRPr="00156A60" w:rsidRDefault="006B6586" w:rsidP="00DB46FC">
      <w:pPr>
        <w:rPr>
          <w:color w:val="000000" w:themeColor="text1"/>
          <w:sz w:val="24"/>
          <w:szCs w:val="24"/>
        </w:rPr>
      </w:pPr>
    </w:p>
    <w:bookmarkEnd w:id="3"/>
    <w:p w14:paraId="131E93E7" w14:textId="514C661A" w:rsidR="00D56985" w:rsidRPr="00EB4C20" w:rsidRDefault="00D56985">
      <w:pPr>
        <w:spacing w:after="200" w:line="276" w:lineRule="auto"/>
        <w:rPr>
          <w:color w:val="000000" w:themeColor="text1"/>
          <w:sz w:val="24"/>
          <w:szCs w:val="24"/>
        </w:rPr>
        <w:sectPr w:rsidR="00D56985" w:rsidRPr="00EB4C20" w:rsidSect="000F4CD1">
          <w:headerReference w:type="even" r:id="rId12"/>
          <w:footerReference w:type="even" r:id="rId13"/>
          <w:footerReference w:type="default" r:id="rId14"/>
          <w:footerReference w:type="first" r:id="rId15"/>
          <w:pgSz w:w="11906" w:h="16838" w:code="9"/>
          <w:pgMar w:top="993" w:right="1440" w:bottom="1135" w:left="1440" w:header="0" w:footer="224" w:gutter="0"/>
          <w:cols w:space="708"/>
          <w:titlePg/>
          <w:docGrid w:linePitch="360"/>
        </w:sectPr>
      </w:pPr>
    </w:p>
    <w:p w14:paraId="171CBA0C" w14:textId="47D1D9C6" w:rsidR="00404192" w:rsidRDefault="00404192" w:rsidP="00DA1B5C">
      <w:pPr>
        <w:keepNext/>
        <w:keepLines/>
        <w:ind w:right="91"/>
        <w:contextualSpacing/>
        <w:jc w:val="right"/>
        <w:rPr>
          <w:b/>
          <w:color w:val="000000" w:themeColor="text1"/>
          <w:sz w:val="28"/>
          <w:szCs w:val="28"/>
        </w:rPr>
      </w:pPr>
      <w:r w:rsidRPr="00203CB7">
        <w:rPr>
          <w:b/>
          <w:color w:val="000000" w:themeColor="text1"/>
          <w:sz w:val="28"/>
          <w:szCs w:val="28"/>
        </w:rPr>
        <w:lastRenderedPageBreak/>
        <w:t>Attachment A</w:t>
      </w:r>
    </w:p>
    <w:p w14:paraId="589C645C" w14:textId="77777777" w:rsidR="0071655C" w:rsidRPr="0071655C" w:rsidRDefault="0071655C" w:rsidP="00DA1B5C">
      <w:pPr>
        <w:keepNext/>
        <w:keepLines/>
        <w:ind w:right="91"/>
        <w:contextualSpacing/>
        <w:jc w:val="right"/>
        <w:rPr>
          <w:b/>
          <w:color w:val="000000" w:themeColor="text1"/>
          <w:sz w:val="32"/>
          <w:szCs w:val="28"/>
        </w:rPr>
      </w:pPr>
    </w:p>
    <w:p w14:paraId="59B394C4" w14:textId="02C2F8B0" w:rsidR="000734E6" w:rsidRPr="0071655C" w:rsidRDefault="000734E6" w:rsidP="00DA1B5C">
      <w:pPr>
        <w:rPr>
          <w:b/>
          <w:sz w:val="28"/>
          <w:szCs w:val="24"/>
        </w:rPr>
      </w:pPr>
      <w:r w:rsidRPr="0071655C">
        <w:rPr>
          <w:b/>
          <w:sz w:val="28"/>
          <w:szCs w:val="24"/>
        </w:rPr>
        <w:t>BROADCASTING SERVICES (MINIMUM PROMINENCE REQUIREMENTS) REGULATIONS 2024</w:t>
      </w:r>
    </w:p>
    <w:p w14:paraId="0CCB348F" w14:textId="77777777" w:rsidR="0071655C" w:rsidRPr="000734E6" w:rsidRDefault="0071655C" w:rsidP="00DA1B5C">
      <w:pPr>
        <w:rPr>
          <w:b/>
          <w:sz w:val="24"/>
          <w:szCs w:val="24"/>
        </w:rPr>
      </w:pPr>
    </w:p>
    <w:p w14:paraId="595F1385" w14:textId="6B3CEFAB" w:rsidR="000734E6" w:rsidRDefault="00EA69A7" w:rsidP="00DA1B5C">
      <w:pPr>
        <w:rPr>
          <w:b/>
          <w:sz w:val="24"/>
          <w:szCs w:val="24"/>
        </w:rPr>
      </w:pPr>
      <w:r>
        <w:rPr>
          <w:b/>
          <w:sz w:val="24"/>
          <w:szCs w:val="24"/>
        </w:rPr>
        <w:t>NOTES ON</w:t>
      </w:r>
      <w:r w:rsidR="000734E6" w:rsidRPr="000734E6">
        <w:rPr>
          <w:b/>
          <w:sz w:val="24"/>
          <w:szCs w:val="24"/>
        </w:rPr>
        <w:t xml:space="preserve"> CLAUSES </w:t>
      </w:r>
    </w:p>
    <w:p w14:paraId="640B72C1" w14:textId="77777777" w:rsidR="0071655C" w:rsidRPr="000734E6" w:rsidRDefault="0071655C" w:rsidP="00DA1B5C">
      <w:pPr>
        <w:rPr>
          <w:b/>
          <w:sz w:val="24"/>
          <w:szCs w:val="24"/>
        </w:rPr>
      </w:pPr>
    </w:p>
    <w:p w14:paraId="2F7CB9DF" w14:textId="50DD1D3D" w:rsidR="000734E6" w:rsidRDefault="000734E6" w:rsidP="00DA1B5C">
      <w:pPr>
        <w:rPr>
          <w:b/>
          <w:sz w:val="24"/>
          <w:szCs w:val="24"/>
        </w:rPr>
      </w:pPr>
      <w:r w:rsidRPr="000734E6">
        <w:rPr>
          <w:b/>
          <w:sz w:val="24"/>
          <w:szCs w:val="24"/>
        </w:rPr>
        <w:t>Part 1 – Preliminary</w:t>
      </w:r>
    </w:p>
    <w:p w14:paraId="4DB785BA" w14:textId="77777777" w:rsidR="0071655C" w:rsidRPr="000734E6" w:rsidRDefault="0071655C" w:rsidP="00DA1B5C">
      <w:pPr>
        <w:rPr>
          <w:b/>
          <w:sz w:val="24"/>
          <w:szCs w:val="24"/>
        </w:rPr>
      </w:pPr>
    </w:p>
    <w:p w14:paraId="5EF370B5" w14:textId="77777777" w:rsidR="000734E6" w:rsidRPr="000734E6" w:rsidRDefault="000734E6" w:rsidP="00DA1B5C">
      <w:pPr>
        <w:rPr>
          <w:b/>
          <w:sz w:val="24"/>
          <w:szCs w:val="24"/>
        </w:rPr>
      </w:pPr>
      <w:r w:rsidRPr="000734E6">
        <w:rPr>
          <w:b/>
          <w:sz w:val="24"/>
          <w:szCs w:val="24"/>
        </w:rPr>
        <w:t>Section 1 – Name</w:t>
      </w:r>
    </w:p>
    <w:p w14:paraId="4C6C6C15" w14:textId="77777777" w:rsidR="00CD580D" w:rsidRDefault="00CD580D" w:rsidP="00DA1B5C">
      <w:pPr>
        <w:rPr>
          <w:sz w:val="24"/>
          <w:szCs w:val="24"/>
        </w:rPr>
      </w:pPr>
    </w:p>
    <w:p w14:paraId="3C37C1A5" w14:textId="24D64D9E" w:rsidR="000734E6" w:rsidRDefault="000734E6" w:rsidP="00DA1B5C">
      <w:pPr>
        <w:rPr>
          <w:i/>
          <w:sz w:val="24"/>
          <w:szCs w:val="24"/>
        </w:rPr>
      </w:pPr>
      <w:r w:rsidRPr="000734E6">
        <w:rPr>
          <w:sz w:val="24"/>
          <w:szCs w:val="24"/>
        </w:rPr>
        <w:t xml:space="preserve">Section 1 provides that the instrument, when enacted, may be cited as the </w:t>
      </w:r>
      <w:r w:rsidRPr="000734E6">
        <w:rPr>
          <w:i/>
          <w:sz w:val="24"/>
          <w:szCs w:val="24"/>
        </w:rPr>
        <w:t>Broadcasting Services (Minimum Prominence Requirements) Regulations 2024.</w:t>
      </w:r>
    </w:p>
    <w:p w14:paraId="3C382480" w14:textId="77777777" w:rsidR="0071655C" w:rsidRPr="000734E6" w:rsidRDefault="0071655C" w:rsidP="00DA1B5C">
      <w:pPr>
        <w:rPr>
          <w:i/>
          <w:sz w:val="24"/>
          <w:szCs w:val="24"/>
        </w:rPr>
      </w:pPr>
    </w:p>
    <w:p w14:paraId="420CB461" w14:textId="77777777" w:rsidR="000734E6" w:rsidRPr="000734E6" w:rsidRDefault="000734E6" w:rsidP="00DA1B5C">
      <w:pPr>
        <w:rPr>
          <w:b/>
          <w:sz w:val="24"/>
          <w:szCs w:val="24"/>
        </w:rPr>
      </w:pPr>
      <w:r w:rsidRPr="000734E6">
        <w:rPr>
          <w:b/>
          <w:sz w:val="24"/>
          <w:szCs w:val="24"/>
        </w:rPr>
        <w:t>Section 2 – Commencement</w:t>
      </w:r>
    </w:p>
    <w:p w14:paraId="7038012D" w14:textId="77777777" w:rsidR="00CD580D" w:rsidRDefault="00CD580D" w:rsidP="00135085">
      <w:pPr>
        <w:rPr>
          <w:sz w:val="24"/>
          <w:szCs w:val="24"/>
        </w:rPr>
      </w:pPr>
    </w:p>
    <w:p w14:paraId="0ABADCA9" w14:textId="767B389E" w:rsidR="000734E6" w:rsidRDefault="000734E6" w:rsidP="00135085">
      <w:pPr>
        <w:rPr>
          <w:sz w:val="24"/>
          <w:szCs w:val="24"/>
        </w:rPr>
      </w:pPr>
      <w:r w:rsidRPr="000734E6">
        <w:rPr>
          <w:sz w:val="24"/>
          <w:szCs w:val="24"/>
        </w:rPr>
        <w:t xml:space="preserve">Item 1 of the table in subsection 2(1) provides for the instrument to commence </w:t>
      </w:r>
      <w:r w:rsidR="00135085">
        <w:rPr>
          <w:sz w:val="24"/>
          <w:szCs w:val="24"/>
        </w:rPr>
        <w:t>on the day after th</w:t>
      </w:r>
      <w:r w:rsidR="00C80A28">
        <w:rPr>
          <w:sz w:val="24"/>
          <w:szCs w:val="24"/>
        </w:rPr>
        <w:t>e</w:t>
      </w:r>
      <w:r w:rsidR="00135085">
        <w:rPr>
          <w:sz w:val="24"/>
          <w:szCs w:val="24"/>
        </w:rPr>
        <w:t xml:space="preserve"> </w:t>
      </w:r>
      <w:r w:rsidRPr="000734E6">
        <w:rPr>
          <w:sz w:val="24"/>
          <w:szCs w:val="24"/>
        </w:rPr>
        <w:t>instrument is registered</w:t>
      </w:r>
      <w:r w:rsidR="00135085">
        <w:rPr>
          <w:sz w:val="24"/>
          <w:szCs w:val="24"/>
        </w:rPr>
        <w:t>.</w:t>
      </w:r>
    </w:p>
    <w:p w14:paraId="3FEB83BC" w14:textId="77777777" w:rsidR="0071655C" w:rsidRPr="000734E6" w:rsidRDefault="0071655C" w:rsidP="00DA1B5C">
      <w:pPr>
        <w:ind w:left="720"/>
        <w:rPr>
          <w:sz w:val="24"/>
          <w:szCs w:val="24"/>
        </w:rPr>
      </w:pPr>
    </w:p>
    <w:p w14:paraId="34880B69" w14:textId="77777777" w:rsidR="000734E6" w:rsidRPr="000734E6" w:rsidRDefault="000734E6" w:rsidP="00DA1B5C">
      <w:pPr>
        <w:rPr>
          <w:b/>
          <w:sz w:val="24"/>
          <w:szCs w:val="24"/>
        </w:rPr>
      </w:pPr>
      <w:r w:rsidRPr="000734E6">
        <w:rPr>
          <w:b/>
          <w:sz w:val="24"/>
          <w:szCs w:val="24"/>
        </w:rPr>
        <w:t>Section 3 – Authority</w:t>
      </w:r>
    </w:p>
    <w:p w14:paraId="139F3D51" w14:textId="77777777" w:rsidR="00CD580D" w:rsidRDefault="00CD580D" w:rsidP="00DA1B5C">
      <w:pPr>
        <w:rPr>
          <w:sz w:val="24"/>
          <w:szCs w:val="24"/>
        </w:rPr>
      </w:pPr>
    </w:p>
    <w:p w14:paraId="622A7D4E" w14:textId="2F921E40" w:rsidR="000734E6" w:rsidRDefault="000734E6" w:rsidP="00DA1B5C">
      <w:pPr>
        <w:rPr>
          <w:sz w:val="24"/>
          <w:szCs w:val="24"/>
        </w:rPr>
      </w:pPr>
      <w:r w:rsidRPr="000734E6">
        <w:rPr>
          <w:sz w:val="24"/>
          <w:szCs w:val="24"/>
        </w:rPr>
        <w:t>Section 3 provides that the instrument is</w:t>
      </w:r>
      <w:r w:rsidR="00135085">
        <w:rPr>
          <w:sz w:val="24"/>
          <w:szCs w:val="24"/>
        </w:rPr>
        <w:t xml:space="preserve"> made under </w:t>
      </w:r>
      <w:r w:rsidRPr="000734E6">
        <w:rPr>
          <w:sz w:val="24"/>
          <w:szCs w:val="24"/>
        </w:rPr>
        <w:t xml:space="preserve">the </w:t>
      </w:r>
      <w:r w:rsidRPr="000734E6">
        <w:rPr>
          <w:i/>
          <w:sz w:val="24"/>
          <w:szCs w:val="24"/>
        </w:rPr>
        <w:t>Broadcasting Services Act 1992</w:t>
      </w:r>
      <w:r w:rsidR="00126168">
        <w:rPr>
          <w:sz w:val="24"/>
          <w:szCs w:val="24"/>
        </w:rPr>
        <w:t xml:space="preserve"> (</w:t>
      </w:r>
      <w:r w:rsidR="00E4163A">
        <w:rPr>
          <w:sz w:val="24"/>
          <w:szCs w:val="24"/>
        </w:rPr>
        <w:t>the Act</w:t>
      </w:r>
      <w:r w:rsidR="00126168">
        <w:rPr>
          <w:sz w:val="24"/>
          <w:szCs w:val="24"/>
        </w:rPr>
        <w:t>)</w:t>
      </w:r>
      <w:r w:rsidRPr="000734E6">
        <w:rPr>
          <w:i/>
          <w:sz w:val="24"/>
          <w:szCs w:val="24"/>
        </w:rPr>
        <w:t>.</w:t>
      </w:r>
    </w:p>
    <w:p w14:paraId="654471B5" w14:textId="77777777" w:rsidR="00DA6469" w:rsidRPr="000734E6" w:rsidRDefault="00DA6469" w:rsidP="00135085">
      <w:pPr>
        <w:rPr>
          <w:sz w:val="24"/>
          <w:szCs w:val="24"/>
        </w:rPr>
      </w:pPr>
    </w:p>
    <w:p w14:paraId="4E5ADD48" w14:textId="77777777" w:rsidR="000734E6" w:rsidRPr="000734E6" w:rsidRDefault="000734E6" w:rsidP="00DA1B5C">
      <w:pPr>
        <w:rPr>
          <w:b/>
          <w:sz w:val="24"/>
          <w:szCs w:val="24"/>
        </w:rPr>
      </w:pPr>
      <w:r w:rsidRPr="000734E6">
        <w:rPr>
          <w:b/>
          <w:sz w:val="24"/>
          <w:szCs w:val="24"/>
        </w:rPr>
        <w:t>Section 4 – Definitions</w:t>
      </w:r>
    </w:p>
    <w:p w14:paraId="1FC69E8C" w14:textId="77777777" w:rsidR="00CD580D" w:rsidRDefault="00CD580D" w:rsidP="00DA1B5C">
      <w:pPr>
        <w:rPr>
          <w:sz w:val="24"/>
          <w:szCs w:val="24"/>
        </w:rPr>
      </w:pPr>
    </w:p>
    <w:p w14:paraId="0EE80473" w14:textId="715712CC" w:rsidR="000734E6" w:rsidRPr="000734E6" w:rsidRDefault="000734E6" w:rsidP="00DA1B5C">
      <w:pPr>
        <w:rPr>
          <w:sz w:val="24"/>
          <w:szCs w:val="24"/>
        </w:rPr>
      </w:pPr>
      <w:r w:rsidRPr="000734E6">
        <w:rPr>
          <w:sz w:val="24"/>
          <w:szCs w:val="24"/>
        </w:rPr>
        <w:t xml:space="preserve">Section 4 directs </w:t>
      </w:r>
      <w:r w:rsidR="00CC7926">
        <w:rPr>
          <w:sz w:val="24"/>
          <w:szCs w:val="24"/>
        </w:rPr>
        <w:t xml:space="preserve">the reader </w:t>
      </w:r>
      <w:r w:rsidRPr="000734E6">
        <w:rPr>
          <w:sz w:val="24"/>
          <w:szCs w:val="24"/>
        </w:rPr>
        <w:t xml:space="preserve">to the </w:t>
      </w:r>
      <w:r w:rsidR="00055512">
        <w:rPr>
          <w:sz w:val="24"/>
          <w:szCs w:val="24"/>
        </w:rPr>
        <w:t>Act</w:t>
      </w:r>
      <w:r w:rsidRPr="000734E6">
        <w:rPr>
          <w:sz w:val="24"/>
          <w:szCs w:val="24"/>
        </w:rPr>
        <w:t xml:space="preserve"> for the definitions of the following terms: broadcasting services bands </w:t>
      </w:r>
      <w:r w:rsidR="00135085">
        <w:rPr>
          <w:sz w:val="24"/>
          <w:szCs w:val="24"/>
        </w:rPr>
        <w:t>(</w:t>
      </w:r>
      <w:r w:rsidRPr="000734E6">
        <w:rPr>
          <w:sz w:val="24"/>
          <w:szCs w:val="24"/>
        </w:rPr>
        <w:t>s</w:t>
      </w:r>
      <w:r w:rsidR="00A06D9F">
        <w:rPr>
          <w:sz w:val="24"/>
          <w:szCs w:val="24"/>
        </w:rPr>
        <w:t xml:space="preserve">ection </w:t>
      </w:r>
      <w:r w:rsidRPr="000734E6">
        <w:rPr>
          <w:sz w:val="24"/>
          <w:szCs w:val="24"/>
        </w:rPr>
        <w:t>6</w:t>
      </w:r>
      <w:r w:rsidR="00135085">
        <w:rPr>
          <w:sz w:val="24"/>
          <w:szCs w:val="24"/>
        </w:rPr>
        <w:t>)</w:t>
      </w:r>
      <w:r w:rsidRPr="000734E6">
        <w:rPr>
          <w:sz w:val="24"/>
          <w:szCs w:val="24"/>
        </w:rPr>
        <w:t>, broadcasting video on demand</w:t>
      </w:r>
      <w:r w:rsidR="00A67D84">
        <w:rPr>
          <w:sz w:val="24"/>
          <w:szCs w:val="24"/>
        </w:rPr>
        <w:t xml:space="preserve"> (BVOD)</w:t>
      </w:r>
      <w:r w:rsidRPr="000734E6">
        <w:rPr>
          <w:sz w:val="24"/>
          <w:szCs w:val="24"/>
        </w:rPr>
        <w:t xml:space="preserve"> service </w:t>
      </w:r>
      <w:r w:rsidR="00135085">
        <w:rPr>
          <w:sz w:val="24"/>
          <w:szCs w:val="24"/>
        </w:rPr>
        <w:t>(</w:t>
      </w:r>
      <w:r w:rsidRPr="000734E6">
        <w:rPr>
          <w:sz w:val="24"/>
          <w:szCs w:val="24"/>
        </w:rPr>
        <w:t>s</w:t>
      </w:r>
      <w:r w:rsidR="00A06D9F">
        <w:rPr>
          <w:sz w:val="24"/>
          <w:szCs w:val="24"/>
        </w:rPr>
        <w:t xml:space="preserve">ection </w:t>
      </w:r>
      <w:r w:rsidRPr="000734E6">
        <w:rPr>
          <w:sz w:val="24"/>
          <w:szCs w:val="24"/>
        </w:rPr>
        <w:t>130ZZK</w:t>
      </w:r>
      <w:r w:rsidR="00135085">
        <w:rPr>
          <w:sz w:val="24"/>
          <w:szCs w:val="24"/>
        </w:rPr>
        <w:t>)</w:t>
      </w:r>
      <w:r w:rsidRPr="000734E6">
        <w:rPr>
          <w:sz w:val="24"/>
          <w:szCs w:val="24"/>
        </w:rPr>
        <w:t xml:space="preserve">, primary user interface </w:t>
      </w:r>
      <w:r w:rsidR="0019403D">
        <w:rPr>
          <w:sz w:val="24"/>
          <w:szCs w:val="24"/>
        </w:rPr>
        <w:t xml:space="preserve">(PUI) </w:t>
      </w:r>
      <w:r w:rsidR="00135085">
        <w:rPr>
          <w:sz w:val="24"/>
          <w:szCs w:val="24"/>
        </w:rPr>
        <w:t>(</w:t>
      </w:r>
      <w:r w:rsidRPr="000734E6">
        <w:rPr>
          <w:sz w:val="24"/>
          <w:szCs w:val="24"/>
        </w:rPr>
        <w:t>s</w:t>
      </w:r>
      <w:r w:rsidR="00A06D9F">
        <w:rPr>
          <w:sz w:val="24"/>
          <w:szCs w:val="24"/>
        </w:rPr>
        <w:t xml:space="preserve">ection </w:t>
      </w:r>
      <w:r w:rsidRPr="000734E6">
        <w:rPr>
          <w:sz w:val="24"/>
          <w:szCs w:val="24"/>
        </w:rPr>
        <w:t>130ZZL</w:t>
      </w:r>
      <w:r w:rsidR="00135085">
        <w:rPr>
          <w:sz w:val="24"/>
          <w:szCs w:val="24"/>
        </w:rPr>
        <w:t>)</w:t>
      </w:r>
      <w:r w:rsidRPr="000734E6">
        <w:rPr>
          <w:sz w:val="24"/>
          <w:szCs w:val="24"/>
        </w:rPr>
        <w:t xml:space="preserve">, regulated television device </w:t>
      </w:r>
      <w:r w:rsidR="00135085">
        <w:rPr>
          <w:sz w:val="24"/>
          <w:szCs w:val="24"/>
        </w:rPr>
        <w:t>(</w:t>
      </w:r>
      <w:r w:rsidRPr="000734E6">
        <w:rPr>
          <w:sz w:val="24"/>
          <w:szCs w:val="24"/>
        </w:rPr>
        <w:t>s</w:t>
      </w:r>
      <w:r w:rsidR="00A11485">
        <w:rPr>
          <w:sz w:val="24"/>
          <w:szCs w:val="24"/>
        </w:rPr>
        <w:t xml:space="preserve">ection </w:t>
      </w:r>
      <w:r w:rsidRPr="000734E6">
        <w:rPr>
          <w:sz w:val="24"/>
          <w:szCs w:val="24"/>
        </w:rPr>
        <w:t>130ZZI</w:t>
      </w:r>
      <w:r w:rsidR="00135085">
        <w:rPr>
          <w:sz w:val="24"/>
          <w:szCs w:val="24"/>
        </w:rPr>
        <w:t>)</w:t>
      </w:r>
      <w:r w:rsidR="00DC0239" w:rsidRPr="000734E6">
        <w:rPr>
          <w:sz w:val="24"/>
          <w:szCs w:val="24"/>
        </w:rPr>
        <w:t>,</w:t>
      </w:r>
      <w:r w:rsidRPr="000734E6">
        <w:rPr>
          <w:sz w:val="24"/>
          <w:szCs w:val="24"/>
        </w:rPr>
        <w:t xml:space="preserve"> regulated television service </w:t>
      </w:r>
      <w:r w:rsidR="00135085">
        <w:rPr>
          <w:sz w:val="24"/>
          <w:szCs w:val="24"/>
        </w:rPr>
        <w:t>(</w:t>
      </w:r>
      <w:r w:rsidRPr="000734E6">
        <w:rPr>
          <w:sz w:val="24"/>
          <w:szCs w:val="24"/>
        </w:rPr>
        <w:t>s</w:t>
      </w:r>
      <w:r w:rsidR="00A11485">
        <w:rPr>
          <w:sz w:val="24"/>
          <w:szCs w:val="24"/>
        </w:rPr>
        <w:t xml:space="preserve">ection </w:t>
      </w:r>
      <w:r w:rsidRPr="000734E6">
        <w:rPr>
          <w:sz w:val="24"/>
          <w:szCs w:val="24"/>
        </w:rPr>
        <w:t>130ZZJ</w:t>
      </w:r>
      <w:r w:rsidR="00135085">
        <w:rPr>
          <w:sz w:val="24"/>
          <w:szCs w:val="24"/>
        </w:rPr>
        <w:t>).</w:t>
      </w:r>
    </w:p>
    <w:p w14:paraId="78E80AE3" w14:textId="77777777" w:rsidR="00AC0097" w:rsidRPr="000734E6" w:rsidRDefault="00AC0097" w:rsidP="00DA1B5C">
      <w:pPr>
        <w:ind w:left="720"/>
        <w:rPr>
          <w:sz w:val="24"/>
          <w:szCs w:val="24"/>
        </w:rPr>
      </w:pPr>
    </w:p>
    <w:p w14:paraId="617443F6" w14:textId="78F695A8" w:rsidR="000E6E76" w:rsidRDefault="00AC0097" w:rsidP="00DA1B5C">
      <w:pPr>
        <w:rPr>
          <w:sz w:val="24"/>
          <w:szCs w:val="24"/>
        </w:rPr>
      </w:pPr>
      <w:r>
        <w:rPr>
          <w:sz w:val="24"/>
          <w:szCs w:val="24"/>
        </w:rPr>
        <w:t>T</w:t>
      </w:r>
      <w:r w:rsidRPr="00AC0097">
        <w:rPr>
          <w:sz w:val="24"/>
          <w:szCs w:val="24"/>
        </w:rPr>
        <w:t xml:space="preserve">he term ‘Act’ is defined to mean the </w:t>
      </w:r>
      <w:r w:rsidRPr="0006198E">
        <w:rPr>
          <w:i/>
          <w:sz w:val="24"/>
          <w:szCs w:val="24"/>
        </w:rPr>
        <w:t>Broadcasting Services Act 1992</w:t>
      </w:r>
      <w:r w:rsidRPr="00AC0097">
        <w:rPr>
          <w:sz w:val="24"/>
          <w:szCs w:val="24"/>
        </w:rPr>
        <w:t>.</w:t>
      </w:r>
    </w:p>
    <w:p w14:paraId="26D83D27" w14:textId="77777777" w:rsidR="00AC0097" w:rsidRDefault="00AC0097" w:rsidP="00DA1B5C">
      <w:pPr>
        <w:rPr>
          <w:sz w:val="24"/>
          <w:szCs w:val="24"/>
        </w:rPr>
      </w:pPr>
    </w:p>
    <w:p w14:paraId="653E5BDD" w14:textId="31F6894E" w:rsidR="000734E6" w:rsidRPr="000734E6" w:rsidRDefault="000734E6" w:rsidP="00DA1B5C">
      <w:pPr>
        <w:rPr>
          <w:sz w:val="24"/>
          <w:szCs w:val="24"/>
        </w:rPr>
      </w:pPr>
      <w:r w:rsidRPr="000734E6">
        <w:rPr>
          <w:sz w:val="24"/>
          <w:szCs w:val="24"/>
        </w:rPr>
        <w:t xml:space="preserve">The term ‘electronic program guide’ has not been defined. For the purposes of the </w:t>
      </w:r>
      <w:r w:rsidR="00356345">
        <w:rPr>
          <w:sz w:val="24"/>
          <w:szCs w:val="24"/>
        </w:rPr>
        <w:t>R</w:t>
      </w:r>
      <w:r w:rsidRPr="000734E6">
        <w:rPr>
          <w:sz w:val="24"/>
          <w:szCs w:val="24"/>
        </w:rPr>
        <w:t xml:space="preserve">egulations, and in line with </w:t>
      </w:r>
      <w:r w:rsidR="00C80A28">
        <w:rPr>
          <w:sz w:val="24"/>
          <w:szCs w:val="24"/>
        </w:rPr>
        <w:t xml:space="preserve">other publicly available information, </w:t>
      </w:r>
      <w:r w:rsidRPr="000734E6">
        <w:rPr>
          <w:sz w:val="24"/>
          <w:szCs w:val="24"/>
        </w:rPr>
        <w:t xml:space="preserve">it is understood </w:t>
      </w:r>
      <w:r w:rsidR="00356345">
        <w:rPr>
          <w:sz w:val="24"/>
          <w:szCs w:val="24"/>
        </w:rPr>
        <w:t xml:space="preserve">that </w:t>
      </w:r>
      <w:r w:rsidRPr="000734E6">
        <w:rPr>
          <w:sz w:val="24"/>
          <w:szCs w:val="24"/>
        </w:rPr>
        <w:t>electronic program guide means the function on a television device that operates to organise and deliver information regarding the availability of linear television broadcasting services on the device for access by users of the device.</w:t>
      </w:r>
    </w:p>
    <w:p w14:paraId="24572433" w14:textId="77777777" w:rsidR="000734E6" w:rsidRPr="000734E6" w:rsidRDefault="000734E6" w:rsidP="00DA1B5C">
      <w:pPr>
        <w:rPr>
          <w:b/>
          <w:sz w:val="24"/>
          <w:szCs w:val="24"/>
        </w:rPr>
      </w:pPr>
    </w:p>
    <w:p w14:paraId="3E14761E" w14:textId="0DCB1249" w:rsidR="000734E6" w:rsidRDefault="000734E6" w:rsidP="00DA1B5C">
      <w:pPr>
        <w:rPr>
          <w:b/>
          <w:sz w:val="24"/>
          <w:szCs w:val="24"/>
        </w:rPr>
      </w:pPr>
      <w:r w:rsidRPr="000734E6">
        <w:rPr>
          <w:b/>
          <w:sz w:val="24"/>
          <w:szCs w:val="24"/>
        </w:rPr>
        <w:t>Part 2 – Minimum Prominence Requirements</w:t>
      </w:r>
    </w:p>
    <w:p w14:paraId="428932B7" w14:textId="77777777" w:rsidR="00DA6469" w:rsidRPr="000734E6" w:rsidRDefault="00DA6469" w:rsidP="00DA1B5C">
      <w:pPr>
        <w:rPr>
          <w:b/>
          <w:sz w:val="24"/>
          <w:szCs w:val="24"/>
        </w:rPr>
      </w:pPr>
    </w:p>
    <w:p w14:paraId="32044294" w14:textId="77777777" w:rsidR="000734E6" w:rsidRPr="000734E6" w:rsidRDefault="000734E6" w:rsidP="00DA1B5C">
      <w:pPr>
        <w:rPr>
          <w:b/>
          <w:sz w:val="24"/>
          <w:szCs w:val="24"/>
        </w:rPr>
      </w:pPr>
      <w:r w:rsidRPr="000734E6">
        <w:rPr>
          <w:b/>
          <w:sz w:val="24"/>
          <w:szCs w:val="24"/>
        </w:rPr>
        <w:t>Section 5 – Purpose of this Part</w:t>
      </w:r>
    </w:p>
    <w:p w14:paraId="6FB3428A" w14:textId="77777777" w:rsidR="00CD580D" w:rsidRDefault="00CD580D" w:rsidP="00DA1B5C">
      <w:pPr>
        <w:rPr>
          <w:sz w:val="24"/>
          <w:szCs w:val="24"/>
        </w:rPr>
      </w:pPr>
    </w:p>
    <w:p w14:paraId="687AEDE5" w14:textId="21BD214D" w:rsidR="000734E6" w:rsidRPr="000734E6" w:rsidRDefault="000734E6" w:rsidP="00DA1B5C">
      <w:pPr>
        <w:rPr>
          <w:sz w:val="24"/>
          <w:szCs w:val="24"/>
        </w:rPr>
      </w:pPr>
      <w:r w:rsidRPr="000734E6">
        <w:rPr>
          <w:sz w:val="24"/>
          <w:szCs w:val="24"/>
        </w:rPr>
        <w:t>Section 5 establishes that Part 2 is made for the purposes of s</w:t>
      </w:r>
      <w:r w:rsidR="00CC7926">
        <w:rPr>
          <w:sz w:val="24"/>
          <w:szCs w:val="24"/>
        </w:rPr>
        <w:t xml:space="preserve">ection </w:t>
      </w:r>
      <w:r w:rsidRPr="000734E6">
        <w:rPr>
          <w:sz w:val="24"/>
          <w:szCs w:val="24"/>
        </w:rPr>
        <w:t>130ZZO</w:t>
      </w:r>
      <w:r w:rsidR="00CC7926">
        <w:rPr>
          <w:sz w:val="24"/>
          <w:szCs w:val="24"/>
        </w:rPr>
        <w:t xml:space="preserve"> of the Act</w:t>
      </w:r>
      <w:r w:rsidRPr="000734E6">
        <w:rPr>
          <w:sz w:val="24"/>
          <w:szCs w:val="24"/>
        </w:rPr>
        <w:t xml:space="preserve"> and </w:t>
      </w:r>
      <w:r w:rsidR="006C20D4">
        <w:rPr>
          <w:sz w:val="24"/>
          <w:szCs w:val="24"/>
        </w:rPr>
        <w:t xml:space="preserve">that it </w:t>
      </w:r>
      <w:r w:rsidRPr="000734E6">
        <w:rPr>
          <w:sz w:val="24"/>
          <w:szCs w:val="24"/>
        </w:rPr>
        <w:t>prescribe</w:t>
      </w:r>
      <w:r w:rsidR="006C20D4">
        <w:rPr>
          <w:sz w:val="24"/>
          <w:szCs w:val="24"/>
        </w:rPr>
        <w:t>s</w:t>
      </w:r>
      <w:r w:rsidRPr="000734E6">
        <w:rPr>
          <w:sz w:val="24"/>
          <w:szCs w:val="24"/>
        </w:rPr>
        <w:t xml:space="preserve"> </w:t>
      </w:r>
      <w:r w:rsidR="006C20D4">
        <w:rPr>
          <w:sz w:val="24"/>
          <w:szCs w:val="24"/>
        </w:rPr>
        <w:t>the minimum prominence requirements that m</w:t>
      </w:r>
      <w:r w:rsidRPr="000734E6">
        <w:rPr>
          <w:sz w:val="24"/>
          <w:szCs w:val="24"/>
        </w:rPr>
        <w:t>ust be complied with by regulated television devices</w:t>
      </w:r>
      <w:r w:rsidR="00E65009">
        <w:rPr>
          <w:sz w:val="24"/>
          <w:szCs w:val="24"/>
        </w:rPr>
        <w:t>.</w:t>
      </w:r>
    </w:p>
    <w:p w14:paraId="3C5985AC" w14:textId="77777777" w:rsidR="0006198E" w:rsidRDefault="0006198E" w:rsidP="00DA1B5C">
      <w:pPr>
        <w:rPr>
          <w:sz w:val="24"/>
          <w:szCs w:val="24"/>
        </w:rPr>
      </w:pPr>
    </w:p>
    <w:p w14:paraId="1DE67555" w14:textId="5D735D9B" w:rsidR="000734E6" w:rsidRPr="000734E6" w:rsidRDefault="006C20D4" w:rsidP="00DA1B5C">
      <w:pPr>
        <w:rPr>
          <w:sz w:val="24"/>
          <w:szCs w:val="24"/>
        </w:rPr>
      </w:pPr>
      <w:r>
        <w:rPr>
          <w:sz w:val="24"/>
          <w:szCs w:val="24"/>
        </w:rPr>
        <w:t>Note 1 to this section clarifies</w:t>
      </w:r>
      <w:r w:rsidR="000734E6" w:rsidRPr="000734E6">
        <w:rPr>
          <w:sz w:val="24"/>
          <w:szCs w:val="24"/>
        </w:rPr>
        <w:t xml:space="preserve"> that</w:t>
      </w:r>
      <w:r w:rsidR="0006198E">
        <w:rPr>
          <w:sz w:val="24"/>
          <w:szCs w:val="24"/>
        </w:rPr>
        <w:t xml:space="preserve">, </w:t>
      </w:r>
      <w:r w:rsidR="000734E6" w:rsidRPr="000734E6">
        <w:rPr>
          <w:sz w:val="24"/>
          <w:szCs w:val="24"/>
        </w:rPr>
        <w:t>under s</w:t>
      </w:r>
      <w:r w:rsidR="008A75CB">
        <w:rPr>
          <w:sz w:val="24"/>
          <w:szCs w:val="24"/>
        </w:rPr>
        <w:t xml:space="preserve">ubsections </w:t>
      </w:r>
      <w:r w:rsidR="000734E6" w:rsidRPr="000734E6">
        <w:rPr>
          <w:sz w:val="24"/>
          <w:szCs w:val="24"/>
        </w:rPr>
        <w:t>130</w:t>
      </w:r>
      <w:proofErr w:type="gramStart"/>
      <w:r w:rsidR="00DC0239" w:rsidRPr="000734E6">
        <w:rPr>
          <w:sz w:val="24"/>
          <w:szCs w:val="24"/>
        </w:rPr>
        <w:t>ZZN(</w:t>
      </w:r>
      <w:proofErr w:type="gramEnd"/>
      <w:r w:rsidR="000734E6" w:rsidRPr="000734E6">
        <w:rPr>
          <w:sz w:val="24"/>
          <w:szCs w:val="24"/>
        </w:rPr>
        <w:t>1) and (2)</w:t>
      </w:r>
      <w:r w:rsidR="00CC7926">
        <w:rPr>
          <w:sz w:val="24"/>
          <w:szCs w:val="24"/>
        </w:rPr>
        <w:t xml:space="preserve"> of the Act</w:t>
      </w:r>
      <w:r w:rsidR="00A84702">
        <w:rPr>
          <w:sz w:val="24"/>
          <w:szCs w:val="24"/>
        </w:rPr>
        <w:t xml:space="preserve">, </w:t>
      </w:r>
      <w:r w:rsidR="000734E6" w:rsidRPr="000734E6">
        <w:rPr>
          <w:sz w:val="24"/>
          <w:szCs w:val="24"/>
        </w:rPr>
        <w:t xml:space="preserve">civil penalties </w:t>
      </w:r>
      <w:r w:rsidR="00E13A91">
        <w:rPr>
          <w:sz w:val="24"/>
          <w:szCs w:val="24"/>
        </w:rPr>
        <w:t xml:space="preserve">may be imposed on </w:t>
      </w:r>
      <w:r w:rsidR="000734E6" w:rsidRPr="000734E6">
        <w:rPr>
          <w:sz w:val="24"/>
          <w:szCs w:val="24"/>
        </w:rPr>
        <w:t>device manufacturers and their related bodies corporate if they</w:t>
      </w:r>
      <w:r w:rsidR="00A84702">
        <w:rPr>
          <w:sz w:val="24"/>
          <w:szCs w:val="24"/>
        </w:rPr>
        <w:t xml:space="preserve">: </w:t>
      </w:r>
    </w:p>
    <w:p w14:paraId="78820AE3" w14:textId="77777777" w:rsidR="00E13A91" w:rsidRDefault="00E13A91" w:rsidP="00E13A91">
      <w:pPr>
        <w:pStyle w:val="ListParagraph"/>
        <w:spacing w:line="259" w:lineRule="auto"/>
        <w:ind w:left="357"/>
        <w:contextualSpacing w:val="0"/>
        <w:rPr>
          <w:sz w:val="24"/>
          <w:szCs w:val="24"/>
        </w:rPr>
      </w:pPr>
    </w:p>
    <w:p w14:paraId="0C1AD6C4" w14:textId="5EB8A406" w:rsidR="00E13A91" w:rsidRDefault="000734E6" w:rsidP="0049445D">
      <w:pPr>
        <w:pStyle w:val="ListParagraph"/>
        <w:numPr>
          <w:ilvl w:val="0"/>
          <w:numId w:val="39"/>
        </w:numPr>
        <w:spacing w:line="259" w:lineRule="auto"/>
        <w:ind w:left="357" w:hanging="357"/>
        <w:contextualSpacing w:val="0"/>
        <w:rPr>
          <w:sz w:val="24"/>
          <w:szCs w:val="24"/>
        </w:rPr>
      </w:pPr>
      <w:r w:rsidRPr="004F5C6F">
        <w:rPr>
          <w:sz w:val="24"/>
          <w:szCs w:val="24"/>
        </w:rPr>
        <w:t xml:space="preserve">supply </w:t>
      </w:r>
      <w:r w:rsidR="004F5C6F">
        <w:rPr>
          <w:sz w:val="24"/>
          <w:szCs w:val="24"/>
        </w:rPr>
        <w:t xml:space="preserve">a </w:t>
      </w:r>
      <w:r w:rsidRPr="004F5C6F">
        <w:rPr>
          <w:sz w:val="24"/>
          <w:szCs w:val="24"/>
        </w:rPr>
        <w:t>regulated television device to another person in Australia that do</w:t>
      </w:r>
      <w:r w:rsidR="004F5C6F">
        <w:rPr>
          <w:sz w:val="24"/>
          <w:szCs w:val="24"/>
        </w:rPr>
        <w:t>es</w:t>
      </w:r>
      <w:r w:rsidRPr="004F5C6F">
        <w:rPr>
          <w:sz w:val="24"/>
          <w:szCs w:val="24"/>
        </w:rPr>
        <w:t xml:space="preserve"> not comply with the minimum prominence requirements</w:t>
      </w:r>
    </w:p>
    <w:p w14:paraId="51DFA62F" w14:textId="77777777" w:rsidR="004F5C6F" w:rsidRPr="004F5C6F" w:rsidRDefault="004F5C6F" w:rsidP="004F5C6F">
      <w:pPr>
        <w:pStyle w:val="ListParagraph"/>
        <w:spacing w:line="259" w:lineRule="auto"/>
        <w:ind w:left="357"/>
        <w:contextualSpacing w:val="0"/>
        <w:rPr>
          <w:sz w:val="24"/>
          <w:szCs w:val="24"/>
        </w:rPr>
      </w:pPr>
    </w:p>
    <w:p w14:paraId="2408B932" w14:textId="3DD71FBA" w:rsidR="000734E6" w:rsidRPr="00A84702" w:rsidRDefault="00C80A28" w:rsidP="00E13A91">
      <w:pPr>
        <w:pStyle w:val="ListParagraph"/>
        <w:numPr>
          <w:ilvl w:val="0"/>
          <w:numId w:val="39"/>
        </w:numPr>
        <w:spacing w:line="259" w:lineRule="auto"/>
        <w:ind w:left="357" w:hanging="357"/>
        <w:contextualSpacing w:val="0"/>
        <w:rPr>
          <w:sz w:val="24"/>
          <w:szCs w:val="24"/>
        </w:rPr>
      </w:pPr>
      <w:r>
        <w:rPr>
          <w:sz w:val="24"/>
          <w:szCs w:val="24"/>
        </w:rPr>
        <w:t>do not t</w:t>
      </w:r>
      <w:r w:rsidR="000734E6" w:rsidRPr="00A84702">
        <w:rPr>
          <w:sz w:val="24"/>
          <w:szCs w:val="24"/>
        </w:rPr>
        <w:t xml:space="preserve">ake reasonable steps to ensure that the device continues to comply with the minimum prominence requirements for a regulated television service during the period beginning immediately after the time the device is supplied. </w:t>
      </w:r>
    </w:p>
    <w:p w14:paraId="3C360482" w14:textId="77777777" w:rsidR="00CD580D" w:rsidRDefault="00CD580D" w:rsidP="00FA57C1">
      <w:pPr>
        <w:rPr>
          <w:sz w:val="24"/>
          <w:szCs w:val="24"/>
        </w:rPr>
      </w:pPr>
    </w:p>
    <w:p w14:paraId="4A13FC33" w14:textId="4BCCA54D" w:rsidR="00DA6469" w:rsidRPr="000734E6" w:rsidRDefault="000734E6" w:rsidP="00FA57C1">
      <w:pPr>
        <w:rPr>
          <w:sz w:val="24"/>
          <w:szCs w:val="24"/>
        </w:rPr>
      </w:pPr>
      <w:r w:rsidRPr="000734E6">
        <w:rPr>
          <w:sz w:val="24"/>
          <w:szCs w:val="24"/>
        </w:rPr>
        <w:t xml:space="preserve">Note 2 to this </w:t>
      </w:r>
      <w:r w:rsidR="00DC0239" w:rsidRPr="000734E6">
        <w:rPr>
          <w:sz w:val="24"/>
          <w:szCs w:val="24"/>
        </w:rPr>
        <w:t xml:space="preserve">section </w:t>
      </w:r>
      <w:r w:rsidR="006C20D4">
        <w:rPr>
          <w:sz w:val="24"/>
          <w:szCs w:val="24"/>
        </w:rPr>
        <w:t>clarifies</w:t>
      </w:r>
      <w:r w:rsidRPr="000734E6">
        <w:rPr>
          <w:sz w:val="24"/>
          <w:szCs w:val="24"/>
        </w:rPr>
        <w:t xml:space="preserve"> that</w:t>
      </w:r>
      <w:r w:rsidR="006C20D4">
        <w:rPr>
          <w:sz w:val="24"/>
          <w:szCs w:val="24"/>
        </w:rPr>
        <w:t>,</w:t>
      </w:r>
      <w:r w:rsidRPr="000734E6">
        <w:rPr>
          <w:sz w:val="24"/>
          <w:szCs w:val="24"/>
        </w:rPr>
        <w:t xml:space="preserve"> under s</w:t>
      </w:r>
      <w:r w:rsidR="008A75CB">
        <w:rPr>
          <w:sz w:val="24"/>
          <w:szCs w:val="24"/>
        </w:rPr>
        <w:t xml:space="preserve">ubsection </w:t>
      </w:r>
      <w:r w:rsidRPr="000734E6">
        <w:rPr>
          <w:sz w:val="24"/>
          <w:szCs w:val="24"/>
        </w:rPr>
        <w:t>130</w:t>
      </w:r>
      <w:proofErr w:type="gramStart"/>
      <w:r w:rsidR="00DC0239" w:rsidRPr="000734E6">
        <w:rPr>
          <w:sz w:val="24"/>
          <w:szCs w:val="24"/>
        </w:rPr>
        <w:t>ZZN(</w:t>
      </w:r>
      <w:proofErr w:type="gramEnd"/>
      <w:r w:rsidRPr="000734E6">
        <w:rPr>
          <w:sz w:val="24"/>
          <w:szCs w:val="24"/>
        </w:rPr>
        <w:t xml:space="preserve">3) </w:t>
      </w:r>
      <w:r w:rsidR="00CC7926">
        <w:rPr>
          <w:sz w:val="24"/>
          <w:szCs w:val="24"/>
        </w:rPr>
        <w:t>of the Act</w:t>
      </w:r>
      <w:r w:rsidR="006C20D4">
        <w:rPr>
          <w:sz w:val="24"/>
          <w:szCs w:val="24"/>
        </w:rPr>
        <w:t>,</w:t>
      </w:r>
      <w:r w:rsidR="00CC7926">
        <w:rPr>
          <w:sz w:val="24"/>
          <w:szCs w:val="24"/>
        </w:rPr>
        <w:t xml:space="preserve"> </w:t>
      </w:r>
      <w:r w:rsidRPr="000734E6">
        <w:rPr>
          <w:sz w:val="24"/>
          <w:szCs w:val="24"/>
        </w:rPr>
        <w:t xml:space="preserve">there is a prohibition </w:t>
      </w:r>
      <w:r w:rsidR="006C20D4">
        <w:rPr>
          <w:sz w:val="24"/>
          <w:szCs w:val="24"/>
        </w:rPr>
        <w:t xml:space="preserve">on manufacturers </w:t>
      </w:r>
      <w:r w:rsidRPr="000734E6">
        <w:rPr>
          <w:sz w:val="24"/>
          <w:szCs w:val="24"/>
        </w:rPr>
        <w:t>from requiring regulated television service providers to pay a fee, charge or any other consideration for, or in connection with, the device complying with the minimum prominence requirements</w:t>
      </w:r>
      <w:r w:rsidR="006C20D4">
        <w:rPr>
          <w:sz w:val="24"/>
          <w:szCs w:val="24"/>
        </w:rPr>
        <w:t xml:space="preserve">. Note 2 also clarifies that </w:t>
      </w:r>
      <w:r w:rsidR="006C20D4">
        <w:rPr>
          <w:color w:val="000000" w:themeColor="text1"/>
          <w:sz w:val="24"/>
          <w:szCs w:val="24"/>
        </w:rPr>
        <w:t xml:space="preserve">manufacturers must take reasonable steps to ensure that the </w:t>
      </w:r>
      <w:proofErr w:type="spellStart"/>
      <w:r w:rsidR="00241DF4" w:rsidRPr="00E93366">
        <w:rPr>
          <w:color w:val="000000" w:themeColor="text1"/>
          <w:sz w:val="24"/>
          <w:szCs w:val="24"/>
        </w:rPr>
        <w:t>audiovisual</w:t>
      </w:r>
      <w:proofErr w:type="spellEnd"/>
      <w:r w:rsidR="006C20D4" w:rsidRPr="00E93366">
        <w:rPr>
          <w:color w:val="000000" w:themeColor="text1"/>
          <w:sz w:val="24"/>
          <w:szCs w:val="24"/>
        </w:rPr>
        <w:t xml:space="preserve"> content provided by </w:t>
      </w:r>
      <w:r w:rsidR="006C20D4">
        <w:rPr>
          <w:color w:val="000000" w:themeColor="text1"/>
          <w:sz w:val="24"/>
          <w:szCs w:val="24"/>
        </w:rPr>
        <w:t xml:space="preserve">a regulated television </w:t>
      </w:r>
      <w:r w:rsidR="006C20D4" w:rsidRPr="00E93366">
        <w:rPr>
          <w:color w:val="000000" w:themeColor="text1"/>
          <w:sz w:val="24"/>
          <w:szCs w:val="24"/>
        </w:rPr>
        <w:t>service is not altered or interfered with</w:t>
      </w:r>
      <w:r w:rsidR="006C20D4" w:rsidRPr="007727DE">
        <w:rPr>
          <w:color w:val="000000" w:themeColor="text1"/>
          <w:sz w:val="24"/>
          <w:szCs w:val="24"/>
        </w:rPr>
        <w:t xml:space="preserve">. </w:t>
      </w:r>
    </w:p>
    <w:p w14:paraId="78E91EF6" w14:textId="77777777" w:rsidR="00832AD8" w:rsidRDefault="00832AD8" w:rsidP="00DA1B5C">
      <w:pPr>
        <w:rPr>
          <w:b/>
          <w:sz w:val="24"/>
          <w:szCs w:val="24"/>
        </w:rPr>
      </w:pPr>
    </w:p>
    <w:p w14:paraId="0C87DEB0" w14:textId="4F39D690" w:rsidR="000734E6" w:rsidRPr="000734E6" w:rsidRDefault="000734E6" w:rsidP="00DA1B5C">
      <w:pPr>
        <w:rPr>
          <w:b/>
          <w:sz w:val="24"/>
          <w:szCs w:val="24"/>
        </w:rPr>
      </w:pPr>
      <w:r w:rsidRPr="000734E6">
        <w:rPr>
          <w:b/>
          <w:sz w:val="24"/>
          <w:szCs w:val="24"/>
        </w:rPr>
        <w:t>Section 6 – Minimum prominence requirements</w:t>
      </w:r>
    </w:p>
    <w:p w14:paraId="6672FB37" w14:textId="77777777" w:rsidR="00CD580D" w:rsidRDefault="00CD580D" w:rsidP="00DA1B5C">
      <w:pPr>
        <w:rPr>
          <w:sz w:val="24"/>
          <w:szCs w:val="24"/>
        </w:rPr>
      </w:pPr>
    </w:p>
    <w:p w14:paraId="5376C7B9" w14:textId="7F57CD7C" w:rsidR="000734E6" w:rsidRPr="000734E6" w:rsidRDefault="000734E6" w:rsidP="00DA1B5C">
      <w:pPr>
        <w:rPr>
          <w:sz w:val="24"/>
          <w:szCs w:val="24"/>
        </w:rPr>
      </w:pPr>
      <w:r w:rsidRPr="000734E6">
        <w:rPr>
          <w:sz w:val="24"/>
          <w:szCs w:val="24"/>
        </w:rPr>
        <w:t>Section 6 prescribes the minimum prominence requirements for BVOD applications</w:t>
      </w:r>
      <w:r w:rsidR="00E93366">
        <w:rPr>
          <w:sz w:val="24"/>
          <w:szCs w:val="24"/>
        </w:rPr>
        <w:t xml:space="preserve"> (apps)</w:t>
      </w:r>
      <w:r w:rsidRPr="000734E6">
        <w:rPr>
          <w:sz w:val="24"/>
          <w:szCs w:val="24"/>
        </w:rPr>
        <w:t>.</w:t>
      </w:r>
    </w:p>
    <w:p w14:paraId="063E8B79" w14:textId="77777777" w:rsidR="0019403D" w:rsidRDefault="0019403D" w:rsidP="00DA1B5C">
      <w:pPr>
        <w:rPr>
          <w:sz w:val="24"/>
          <w:szCs w:val="24"/>
        </w:rPr>
      </w:pPr>
    </w:p>
    <w:p w14:paraId="0ED8F07B" w14:textId="1912EDEE" w:rsidR="000734E6" w:rsidRPr="000734E6" w:rsidRDefault="000734E6" w:rsidP="00DA1B5C">
      <w:pPr>
        <w:rPr>
          <w:sz w:val="24"/>
          <w:szCs w:val="24"/>
        </w:rPr>
      </w:pPr>
      <w:r w:rsidRPr="000734E6">
        <w:rPr>
          <w:sz w:val="24"/>
          <w:szCs w:val="24"/>
        </w:rPr>
        <w:t xml:space="preserve">Subsections 6(1) and (2) provide that the minimum prominence requirements set out in this section apply to all regulated television devices, and apply to provide access to BVODs mentioned under </w:t>
      </w:r>
      <w:r w:rsidR="00CC7926">
        <w:rPr>
          <w:sz w:val="24"/>
          <w:szCs w:val="24"/>
        </w:rPr>
        <w:t xml:space="preserve">paragraph </w:t>
      </w:r>
      <w:r w:rsidRPr="000734E6">
        <w:rPr>
          <w:sz w:val="24"/>
          <w:szCs w:val="24"/>
        </w:rPr>
        <w:t xml:space="preserve">130ZZJ(1)(b) </w:t>
      </w:r>
      <w:r w:rsidR="006C20D4">
        <w:rPr>
          <w:sz w:val="24"/>
          <w:szCs w:val="24"/>
        </w:rPr>
        <w:t xml:space="preserve">of the Act </w:t>
      </w:r>
      <w:r w:rsidRPr="000734E6">
        <w:rPr>
          <w:sz w:val="24"/>
          <w:szCs w:val="24"/>
        </w:rPr>
        <w:t xml:space="preserve">or prescribed by the Minister under </w:t>
      </w:r>
      <w:r w:rsidR="00CC7926">
        <w:rPr>
          <w:sz w:val="24"/>
          <w:szCs w:val="24"/>
        </w:rPr>
        <w:t xml:space="preserve">subsection </w:t>
      </w:r>
      <w:r w:rsidRPr="000734E6">
        <w:rPr>
          <w:sz w:val="24"/>
          <w:szCs w:val="24"/>
        </w:rPr>
        <w:t>130</w:t>
      </w:r>
      <w:proofErr w:type="gramStart"/>
      <w:r w:rsidR="00DC0239" w:rsidRPr="000734E6">
        <w:rPr>
          <w:sz w:val="24"/>
          <w:szCs w:val="24"/>
        </w:rPr>
        <w:t>ZZJ(</w:t>
      </w:r>
      <w:proofErr w:type="gramEnd"/>
      <w:r w:rsidRPr="000734E6">
        <w:rPr>
          <w:sz w:val="24"/>
          <w:szCs w:val="24"/>
        </w:rPr>
        <w:t>2)</w:t>
      </w:r>
      <w:r w:rsidR="00CC7926">
        <w:rPr>
          <w:sz w:val="24"/>
          <w:szCs w:val="24"/>
        </w:rPr>
        <w:t xml:space="preserve"> of the Act</w:t>
      </w:r>
      <w:r w:rsidRPr="000734E6">
        <w:rPr>
          <w:sz w:val="24"/>
          <w:szCs w:val="24"/>
        </w:rPr>
        <w:t>.</w:t>
      </w:r>
    </w:p>
    <w:p w14:paraId="7FC39B3A" w14:textId="77777777" w:rsidR="00A84702" w:rsidRPr="000734E6" w:rsidRDefault="00A84702" w:rsidP="00DA1B5C">
      <w:pPr>
        <w:ind w:left="720"/>
        <w:rPr>
          <w:sz w:val="24"/>
          <w:szCs w:val="24"/>
        </w:rPr>
      </w:pPr>
    </w:p>
    <w:p w14:paraId="5504E5A8" w14:textId="77777777" w:rsidR="006958B6" w:rsidRDefault="00DC0239" w:rsidP="00DA1B5C">
      <w:pPr>
        <w:rPr>
          <w:sz w:val="24"/>
          <w:szCs w:val="24"/>
        </w:rPr>
      </w:pPr>
      <w:r w:rsidRPr="000734E6">
        <w:rPr>
          <w:sz w:val="24"/>
          <w:szCs w:val="24"/>
        </w:rPr>
        <w:t>Subsection 6</w:t>
      </w:r>
      <w:r w:rsidR="000734E6" w:rsidRPr="000734E6">
        <w:rPr>
          <w:sz w:val="24"/>
          <w:szCs w:val="24"/>
        </w:rPr>
        <w:t>(3) sets out the</w:t>
      </w:r>
      <w:r w:rsidR="006C20D4">
        <w:rPr>
          <w:sz w:val="24"/>
          <w:szCs w:val="24"/>
        </w:rPr>
        <w:t xml:space="preserve"> </w:t>
      </w:r>
      <w:r w:rsidR="000734E6" w:rsidRPr="000734E6">
        <w:rPr>
          <w:sz w:val="24"/>
          <w:szCs w:val="24"/>
        </w:rPr>
        <w:t xml:space="preserve">requirements </w:t>
      </w:r>
      <w:r w:rsidR="006C20D4">
        <w:rPr>
          <w:sz w:val="24"/>
          <w:szCs w:val="24"/>
        </w:rPr>
        <w:t>that apply to all regulated television devices</w:t>
      </w:r>
      <w:r w:rsidR="002932BB">
        <w:rPr>
          <w:sz w:val="24"/>
          <w:szCs w:val="24"/>
        </w:rPr>
        <w:t xml:space="preserve">. </w:t>
      </w:r>
    </w:p>
    <w:p w14:paraId="41192D38" w14:textId="77777777" w:rsidR="0006198E" w:rsidRDefault="0006198E" w:rsidP="00DA1B5C">
      <w:pPr>
        <w:rPr>
          <w:sz w:val="24"/>
          <w:szCs w:val="24"/>
        </w:rPr>
      </w:pPr>
    </w:p>
    <w:p w14:paraId="17E8E3E2" w14:textId="6B1ECD86" w:rsidR="000734E6" w:rsidRDefault="00D63FE8" w:rsidP="006958B6">
      <w:pPr>
        <w:spacing w:line="259" w:lineRule="auto"/>
        <w:rPr>
          <w:sz w:val="24"/>
          <w:szCs w:val="24"/>
        </w:rPr>
      </w:pPr>
      <w:r w:rsidRPr="006958B6">
        <w:rPr>
          <w:sz w:val="24"/>
          <w:szCs w:val="24"/>
        </w:rPr>
        <w:t>Paragraph 6(3)(a) provides t</w:t>
      </w:r>
      <w:r w:rsidR="000734E6" w:rsidRPr="006958B6">
        <w:rPr>
          <w:sz w:val="24"/>
          <w:szCs w:val="24"/>
        </w:rPr>
        <w:t>he requirement for the</w:t>
      </w:r>
      <w:r w:rsidR="006958B6" w:rsidRPr="006958B6">
        <w:rPr>
          <w:sz w:val="24"/>
          <w:szCs w:val="24"/>
        </w:rPr>
        <w:t xml:space="preserve"> </w:t>
      </w:r>
      <w:r w:rsidR="006958B6">
        <w:rPr>
          <w:sz w:val="24"/>
          <w:szCs w:val="24"/>
        </w:rPr>
        <w:t>p</w:t>
      </w:r>
      <w:r w:rsidR="006958B6" w:rsidRPr="006958B6">
        <w:rPr>
          <w:sz w:val="24"/>
          <w:szCs w:val="24"/>
        </w:rPr>
        <w:t xml:space="preserve">re-installation of </w:t>
      </w:r>
      <w:r w:rsidR="001A56F5">
        <w:rPr>
          <w:sz w:val="24"/>
          <w:szCs w:val="24"/>
        </w:rPr>
        <w:t xml:space="preserve">each </w:t>
      </w:r>
      <w:r w:rsidR="0040188E">
        <w:rPr>
          <w:sz w:val="24"/>
          <w:szCs w:val="24"/>
        </w:rPr>
        <w:t xml:space="preserve">BVOD </w:t>
      </w:r>
      <w:r w:rsidR="006958B6" w:rsidRPr="006958B6">
        <w:rPr>
          <w:sz w:val="24"/>
          <w:szCs w:val="24"/>
        </w:rPr>
        <w:t xml:space="preserve">app before the </w:t>
      </w:r>
      <w:r w:rsidR="006958B6">
        <w:rPr>
          <w:sz w:val="24"/>
          <w:szCs w:val="24"/>
        </w:rPr>
        <w:t xml:space="preserve">regulated television </w:t>
      </w:r>
      <w:r w:rsidR="006958B6" w:rsidRPr="006958B6">
        <w:rPr>
          <w:sz w:val="24"/>
          <w:szCs w:val="24"/>
        </w:rPr>
        <w:t xml:space="preserve">device is supplied, or auto installation of </w:t>
      </w:r>
      <w:r w:rsidR="001A56F5">
        <w:rPr>
          <w:sz w:val="24"/>
          <w:szCs w:val="24"/>
        </w:rPr>
        <w:t>each app</w:t>
      </w:r>
      <w:r w:rsidR="006958B6" w:rsidRPr="006958B6">
        <w:rPr>
          <w:sz w:val="24"/>
          <w:szCs w:val="24"/>
        </w:rPr>
        <w:t xml:space="preserve"> when the device is first connected to the internet after supply. </w:t>
      </w:r>
      <w:r>
        <w:rPr>
          <w:sz w:val="24"/>
          <w:szCs w:val="24"/>
        </w:rPr>
        <w:t>This</w:t>
      </w:r>
      <w:r w:rsidR="000734E6" w:rsidRPr="000734E6">
        <w:rPr>
          <w:sz w:val="24"/>
          <w:szCs w:val="24"/>
        </w:rPr>
        <w:t xml:space="preserve"> reflects the intention </w:t>
      </w:r>
      <w:r w:rsidR="00284710">
        <w:rPr>
          <w:sz w:val="24"/>
          <w:szCs w:val="24"/>
        </w:rPr>
        <w:t>that</w:t>
      </w:r>
      <w:r w:rsidR="000734E6" w:rsidRPr="000734E6">
        <w:rPr>
          <w:sz w:val="24"/>
          <w:szCs w:val="24"/>
        </w:rPr>
        <w:t xml:space="preserve"> such </w:t>
      </w:r>
      <w:r w:rsidR="00E93366">
        <w:rPr>
          <w:sz w:val="24"/>
          <w:szCs w:val="24"/>
        </w:rPr>
        <w:t>apps</w:t>
      </w:r>
      <w:r w:rsidR="000734E6" w:rsidRPr="000734E6">
        <w:rPr>
          <w:sz w:val="24"/>
          <w:szCs w:val="24"/>
        </w:rPr>
        <w:t xml:space="preserve"> be </w:t>
      </w:r>
      <w:r w:rsidR="006958B6">
        <w:rPr>
          <w:sz w:val="24"/>
          <w:szCs w:val="24"/>
        </w:rPr>
        <w:t>installed on a</w:t>
      </w:r>
      <w:r w:rsidR="000734E6" w:rsidRPr="000734E6">
        <w:rPr>
          <w:sz w:val="24"/>
          <w:szCs w:val="24"/>
        </w:rPr>
        <w:t xml:space="preserve"> device with minimal </w:t>
      </w:r>
      <w:r w:rsidR="00147C6F" w:rsidRPr="000734E6">
        <w:rPr>
          <w:sz w:val="24"/>
          <w:szCs w:val="24"/>
        </w:rPr>
        <w:t>input</w:t>
      </w:r>
      <w:r w:rsidR="00147C6F">
        <w:rPr>
          <w:sz w:val="24"/>
          <w:szCs w:val="24"/>
        </w:rPr>
        <w:t>, effort</w:t>
      </w:r>
      <w:r w:rsidR="000734E6" w:rsidRPr="000734E6">
        <w:rPr>
          <w:sz w:val="24"/>
          <w:szCs w:val="24"/>
        </w:rPr>
        <w:t xml:space="preserve"> </w:t>
      </w:r>
      <w:r w:rsidR="00147C6F">
        <w:rPr>
          <w:sz w:val="24"/>
          <w:szCs w:val="24"/>
        </w:rPr>
        <w:t xml:space="preserve">or capability </w:t>
      </w:r>
      <w:r w:rsidR="000734E6" w:rsidRPr="000734E6">
        <w:rPr>
          <w:sz w:val="24"/>
          <w:szCs w:val="24"/>
        </w:rPr>
        <w:t xml:space="preserve">on the part of the consumer. </w:t>
      </w:r>
    </w:p>
    <w:p w14:paraId="6CC97520" w14:textId="68C7DD4A" w:rsidR="00DA6469" w:rsidRDefault="00DA6469" w:rsidP="00DA1B5C">
      <w:pPr>
        <w:rPr>
          <w:sz w:val="24"/>
          <w:szCs w:val="24"/>
        </w:rPr>
      </w:pPr>
    </w:p>
    <w:p w14:paraId="5681421D" w14:textId="6B403914" w:rsidR="00172A5C" w:rsidRDefault="00D63FE8" w:rsidP="00DA1B5C">
      <w:pPr>
        <w:rPr>
          <w:sz w:val="24"/>
          <w:szCs w:val="24"/>
        </w:rPr>
      </w:pPr>
      <w:r>
        <w:rPr>
          <w:sz w:val="24"/>
          <w:szCs w:val="24"/>
        </w:rPr>
        <w:t>Paragraph 6(3)(b) provides t</w:t>
      </w:r>
      <w:r w:rsidR="00172A5C">
        <w:rPr>
          <w:sz w:val="24"/>
          <w:szCs w:val="24"/>
        </w:rPr>
        <w:t xml:space="preserve">he requirement for </w:t>
      </w:r>
      <w:r w:rsidR="001A56F5">
        <w:rPr>
          <w:sz w:val="24"/>
          <w:szCs w:val="24"/>
        </w:rPr>
        <w:t xml:space="preserve">each BVOD </w:t>
      </w:r>
      <w:r w:rsidR="00E93366">
        <w:rPr>
          <w:sz w:val="24"/>
          <w:szCs w:val="24"/>
        </w:rPr>
        <w:t>app</w:t>
      </w:r>
      <w:r w:rsidR="00172A5C">
        <w:rPr>
          <w:sz w:val="24"/>
          <w:szCs w:val="24"/>
        </w:rPr>
        <w:t xml:space="preserve"> to </w:t>
      </w:r>
      <w:r w:rsidR="00172A5C" w:rsidRPr="00172A5C">
        <w:rPr>
          <w:sz w:val="24"/>
          <w:szCs w:val="24"/>
        </w:rPr>
        <w:t>be able to be updated when an update is made available by</w:t>
      </w:r>
      <w:r w:rsidR="005D459A">
        <w:rPr>
          <w:sz w:val="24"/>
          <w:szCs w:val="24"/>
        </w:rPr>
        <w:t>,</w:t>
      </w:r>
      <w:r w:rsidR="00172A5C" w:rsidRPr="00172A5C">
        <w:rPr>
          <w:sz w:val="24"/>
          <w:szCs w:val="24"/>
        </w:rPr>
        <w:t xml:space="preserve"> or on behalf of</w:t>
      </w:r>
      <w:r w:rsidR="005D459A">
        <w:rPr>
          <w:sz w:val="24"/>
          <w:szCs w:val="24"/>
        </w:rPr>
        <w:t>,</w:t>
      </w:r>
      <w:r w:rsidR="00172A5C" w:rsidRPr="00172A5C">
        <w:rPr>
          <w:sz w:val="24"/>
          <w:szCs w:val="24"/>
        </w:rPr>
        <w:t xml:space="preserve"> the provider of the regulated television service</w:t>
      </w:r>
      <w:r>
        <w:rPr>
          <w:sz w:val="24"/>
          <w:szCs w:val="24"/>
        </w:rPr>
        <w:t>. This</w:t>
      </w:r>
      <w:r w:rsidR="00172A5C">
        <w:rPr>
          <w:sz w:val="24"/>
          <w:szCs w:val="24"/>
        </w:rPr>
        <w:t xml:space="preserve"> reflects </w:t>
      </w:r>
      <w:r w:rsidR="00F93ABD">
        <w:rPr>
          <w:sz w:val="24"/>
          <w:szCs w:val="24"/>
        </w:rPr>
        <w:t>the intention for the</w:t>
      </w:r>
      <w:r w:rsidR="001A56F5">
        <w:rPr>
          <w:sz w:val="24"/>
          <w:szCs w:val="24"/>
        </w:rPr>
        <w:t>se</w:t>
      </w:r>
      <w:r w:rsidR="00F93ABD">
        <w:rPr>
          <w:sz w:val="24"/>
          <w:szCs w:val="24"/>
        </w:rPr>
        <w:t xml:space="preserve"> </w:t>
      </w:r>
      <w:r w:rsidR="00E93366">
        <w:rPr>
          <w:sz w:val="24"/>
          <w:szCs w:val="24"/>
        </w:rPr>
        <w:t>apps</w:t>
      </w:r>
      <w:r w:rsidR="00F93ABD">
        <w:rPr>
          <w:sz w:val="24"/>
          <w:szCs w:val="24"/>
        </w:rPr>
        <w:t xml:space="preserve"> to </w:t>
      </w:r>
      <w:r w:rsidR="00C17783">
        <w:rPr>
          <w:sz w:val="24"/>
          <w:szCs w:val="24"/>
        </w:rPr>
        <w:t>receive required improvements and ensure optimal performance, so that consumers can continue to access regulated television services.</w:t>
      </w:r>
    </w:p>
    <w:p w14:paraId="591888F1" w14:textId="6454BBDD" w:rsidR="00820586" w:rsidRDefault="00820586" w:rsidP="00DA1B5C">
      <w:pPr>
        <w:rPr>
          <w:sz w:val="24"/>
          <w:szCs w:val="24"/>
        </w:rPr>
      </w:pPr>
    </w:p>
    <w:p w14:paraId="72E897F9" w14:textId="0640847A" w:rsidR="00D63FE8" w:rsidRDefault="00D63FE8" w:rsidP="00DA1B5C">
      <w:pPr>
        <w:rPr>
          <w:sz w:val="24"/>
          <w:szCs w:val="24"/>
        </w:rPr>
      </w:pPr>
      <w:r>
        <w:rPr>
          <w:sz w:val="24"/>
          <w:szCs w:val="24"/>
        </w:rPr>
        <w:t xml:space="preserve">Paragraph 6(3)(c) provides that </w:t>
      </w:r>
      <w:r w:rsidR="001A56F5">
        <w:rPr>
          <w:sz w:val="24"/>
          <w:szCs w:val="24"/>
        </w:rPr>
        <w:t xml:space="preserve">each BVOD </w:t>
      </w:r>
      <w:r w:rsidR="00E93366">
        <w:rPr>
          <w:sz w:val="24"/>
          <w:szCs w:val="24"/>
        </w:rPr>
        <w:t>app</w:t>
      </w:r>
      <w:r>
        <w:rPr>
          <w:sz w:val="24"/>
          <w:szCs w:val="24"/>
        </w:rPr>
        <w:t xml:space="preserve"> must be visible on the </w:t>
      </w:r>
      <w:r w:rsidR="005D459A">
        <w:rPr>
          <w:sz w:val="24"/>
          <w:szCs w:val="24"/>
        </w:rPr>
        <w:t>PUI</w:t>
      </w:r>
      <w:r>
        <w:rPr>
          <w:sz w:val="24"/>
          <w:szCs w:val="24"/>
        </w:rPr>
        <w:t xml:space="preserve"> of the device without a user of the device being required to take any action (other than accessing the </w:t>
      </w:r>
      <w:r w:rsidR="00663C75">
        <w:rPr>
          <w:sz w:val="24"/>
          <w:szCs w:val="24"/>
        </w:rPr>
        <w:t>PUI</w:t>
      </w:r>
      <w:r>
        <w:rPr>
          <w:sz w:val="24"/>
          <w:szCs w:val="24"/>
        </w:rPr>
        <w:t xml:space="preserve"> of the device). </w:t>
      </w:r>
      <w:r w:rsidRPr="00D63FE8">
        <w:rPr>
          <w:sz w:val="24"/>
          <w:szCs w:val="24"/>
        </w:rPr>
        <w:t xml:space="preserve">This is intended to ensure that a user does not have to navigate on the </w:t>
      </w:r>
      <w:r w:rsidR="005D459A">
        <w:rPr>
          <w:sz w:val="24"/>
          <w:szCs w:val="24"/>
        </w:rPr>
        <w:t>PUI</w:t>
      </w:r>
      <w:r w:rsidRPr="00D63FE8">
        <w:rPr>
          <w:sz w:val="24"/>
          <w:szCs w:val="24"/>
        </w:rPr>
        <w:t xml:space="preserve"> – through actions such as scrolling vertically or horizontally, or by clicking through folders from the </w:t>
      </w:r>
      <w:r w:rsidR="005D459A">
        <w:rPr>
          <w:sz w:val="24"/>
          <w:szCs w:val="24"/>
        </w:rPr>
        <w:t>PUI</w:t>
      </w:r>
      <w:r w:rsidRPr="00D63FE8">
        <w:rPr>
          <w:sz w:val="24"/>
          <w:szCs w:val="24"/>
        </w:rPr>
        <w:t xml:space="preserve"> – in order for the</w:t>
      </w:r>
      <w:r w:rsidR="001A56F5">
        <w:rPr>
          <w:sz w:val="24"/>
          <w:szCs w:val="24"/>
        </w:rPr>
        <w:t xml:space="preserve">se </w:t>
      </w:r>
      <w:r w:rsidR="00E93366">
        <w:rPr>
          <w:sz w:val="24"/>
          <w:szCs w:val="24"/>
        </w:rPr>
        <w:t>app</w:t>
      </w:r>
      <w:r w:rsidR="001A56F5">
        <w:rPr>
          <w:sz w:val="24"/>
          <w:szCs w:val="24"/>
        </w:rPr>
        <w:t>s</w:t>
      </w:r>
      <w:r w:rsidRPr="00D63FE8">
        <w:rPr>
          <w:sz w:val="24"/>
          <w:szCs w:val="24"/>
        </w:rPr>
        <w:t xml:space="preserve"> to be visible.</w:t>
      </w:r>
      <w:r w:rsidR="0040188E">
        <w:rPr>
          <w:sz w:val="24"/>
          <w:szCs w:val="24"/>
        </w:rPr>
        <w:t xml:space="preserve">  </w:t>
      </w:r>
    </w:p>
    <w:p w14:paraId="0DA0418F" w14:textId="77777777" w:rsidR="00D63FE8" w:rsidRDefault="00D63FE8" w:rsidP="00DA1B5C">
      <w:pPr>
        <w:rPr>
          <w:sz w:val="24"/>
          <w:szCs w:val="24"/>
        </w:rPr>
      </w:pPr>
    </w:p>
    <w:p w14:paraId="7A9D6416" w14:textId="77777777" w:rsidR="001A56F5" w:rsidRDefault="002236EA" w:rsidP="00DA1B5C">
      <w:pPr>
        <w:rPr>
          <w:sz w:val="24"/>
          <w:szCs w:val="24"/>
        </w:rPr>
      </w:pPr>
      <w:r>
        <w:rPr>
          <w:sz w:val="24"/>
          <w:szCs w:val="24"/>
        </w:rPr>
        <w:t>Paragraphs 6(3)(d) and (e) provide r</w:t>
      </w:r>
      <w:r w:rsidR="00172A5C">
        <w:rPr>
          <w:sz w:val="24"/>
          <w:szCs w:val="24"/>
        </w:rPr>
        <w:t xml:space="preserve">equirements in relation to the </w:t>
      </w:r>
      <w:r w:rsidR="00172A5C" w:rsidRPr="00172A5C">
        <w:rPr>
          <w:sz w:val="24"/>
          <w:szCs w:val="24"/>
        </w:rPr>
        <w:t xml:space="preserve">appearance and proximate location of </w:t>
      </w:r>
      <w:r w:rsidR="001A56F5">
        <w:rPr>
          <w:sz w:val="24"/>
          <w:szCs w:val="24"/>
        </w:rPr>
        <w:t>BVOD</w:t>
      </w:r>
      <w:r w:rsidR="00172A5C" w:rsidRPr="00172A5C">
        <w:rPr>
          <w:sz w:val="24"/>
          <w:szCs w:val="24"/>
        </w:rPr>
        <w:t xml:space="preserve"> </w:t>
      </w:r>
      <w:r w:rsidR="00E93366">
        <w:rPr>
          <w:sz w:val="24"/>
          <w:szCs w:val="24"/>
        </w:rPr>
        <w:t>app</w:t>
      </w:r>
      <w:r w:rsidR="001A56F5">
        <w:rPr>
          <w:sz w:val="24"/>
          <w:szCs w:val="24"/>
        </w:rPr>
        <w:t>s</w:t>
      </w:r>
      <w:r w:rsidR="00172A5C" w:rsidRPr="00172A5C">
        <w:rPr>
          <w:sz w:val="24"/>
          <w:szCs w:val="24"/>
        </w:rPr>
        <w:t xml:space="preserve"> on the </w:t>
      </w:r>
      <w:r w:rsidR="005D459A">
        <w:rPr>
          <w:sz w:val="24"/>
          <w:szCs w:val="24"/>
        </w:rPr>
        <w:t>PUI</w:t>
      </w:r>
      <w:r w:rsidR="001A56F5">
        <w:rPr>
          <w:sz w:val="24"/>
          <w:szCs w:val="24"/>
        </w:rPr>
        <w:t>. These BVOD apps must:</w:t>
      </w:r>
    </w:p>
    <w:p w14:paraId="15BA7264" w14:textId="77777777" w:rsidR="001A56F5" w:rsidRDefault="001A56F5" w:rsidP="001A56F5">
      <w:pPr>
        <w:pStyle w:val="ListParagraph"/>
        <w:ind w:left="360"/>
        <w:rPr>
          <w:sz w:val="24"/>
          <w:szCs w:val="24"/>
        </w:rPr>
      </w:pPr>
    </w:p>
    <w:p w14:paraId="6EFF916A" w14:textId="0BB86DA6" w:rsidR="001A56F5" w:rsidRDefault="001A56F5" w:rsidP="001A56F5">
      <w:pPr>
        <w:pStyle w:val="ListParagraph"/>
        <w:numPr>
          <w:ilvl w:val="0"/>
          <w:numId w:val="43"/>
        </w:numPr>
        <w:rPr>
          <w:sz w:val="24"/>
          <w:szCs w:val="24"/>
        </w:rPr>
      </w:pPr>
      <w:r>
        <w:rPr>
          <w:sz w:val="24"/>
          <w:szCs w:val="24"/>
        </w:rPr>
        <w:t xml:space="preserve">be of a similar size and shape to other apps that are displayed on the PUI of the device and are designed for the purpose of providing access to a service (other than a regulated television service) that makes </w:t>
      </w:r>
      <w:proofErr w:type="spellStart"/>
      <w:r w:rsidR="009912C7">
        <w:rPr>
          <w:sz w:val="24"/>
          <w:szCs w:val="24"/>
        </w:rPr>
        <w:t>audiovisual</w:t>
      </w:r>
      <w:proofErr w:type="spellEnd"/>
      <w:r>
        <w:rPr>
          <w:sz w:val="24"/>
          <w:szCs w:val="24"/>
        </w:rPr>
        <w:t xml:space="preserve"> content available using the internet</w:t>
      </w:r>
    </w:p>
    <w:p w14:paraId="017E8703" w14:textId="77777777" w:rsidR="001A56F5" w:rsidRDefault="001A56F5" w:rsidP="001A56F5">
      <w:pPr>
        <w:pStyle w:val="ListParagraph"/>
        <w:ind w:left="360"/>
        <w:rPr>
          <w:sz w:val="24"/>
          <w:szCs w:val="24"/>
        </w:rPr>
      </w:pPr>
    </w:p>
    <w:p w14:paraId="35B97D78" w14:textId="2CC325B8" w:rsidR="001A56F5" w:rsidRPr="001A56F5" w:rsidRDefault="001A56F5" w:rsidP="001A56F5">
      <w:pPr>
        <w:pStyle w:val="ListParagraph"/>
        <w:numPr>
          <w:ilvl w:val="0"/>
          <w:numId w:val="43"/>
        </w:numPr>
        <w:rPr>
          <w:sz w:val="24"/>
          <w:szCs w:val="24"/>
        </w:rPr>
      </w:pPr>
      <w:r w:rsidRPr="001A56F5">
        <w:rPr>
          <w:sz w:val="24"/>
          <w:szCs w:val="24"/>
        </w:rPr>
        <w:t xml:space="preserve">be located in the same area of the PUI as those other apps. </w:t>
      </w:r>
    </w:p>
    <w:p w14:paraId="3ED488D6" w14:textId="77777777" w:rsidR="001A56F5" w:rsidRDefault="001A56F5" w:rsidP="001A56F5">
      <w:pPr>
        <w:rPr>
          <w:sz w:val="24"/>
          <w:szCs w:val="24"/>
        </w:rPr>
      </w:pPr>
    </w:p>
    <w:p w14:paraId="21B803F9" w14:textId="0D36A299" w:rsidR="00172A5C" w:rsidRPr="001A56F5" w:rsidRDefault="00DA2F04" w:rsidP="001A56F5">
      <w:pPr>
        <w:rPr>
          <w:sz w:val="24"/>
          <w:szCs w:val="24"/>
        </w:rPr>
      </w:pPr>
      <w:r>
        <w:rPr>
          <w:sz w:val="24"/>
          <w:szCs w:val="24"/>
        </w:rPr>
        <w:t>T</w:t>
      </w:r>
      <w:r w:rsidR="00F93ABD" w:rsidRPr="001A56F5">
        <w:rPr>
          <w:sz w:val="24"/>
          <w:szCs w:val="24"/>
        </w:rPr>
        <w:t>h</w:t>
      </w:r>
      <w:r w:rsidR="001A56F5">
        <w:rPr>
          <w:sz w:val="24"/>
          <w:szCs w:val="24"/>
        </w:rPr>
        <w:t xml:space="preserve">is is intended to ensure that </w:t>
      </w:r>
      <w:r w:rsidR="002236EA" w:rsidRPr="001A56F5">
        <w:rPr>
          <w:sz w:val="24"/>
          <w:szCs w:val="24"/>
        </w:rPr>
        <w:t xml:space="preserve">consumers are able to readily find and access </w:t>
      </w:r>
      <w:r w:rsidR="001A56F5">
        <w:rPr>
          <w:sz w:val="24"/>
          <w:szCs w:val="24"/>
        </w:rPr>
        <w:t>regulated television services</w:t>
      </w:r>
      <w:r w:rsidR="002236EA" w:rsidRPr="001A56F5">
        <w:rPr>
          <w:sz w:val="24"/>
          <w:szCs w:val="24"/>
        </w:rPr>
        <w:t xml:space="preserve"> </w:t>
      </w:r>
      <w:r w:rsidR="00EE2E9A" w:rsidRPr="001A56F5">
        <w:rPr>
          <w:sz w:val="24"/>
          <w:szCs w:val="24"/>
        </w:rPr>
        <w:t>while</w:t>
      </w:r>
      <w:r w:rsidR="00F93ABD" w:rsidRPr="001A56F5">
        <w:rPr>
          <w:sz w:val="24"/>
          <w:szCs w:val="24"/>
        </w:rPr>
        <w:t xml:space="preserve"> providing no </w:t>
      </w:r>
      <w:r w:rsidR="00EE2E9A" w:rsidRPr="001A56F5">
        <w:rPr>
          <w:sz w:val="24"/>
          <w:szCs w:val="24"/>
        </w:rPr>
        <w:t>more than comparable</w:t>
      </w:r>
      <w:r w:rsidR="00F93ABD" w:rsidRPr="001A56F5">
        <w:rPr>
          <w:sz w:val="24"/>
          <w:szCs w:val="24"/>
        </w:rPr>
        <w:t xml:space="preserve"> prominence to </w:t>
      </w:r>
      <w:r>
        <w:rPr>
          <w:sz w:val="24"/>
          <w:szCs w:val="24"/>
        </w:rPr>
        <w:t xml:space="preserve">other </w:t>
      </w:r>
      <w:r w:rsidR="00E93366" w:rsidRPr="001A56F5">
        <w:rPr>
          <w:sz w:val="24"/>
          <w:szCs w:val="24"/>
        </w:rPr>
        <w:t>apps</w:t>
      </w:r>
      <w:r>
        <w:rPr>
          <w:sz w:val="24"/>
          <w:szCs w:val="24"/>
        </w:rPr>
        <w:t xml:space="preserve"> that provide </w:t>
      </w:r>
      <w:r w:rsidR="001A56F5">
        <w:rPr>
          <w:sz w:val="24"/>
          <w:szCs w:val="24"/>
        </w:rPr>
        <w:t xml:space="preserve">access to </w:t>
      </w:r>
      <w:r w:rsidR="00EE2E9A" w:rsidRPr="001A56F5">
        <w:rPr>
          <w:sz w:val="24"/>
          <w:szCs w:val="24"/>
        </w:rPr>
        <w:t>subscription television</w:t>
      </w:r>
      <w:r w:rsidR="00E455B4" w:rsidRPr="001A56F5">
        <w:rPr>
          <w:sz w:val="24"/>
          <w:szCs w:val="24"/>
        </w:rPr>
        <w:t xml:space="preserve"> </w:t>
      </w:r>
      <w:r w:rsidR="00EE2E9A" w:rsidRPr="001A56F5">
        <w:rPr>
          <w:sz w:val="24"/>
          <w:szCs w:val="24"/>
        </w:rPr>
        <w:t xml:space="preserve">services and </w:t>
      </w:r>
      <w:r>
        <w:rPr>
          <w:sz w:val="24"/>
          <w:szCs w:val="24"/>
        </w:rPr>
        <w:t xml:space="preserve">international </w:t>
      </w:r>
      <w:r w:rsidR="00EE2E9A" w:rsidRPr="001A56F5">
        <w:rPr>
          <w:sz w:val="24"/>
          <w:szCs w:val="24"/>
        </w:rPr>
        <w:t>streaming services</w:t>
      </w:r>
      <w:r w:rsidR="00490752" w:rsidRPr="001A56F5">
        <w:rPr>
          <w:sz w:val="24"/>
          <w:szCs w:val="24"/>
        </w:rPr>
        <w:t xml:space="preserve">. </w:t>
      </w:r>
    </w:p>
    <w:p w14:paraId="646DAFA7" w14:textId="77777777" w:rsidR="00FD385F" w:rsidRPr="000734E6" w:rsidRDefault="00FD385F" w:rsidP="00DA1B5C">
      <w:pPr>
        <w:rPr>
          <w:sz w:val="24"/>
          <w:szCs w:val="24"/>
        </w:rPr>
      </w:pPr>
    </w:p>
    <w:p w14:paraId="5C7B0AF9" w14:textId="77777777" w:rsidR="000734E6" w:rsidRPr="000734E6" w:rsidRDefault="000734E6" w:rsidP="00DA1B5C">
      <w:pPr>
        <w:rPr>
          <w:b/>
          <w:sz w:val="24"/>
          <w:szCs w:val="24"/>
        </w:rPr>
      </w:pPr>
      <w:r w:rsidRPr="000734E6">
        <w:rPr>
          <w:b/>
          <w:sz w:val="24"/>
          <w:szCs w:val="24"/>
        </w:rPr>
        <w:t xml:space="preserve">Section 7 – Additional minimum prominence requirements for certain devices </w:t>
      </w:r>
    </w:p>
    <w:p w14:paraId="2F95CCC4" w14:textId="77777777" w:rsidR="00CD580D" w:rsidRDefault="00CD580D" w:rsidP="00244D4C">
      <w:pPr>
        <w:spacing w:line="259" w:lineRule="auto"/>
        <w:rPr>
          <w:sz w:val="24"/>
          <w:szCs w:val="24"/>
        </w:rPr>
      </w:pPr>
    </w:p>
    <w:p w14:paraId="2ED73DEC" w14:textId="34DB19A8" w:rsidR="00244D4C" w:rsidRDefault="000734E6" w:rsidP="00244D4C">
      <w:pPr>
        <w:spacing w:line="259" w:lineRule="auto"/>
        <w:rPr>
          <w:sz w:val="24"/>
          <w:szCs w:val="24"/>
        </w:rPr>
      </w:pPr>
      <w:r w:rsidRPr="000734E6">
        <w:rPr>
          <w:sz w:val="24"/>
          <w:szCs w:val="24"/>
        </w:rPr>
        <w:t xml:space="preserve">Section 7 prescribes the minimum prominence requirements for </w:t>
      </w:r>
      <w:r w:rsidR="00A67D84">
        <w:rPr>
          <w:sz w:val="24"/>
          <w:szCs w:val="24"/>
        </w:rPr>
        <w:t xml:space="preserve">television </w:t>
      </w:r>
      <w:r w:rsidRPr="000734E6">
        <w:rPr>
          <w:sz w:val="24"/>
          <w:szCs w:val="24"/>
        </w:rPr>
        <w:t>broadcast</w:t>
      </w:r>
      <w:r w:rsidR="00B16DE0">
        <w:rPr>
          <w:sz w:val="24"/>
          <w:szCs w:val="24"/>
        </w:rPr>
        <w:t>ing</w:t>
      </w:r>
      <w:r w:rsidRPr="000734E6">
        <w:rPr>
          <w:sz w:val="24"/>
          <w:szCs w:val="24"/>
        </w:rPr>
        <w:t xml:space="preserve"> services and electronic program guide information.</w:t>
      </w:r>
      <w:r w:rsidR="00244D4C">
        <w:rPr>
          <w:sz w:val="24"/>
          <w:szCs w:val="24"/>
        </w:rPr>
        <w:t xml:space="preserve"> These requirements provide for manufacturers to maintain the existing functionality of linear television service provision and ensure the appropriate identification and accessibility of such services.</w:t>
      </w:r>
    </w:p>
    <w:p w14:paraId="7760E34C" w14:textId="3385CB5B" w:rsidR="000734E6" w:rsidRDefault="000734E6" w:rsidP="00DA1B5C">
      <w:pPr>
        <w:rPr>
          <w:sz w:val="24"/>
          <w:szCs w:val="24"/>
        </w:rPr>
      </w:pPr>
    </w:p>
    <w:p w14:paraId="5AF16E0C" w14:textId="051EA5D4" w:rsidR="00A56C95" w:rsidRDefault="000734E6" w:rsidP="00DA1B5C">
      <w:pPr>
        <w:rPr>
          <w:sz w:val="24"/>
          <w:szCs w:val="24"/>
        </w:rPr>
      </w:pPr>
      <w:r w:rsidRPr="000734E6">
        <w:rPr>
          <w:sz w:val="24"/>
          <w:szCs w:val="24"/>
        </w:rPr>
        <w:t>Subsection 7(1) provide</w:t>
      </w:r>
      <w:r w:rsidR="005D459A">
        <w:rPr>
          <w:sz w:val="24"/>
          <w:szCs w:val="24"/>
        </w:rPr>
        <w:t>s</w:t>
      </w:r>
      <w:r w:rsidRPr="000734E6">
        <w:rPr>
          <w:sz w:val="24"/>
          <w:szCs w:val="24"/>
        </w:rPr>
        <w:t xml:space="preserve"> that the additional minimum prominence requirements set out in this section apply to regulated television devices </w:t>
      </w:r>
      <w:r w:rsidR="00DA2F04">
        <w:rPr>
          <w:sz w:val="24"/>
          <w:szCs w:val="24"/>
        </w:rPr>
        <w:t xml:space="preserve">that are </w:t>
      </w:r>
      <w:r w:rsidRPr="000734E6">
        <w:rPr>
          <w:sz w:val="24"/>
          <w:szCs w:val="24"/>
        </w:rPr>
        <w:t xml:space="preserve">capable of receiving </w:t>
      </w:r>
      <w:r w:rsidR="00A56C95">
        <w:rPr>
          <w:sz w:val="24"/>
          <w:szCs w:val="24"/>
        </w:rPr>
        <w:t xml:space="preserve">television broadcasting services that are regulated television services </w:t>
      </w:r>
      <w:r w:rsidR="00B16DE0">
        <w:rPr>
          <w:sz w:val="24"/>
          <w:szCs w:val="24"/>
        </w:rPr>
        <w:t xml:space="preserve">– </w:t>
      </w:r>
      <w:r w:rsidR="00A56C95">
        <w:rPr>
          <w:sz w:val="24"/>
          <w:szCs w:val="24"/>
        </w:rPr>
        <w:t xml:space="preserve">under paragraph </w:t>
      </w:r>
      <w:r w:rsidR="00A56C95" w:rsidRPr="000734E6">
        <w:rPr>
          <w:sz w:val="24"/>
          <w:szCs w:val="24"/>
        </w:rPr>
        <w:t>130ZZJ(1)(a)</w:t>
      </w:r>
      <w:r w:rsidR="00A56C95">
        <w:rPr>
          <w:sz w:val="24"/>
          <w:szCs w:val="24"/>
        </w:rPr>
        <w:t xml:space="preserve"> of the Act,</w:t>
      </w:r>
      <w:r w:rsidR="00A56C95" w:rsidRPr="000734E6">
        <w:rPr>
          <w:sz w:val="24"/>
          <w:szCs w:val="24"/>
        </w:rPr>
        <w:t xml:space="preserve"> or prescribed by the Minister under </w:t>
      </w:r>
      <w:r w:rsidR="00A56C95">
        <w:rPr>
          <w:sz w:val="24"/>
          <w:szCs w:val="24"/>
        </w:rPr>
        <w:t xml:space="preserve">subsection </w:t>
      </w:r>
      <w:r w:rsidR="00A56C95" w:rsidRPr="000734E6">
        <w:rPr>
          <w:sz w:val="24"/>
          <w:szCs w:val="24"/>
        </w:rPr>
        <w:t>130</w:t>
      </w:r>
      <w:proofErr w:type="gramStart"/>
      <w:r w:rsidR="00A56C95" w:rsidRPr="000734E6">
        <w:rPr>
          <w:sz w:val="24"/>
          <w:szCs w:val="24"/>
        </w:rPr>
        <w:t>ZZJ(</w:t>
      </w:r>
      <w:proofErr w:type="gramEnd"/>
      <w:r w:rsidR="00A56C95" w:rsidRPr="000734E6">
        <w:rPr>
          <w:sz w:val="24"/>
          <w:szCs w:val="24"/>
        </w:rPr>
        <w:t>2)</w:t>
      </w:r>
      <w:r w:rsidR="00A56C95">
        <w:rPr>
          <w:sz w:val="24"/>
          <w:szCs w:val="24"/>
        </w:rPr>
        <w:t xml:space="preserve"> of the Act</w:t>
      </w:r>
      <w:r w:rsidR="00B16DE0">
        <w:rPr>
          <w:sz w:val="24"/>
          <w:szCs w:val="24"/>
        </w:rPr>
        <w:t xml:space="preserve"> – using </w:t>
      </w:r>
      <w:r w:rsidR="00A56C95">
        <w:rPr>
          <w:sz w:val="24"/>
          <w:szCs w:val="24"/>
        </w:rPr>
        <w:t xml:space="preserve">the broadcasting services bands.  </w:t>
      </w:r>
    </w:p>
    <w:p w14:paraId="52FE4BA4" w14:textId="77777777" w:rsidR="00A56C95" w:rsidRDefault="00A56C95" w:rsidP="00DA1B5C">
      <w:pPr>
        <w:rPr>
          <w:sz w:val="24"/>
          <w:szCs w:val="24"/>
        </w:rPr>
      </w:pPr>
    </w:p>
    <w:p w14:paraId="1B36942F" w14:textId="2524BB9A" w:rsidR="000734E6" w:rsidRDefault="000734E6" w:rsidP="00244D4C">
      <w:pPr>
        <w:rPr>
          <w:sz w:val="24"/>
          <w:szCs w:val="24"/>
        </w:rPr>
      </w:pPr>
      <w:r w:rsidRPr="000734E6">
        <w:rPr>
          <w:sz w:val="24"/>
          <w:szCs w:val="24"/>
        </w:rPr>
        <w:t>Subsection 7(2) sets out the requirements for linear television services</w:t>
      </w:r>
      <w:r w:rsidR="00244D4C">
        <w:rPr>
          <w:sz w:val="24"/>
          <w:szCs w:val="24"/>
        </w:rPr>
        <w:t xml:space="preserve">. </w:t>
      </w:r>
      <w:r w:rsidRPr="000734E6">
        <w:rPr>
          <w:sz w:val="24"/>
          <w:szCs w:val="24"/>
        </w:rPr>
        <w:t xml:space="preserve"> </w:t>
      </w:r>
    </w:p>
    <w:p w14:paraId="493887F2" w14:textId="77777777" w:rsidR="001D111E" w:rsidRDefault="001D111E" w:rsidP="001D111E">
      <w:pPr>
        <w:spacing w:line="259" w:lineRule="auto"/>
        <w:rPr>
          <w:sz w:val="24"/>
          <w:szCs w:val="24"/>
        </w:rPr>
      </w:pPr>
    </w:p>
    <w:p w14:paraId="33AC6BD6" w14:textId="5F482287" w:rsidR="001D111E" w:rsidRDefault="00992940" w:rsidP="001D111E">
      <w:pPr>
        <w:spacing w:line="259" w:lineRule="auto"/>
        <w:rPr>
          <w:sz w:val="24"/>
          <w:szCs w:val="24"/>
        </w:rPr>
      </w:pPr>
      <w:r w:rsidRPr="001D111E">
        <w:rPr>
          <w:sz w:val="24"/>
          <w:szCs w:val="24"/>
        </w:rPr>
        <w:t xml:space="preserve">Paragraph 7(2)(a) </w:t>
      </w:r>
      <w:r w:rsidR="00FD239E" w:rsidRPr="001D111E">
        <w:rPr>
          <w:sz w:val="24"/>
          <w:szCs w:val="24"/>
        </w:rPr>
        <w:t>provides that</w:t>
      </w:r>
      <w:r w:rsidRPr="001D111E">
        <w:rPr>
          <w:sz w:val="24"/>
          <w:szCs w:val="24"/>
        </w:rPr>
        <w:t xml:space="preserve"> the </w:t>
      </w:r>
      <w:r w:rsidR="001D111E" w:rsidRPr="001D111E">
        <w:rPr>
          <w:sz w:val="24"/>
          <w:szCs w:val="24"/>
        </w:rPr>
        <w:t xml:space="preserve">user of a regulated television device </w:t>
      </w:r>
      <w:r w:rsidR="00E356B5">
        <w:rPr>
          <w:sz w:val="24"/>
          <w:szCs w:val="24"/>
        </w:rPr>
        <w:t xml:space="preserve">specified in subsection 7(1) </w:t>
      </w:r>
      <w:r w:rsidR="001D111E" w:rsidRPr="001D111E">
        <w:rPr>
          <w:sz w:val="24"/>
          <w:szCs w:val="24"/>
        </w:rPr>
        <w:t xml:space="preserve">must be able to access television broadcasting services </w:t>
      </w:r>
      <w:r w:rsidR="001D111E">
        <w:rPr>
          <w:sz w:val="24"/>
          <w:szCs w:val="24"/>
        </w:rPr>
        <w:t>provided by:</w:t>
      </w:r>
    </w:p>
    <w:p w14:paraId="0A90C5E6" w14:textId="77777777" w:rsidR="001D111E" w:rsidRDefault="001D111E" w:rsidP="001D111E">
      <w:pPr>
        <w:pStyle w:val="ListParagraph"/>
        <w:spacing w:line="259" w:lineRule="auto"/>
        <w:ind w:left="360"/>
        <w:rPr>
          <w:sz w:val="24"/>
          <w:szCs w:val="24"/>
        </w:rPr>
      </w:pPr>
    </w:p>
    <w:p w14:paraId="15F76195" w14:textId="70689072" w:rsidR="001D111E" w:rsidRDefault="001D111E" w:rsidP="001D111E">
      <w:pPr>
        <w:pStyle w:val="ListParagraph"/>
        <w:numPr>
          <w:ilvl w:val="0"/>
          <w:numId w:val="44"/>
        </w:numPr>
        <w:spacing w:line="259" w:lineRule="auto"/>
        <w:rPr>
          <w:sz w:val="24"/>
          <w:szCs w:val="24"/>
        </w:rPr>
      </w:pPr>
      <w:r w:rsidRPr="001D111E">
        <w:rPr>
          <w:sz w:val="24"/>
          <w:szCs w:val="24"/>
        </w:rPr>
        <w:t>a national broadcaster</w:t>
      </w:r>
      <w:r>
        <w:rPr>
          <w:sz w:val="24"/>
          <w:szCs w:val="24"/>
        </w:rPr>
        <w:t xml:space="preserve"> (the </w:t>
      </w:r>
      <w:r w:rsidR="00D90612">
        <w:rPr>
          <w:sz w:val="24"/>
          <w:szCs w:val="24"/>
        </w:rPr>
        <w:t>Australian</w:t>
      </w:r>
      <w:r>
        <w:rPr>
          <w:sz w:val="24"/>
          <w:szCs w:val="24"/>
        </w:rPr>
        <w:t xml:space="preserve"> Broadcasting Corporation or the Special Broadcasting Service Corporation) </w:t>
      </w:r>
    </w:p>
    <w:p w14:paraId="24ED315B" w14:textId="77777777" w:rsidR="001D111E" w:rsidRDefault="001D111E" w:rsidP="001D111E">
      <w:pPr>
        <w:pStyle w:val="ListParagraph"/>
        <w:spacing w:line="259" w:lineRule="auto"/>
        <w:ind w:left="360"/>
        <w:rPr>
          <w:sz w:val="24"/>
          <w:szCs w:val="24"/>
        </w:rPr>
      </w:pPr>
    </w:p>
    <w:p w14:paraId="115C22AE" w14:textId="71CE68B2" w:rsidR="001D111E" w:rsidRPr="001D111E" w:rsidRDefault="001D111E" w:rsidP="001D111E">
      <w:pPr>
        <w:pStyle w:val="ListParagraph"/>
        <w:numPr>
          <w:ilvl w:val="0"/>
          <w:numId w:val="44"/>
        </w:numPr>
        <w:spacing w:line="259" w:lineRule="auto"/>
        <w:rPr>
          <w:sz w:val="24"/>
          <w:szCs w:val="24"/>
        </w:rPr>
      </w:pPr>
      <w:r w:rsidRPr="001D111E">
        <w:rPr>
          <w:sz w:val="24"/>
          <w:szCs w:val="24"/>
        </w:rPr>
        <w:t xml:space="preserve">a commercial television </w:t>
      </w:r>
      <w:r>
        <w:rPr>
          <w:sz w:val="24"/>
          <w:szCs w:val="24"/>
        </w:rPr>
        <w:t xml:space="preserve">broadcasting </w:t>
      </w:r>
      <w:r w:rsidRPr="001D111E">
        <w:rPr>
          <w:sz w:val="24"/>
          <w:szCs w:val="24"/>
        </w:rPr>
        <w:t>licensee</w:t>
      </w:r>
      <w:r>
        <w:rPr>
          <w:sz w:val="24"/>
          <w:szCs w:val="24"/>
        </w:rPr>
        <w:t xml:space="preserve">, a community television broadcasting licensee, or </w:t>
      </w:r>
      <w:r w:rsidRPr="001D111E">
        <w:rPr>
          <w:sz w:val="24"/>
          <w:szCs w:val="24"/>
        </w:rPr>
        <w:t>a service prescribed by the Minister</w:t>
      </w:r>
      <w:r w:rsidR="00D90612">
        <w:rPr>
          <w:sz w:val="24"/>
          <w:szCs w:val="24"/>
        </w:rPr>
        <w:t>,</w:t>
      </w:r>
      <w:r w:rsidRPr="001D111E">
        <w:rPr>
          <w:sz w:val="24"/>
          <w:szCs w:val="24"/>
        </w:rPr>
        <w:t xml:space="preserve"> where that service is transmitted in the </w:t>
      </w:r>
      <w:r w:rsidRPr="001D111E">
        <w:rPr>
          <w:iCs/>
          <w:sz w:val="24"/>
          <w:szCs w:val="24"/>
        </w:rPr>
        <w:t>licence area</w:t>
      </w:r>
      <w:r w:rsidRPr="001D111E">
        <w:rPr>
          <w:sz w:val="24"/>
          <w:szCs w:val="24"/>
        </w:rPr>
        <w:t xml:space="preserve"> in which the device is located and is authorised by a licence to be so transmitted.</w:t>
      </w:r>
    </w:p>
    <w:p w14:paraId="2589B54E" w14:textId="77777777" w:rsidR="001D111E" w:rsidRDefault="001D111E" w:rsidP="00844C16">
      <w:pPr>
        <w:spacing w:line="259" w:lineRule="auto"/>
        <w:rPr>
          <w:sz w:val="24"/>
          <w:szCs w:val="24"/>
        </w:rPr>
      </w:pPr>
    </w:p>
    <w:p w14:paraId="2B01B0A4" w14:textId="52465D85" w:rsidR="009A6E12" w:rsidRDefault="00D90612" w:rsidP="00844C16">
      <w:pPr>
        <w:spacing w:line="259" w:lineRule="auto"/>
        <w:rPr>
          <w:sz w:val="24"/>
          <w:szCs w:val="24"/>
        </w:rPr>
      </w:pPr>
      <w:r>
        <w:rPr>
          <w:sz w:val="24"/>
          <w:szCs w:val="24"/>
        </w:rPr>
        <w:t xml:space="preserve">This reflects the intention that the </w:t>
      </w:r>
      <w:r w:rsidR="009A6E12">
        <w:rPr>
          <w:sz w:val="24"/>
          <w:szCs w:val="24"/>
        </w:rPr>
        <w:t xml:space="preserve">user of a regulated television device </w:t>
      </w:r>
      <w:r w:rsidR="00E356B5">
        <w:rPr>
          <w:sz w:val="24"/>
          <w:szCs w:val="24"/>
        </w:rPr>
        <w:t xml:space="preserve">specified in subsection 7(1) </w:t>
      </w:r>
      <w:r w:rsidR="009A6E12">
        <w:rPr>
          <w:sz w:val="24"/>
          <w:szCs w:val="24"/>
        </w:rPr>
        <w:t xml:space="preserve">should be able to access the regulated television services that are broadcast in the area in which the device is located. However, this would not require the device to be </w:t>
      </w:r>
      <w:r w:rsidR="00E356B5">
        <w:rPr>
          <w:sz w:val="24"/>
          <w:szCs w:val="24"/>
        </w:rPr>
        <w:t>cap</w:t>
      </w:r>
      <w:r w:rsidR="009A6E12">
        <w:rPr>
          <w:sz w:val="24"/>
          <w:szCs w:val="24"/>
        </w:rPr>
        <w:t xml:space="preserve">able </w:t>
      </w:r>
      <w:r w:rsidR="00B16DE0">
        <w:rPr>
          <w:sz w:val="24"/>
          <w:szCs w:val="24"/>
        </w:rPr>
        <w:t xml:space="preserve">of providing </w:t>
      </w:r>
      <w:r w:rsidR="009A6E12">
        <w:rPr>
          <w:sz w:val="24"/>
          <w:szCs w:val="24"/>
        </w:rPr>
        <w:t xml:space="preserve">access to ‘out of area’ services. For example, a device located in the Perth TV1 licence area would not be required to provide access to commercial or community television broadcasting services that are licensed and authorised to be provided in the Melbourne TV1 licence area. </w:t>
      </w:r>
    </w:p>
    <w:p w14:paraId="54FE2D46" w14:textId="361BBDF9" w:rsidR="002112C3" w:rsidRDefault="002112C3" w:rsidP="00844C16">
      <w:pPr>
        <w:spacing w:line="259" w:lineRule="auto"/>
        <w:rPr>
          <w:sz w:val="24"/>
          <w:szCs w:val="24"/>
        </w:rPr>
      </w:pPr>
    </w:p>
    <w:p w14:paraId="6153C50F" w14:textId="4837A425" w:rsidR="002112C3" w:rsidRDefault="002112C3" w:rsidP="00844C16">
      <w:pPr>
        <w:spacing w:line="259" w:lineRule="auto"/>
        <w:rPr>
          <w:sz w:val="24"/>
          <w:szCs w:val="24"/>
        </w:rPr>
      </w:pPr>
      <w:r>
        <w:rPr>
          <w:sz w:val="24"/>
          <w:szCs w:val="24"/>
        </w:rPr>
        <w:t>Paragraph 7(2)(b)</w:t>
      </w:r>
      <w:r w:rsidR="00FD0AA8">
        <w:rPr>
          <w:sz w:val="24"/>
          <w:szCs w:val="24"/>
        </w:rPr>
        <w:t xml:space="preserve"> provides that each service should be identifiable using its </w:t>
      </w:r>
      <w:r w:rsidR="00630493">
        <w:rPr>
          <w:sz w:val="24"/>
          <w:szCs w:val="24"/>
        </w:rPr>
        <w:t>l</w:t>
      </w:r>
      <w:r w:rsidR="00FD0AA8">
        <w:rPr>
          <w:sz w:val="24"/>
          <w:szCs w:val="24"/>
        </w:rPr>
        <w:t>ogical channel number</w:t>
      </w:r>
      <w:r w:rsidR="00630493">
        <w:rPr>
          <w:sz w:val="24"/>
          <w:szCs w:val="24"/>
        </w:rPr>
        <w:t xml:space="preserve"> (LCN)</w:t>
      </w:r>
      <w:r w:rsidR="00FD0AA8">
        <w:rPr>
          <w:sz w:val="24"/>
          <w:szCs w:val="24"/>
        </w:rPr>
        <w:t xml:space="preserve">. </w:t>
      </w:r>
      <w:r w:rsidR="009A6E12">
        <w:rPr>
          <w:sz w:val="24"/>
          <w:szCs w:val="24"/>
        </w:rPr>
        <w:t xml:space="preserve">This is intended to ensure that regulated television devices </w:t>
      </w:r>
      <w:r w:rsidR="00E356B5">
        <w:rPr>
          <w:sz w:val="24"/>
          <w:szCs w:val="24"/>
        </w:rPr>
        <w:t xml:space="preserve">specified in subsection 7(1) </w:t>
      </w:r>
      <w:r w:rsidR="009A6E12">
        <w:rPr>
          <w:sz w:val="24"/>
          <w:szCs w:val="24"/>
        </w:rPr>
        <w:t xml:space="preserve">identify and provide access to regulated television services broadcast in the relevant area using the established industry designation of </w:t>
      </w:r>
      <w:r w:rsidR="00630493">
        <w:rPr>
          <w:sz w:val="24"/>
          <w:szCs w:val="24"/>
        </w:rPr>
        <w:t>LCNs</w:t>
      </w:r>
      <w:r w:rsidR="009A6E12">
        <w:rPr>
          <w:sz w:val="24"/>
          <w:szCs w:val="24"/>
        </w:rPr>
        <w:t xml:space="preserve">. </w:t>
      </w:r>
      <w:r w:rsidR="00FD0AA8">
        <w:rPr>
          <w:sz w:val="24"/>
          <w:szCs w:val="24"/>
        </w:rPr>
        <w:t xml:space="preserve">Subsection </w:t>
      </w:r>
      <w:r w:rsidR="00CC7926">
        <w:rPr>
          <w:sz w:val="24"/>
          <w:szCs w:val="24"/>
        </w:rPr>
        <w:t>7(</w:t>
      </w:r>
      <w:r w:rsidR="00FD0AA8">
        <w:rPr>
          <w:sz w:val="24"/>
          <w:szCs w:val="24"/>
        </w:rPr>
        <w:t>5</w:t>
      </w:r>
      <w:r w:rsidR="00CC7926">
        <w:rPr>
          <w:sz w:val="24"/>
          <w:szCs w:val="24"/>
        </w:rPr>
        <w:t>)</w:t>
      </w:r>
      <w:r w:rsidR="00FD0AA8">
        <w:rPr>
          <w:sz w:val="24"/>
          <w:szCs w:val="24"/>
        </w:rPr>
        <w:t xml:space="preserve"> provides an ex</w:t>
      </w:r>
      <w:r w:rsidR="00B16DE0">
        <w:rPr>
          <w:sz w:val="24"/>
          <w:szCs w:val="24"/>
        </w:rPr>
        <w:t xml:space="preserve">ception </w:t>
      </w:r>
      <w:r w:rsidR="00FD0AA8">
        <w:rPr>
          <w:sz w:val="24"/>
          <w:szCs w:val="24"/>
        </w:rPr>
        <w:t xml:space="preserve">to this requirement for </w:t>
      </w:r>
      <w:r w:rsidR="009A6E12">
        <w:rPr>
          <w:sz w:val="24"/>
          <w:szCs w:val="24"/>
        </w:rPr>
        <w:t>devices that are not capable of displaying a television program without being connected to other equipment, such as some devices that are used for the provision of subscription television broadcasting services</w:t>
      </w:r>
      <w:r w:rsidR="00FD0AA8">
        <w:rPr>
          <w:sz w:val="24"/>
          <w:szCs w:val="24"/>
        </w:rPr>
        <w:t>.</w:t>
      </w:r>
      <w:r w:rsidR="00BA1C9E">
        <w:rPr>
          <w:sz w:val="24"/>
          <w:szCs w:val="24"/>
        </w:rPr>
        <w:t xml:space="preserve"> </w:t>
      </w:r>
      <w:r w:rsidR="00BA1C9E" w:rsidRPr="00BA1C9E">
        <w:rPr>
          <w:sz w:val="24"/>
          <w:szCs w:val="24"/>
        </w:rPr>
        <w:t>This is intended to avoid an unfair burden on parties such as Foxtel</w:t>
      </w:r>
      <w:r w:rsidR="00BA1C9E">
        <w:rPr>
          <w:sz w:val="24"/>
          <w:szCs w:val="24"/>
        </w:rPr>
        <w:t>,</w:t>
      </w:r>
      <w:r w:rsidR="00BA1C9E" w:rsidRPr="00BA1C9E">
        <w:rPr>
          <w:sz w:val="24"/>
          <w:szCs w:val="24"/>
        </w:rPr>
        <w:t xml:space="preserve"> that have a well-established numbering system used on plug-in devices.</w:t>
      </w:r>
    </w:p>
    <w:p w14:paraId="0A667CA6" w14:textId="18C89152" w:rsidR="002112C3" w:rsidRDefault="002112C3" w:rsidP="00844C16">
      <w:pPr>
        <w:spacing w:line="259" w:lineRule="auto"/>
        <w:rPr>
          <w:sz w:val="24"/>
          <w:szCs w:val="24"/>
        </w:rPr>
      </w:pPr>
    </w:p>
    <w:p w14:paraId="7D3D3E49" w14:textId="23EEF0EC" w:rsidR="00244D4C" w:rsidRDefault="00FD0AA8" w:rsidP="008B11F4">
      <w:pPr>
        <w:spacing w:line="259" w:lineRule="auto"/>
        <w:rPr>
          <w:sz w:val="24"/>
          <w:szCs w:val="24"/>
        </w:rPr>
      </w:pPr>
      <w:r>
        <w:rPr>
          <w:sz w:val="24"/>
          <w:szCs w:val="24"/>
        </w:rPr>
        <w:t xml:space="preserve">Paragraph 7(2)(c) provides that </w:t>
      </w:r>
      <w:r w:rsidR="008B11F4">
        <w:rPr>
          <w:sz w:val="24"/>
          <w:szCs w:val="24"/>
        </w:rPr>
        <w:t xml:space="preserve">the user of a device </w:t>
      </w:r>
      <w:r w:rsidR="00E356B5">
        <w:rPr>
          <w:sz w:val="24"/>
          <w:szCs w:val="24"/>
        </w:rPr>
        <w:t xml:space="preserve">specified in subsection 7(1) </w:t>
      </w:r>
      <w:r w:rsidR="008B11F4">
        <w:rPr>
          <w:sz w:val="24"/>
          <w:szCs w:val="24"/>
        </w:rPr>
        <w:t xml:space="preserve">must be able to access those services by selecting a single </w:t>
      </w:r>
      <w:r w:rsidR="00244D4C">
        <w:rPr>
          <w:sz w:val="24"/>
          <w:szCs w:val="24"/>
        </w:rPr>
        <w:t>icon or visual representation</w:t>
      </w:r>
      <w:r w:rsidR="008B11F4">
        <w:rPr>
          <w:sz w:val="24"/>
          <w:szCs w:val="24"/>
        </w:rPr>
        <w:t xml:space="preserve">, while paragraph 7(2)(d) provides that the single icon or representation must be </w:t>
      </w:r>
      <w:r w:rsidR="00244D4C">
        <w:rPr>
          <w:sz w:val="24"/>
          <w:szCs w:val="24"/>
        </w:rPr>
        <w:t xml:space="preserve">visible on the PUI of the device without a user being required to take any action (other than accessing the PUI of the device). </w:t>
      </w:r>
      <w:r w:rsidR="00244D4C" w:rsidRPr="00D63FE8">
        <w:rPr>
          <w:sz w:val="24"/>
          <w:szCs w:val="24"/>
        </w:rPr>
        <w:t xml:space="preserve">This is intended to ensure that a user does not have to navigate on the </w:t>
      </w:r>
      <w:r w:rsidR="00244D4C">
        <w:rPr>
          <w:sz w:val="24"/>
          <w:szCs w:val="24"/>
        </w:rPr>
        <w:t>PUI</w:t>
      </w:r>
      <w:r w:rsidR="00244D4C" w:rsidRPr="00D63FE8">
        <w:rPr>
          <w:sz w:val="24"/>
          <w:szCs w:val="24"/>
        </w:rPr>
        <w:t xml:space="preserve"> – through </w:t>
      </w:r>
      <w:r w:rsidR="00244D4C" w:rsidRPr="00D63FE8">
        <w:rPr>
          <w:sz w:val="24"/>
          <w:szCs w:val="24"/>
        </w:rPr>
        <w:lastRenderedPageBreak/>
        <w:t xml:space="preserve">actions such as scrolling vertically or horizontally, or by clicking through folders from the </w:t>
      </w:r>
      <w:r w:rsidR="00244D4C">
        <w:rPr>
          <w:sz w:val="24"/>
          <w:szCs w:val="24"/>
        </w:rPr>
        <w:t>PUI</w:t>
      </w:r>
      <w:r w:rsidR="00244D4C" w:rsidRPr="00D63FE8">
        <w:rPr>
          <w:sz w:val="24"/>
          <w:szCs w:val="24"/>
        </w:rPr>
        <w:t xml:space="preserve"> – in order for </w:t>
      </w:r>
      <w:r w:rsidR="00951D9C">
        <w:rPr>
          <w:sz w:val="24"/>
          <w:szCs w:val="24"/>
        </w:rPr>
        <w:t xml:space="preserve">the </w:t>
      </w:r>
      <w:r w:rsidR="008B11F4">
        <w:rPr>
          <w:sz w:val="24"/>
          <w:szCs w:val="24"/>
        </w:rPr>
        <w:t xml:space="preserve">icon or representation providing access to those services to be </w:t>
      </w:r>
      <w:r w:rsidR="00244D4C" w:rsidRPr="00D63FE8">
        <w:rPr>
          <w:sz w:val="24"/>
          <w:szCs w:val="24"/>
        </w:rPr>
        <w:t>visible.</w:t>
      </w:r>
      <w:r w:rsidR="00244D4C">
        <w:rPr>
          <w:sz w:val="24"/>
          <w:szCs w:val="24"/>
        </w:rPr>
        <w:t xml:space="preserve">  </w:t>
      </w:r>
    </w:p>
    <w:p w14:paraId="6A8770A9" w14:textId="68F9E626" w:rsidR="00951D9C" w:rsidRDefault="00951D9C" w:rsidP="008B11F4">
      <w:pPr>
        <w:spacing w:line="259" w:lineRule="auto"/>
        <w:rPr>
          <w:sz w:val="24"/>
          <w:szCs w:val="24"/>
        </w:rPr>
      </w:pPr>
    </w:p>
    <w:p w14:paraId="23F01326" w14:textId="3D5335C6" w:rsidR="00951D9C" w:rsidRDefault="00951D9C" w:rsidP="00951D9C">
      <w:pPr>
        <w:rPr>
          <w:sz w:val="24"/>
          <w:szCs w:val="24"/>
        </w:rPr>
      </w:pPr>
      <w:r>
        <w:rPr>
          <w:sz w:val="24"/>
          <w:szCs w:val="24"/>
        </w:rPr>
        <w:t xml:space="preserve">Paragraph 7(2)(e) provides that the single icon or visual representation must </w:t>
      </w:r>
      <w:r w:rsidRPr="00951D9C">
        <w:rPr>
          <w:sz w:val="24"/>
          <w:szCs w:val="24"/>
        </w:rPr>
        <w:t xml:space="preserve">be of a similar size and shape to other apps that are displayed on the PUI of the device and </w:t>
      </w:r>
      <w:r w:rsidR="00B16DE0">
        <w:rPr>
          <w:sz w:val="24"/>
          <w:szCs w:val="24"/>
        </w:rPr>
        <w:t xml:space="preserve">that </w:t>
      </w:r>
      <w:r w:rsidRPr="00951D9C">
        <w:rPr>
          <w:sz w:val="24"/>
          <w:szCs w:val="24"/>
        </w:rPr>
        <w:t xml:space="preserve">are designed for the purpose of providing access to a service (other than a regulated television service) that makes </w:t>
      </w:r>
      <w:r w:rsidR="00241DF4" w:rsidRPr="00951D9C">
        <w:rPr>
          <w:sz w:val="24"/>
          <w:szCs w:val="24"/>
        </w:rPr>
        <w:t>audiovisual</w:t>
      </w:r>
      <w:r w:rsidRPr="00951D9C">
        <w:rPr>
          <w:sz w:val="24"/>
          <w:szCs w:val="24"/>
        </w:rPr>
        <w:t xml:space="preserve"> content available using the internet</w:t>
      </w:r>
      <w:r>
        <w:rPr>
          <w:sz w:val="24"/>
          <w:szCs w:val="24"/>
        </w:rPr>
        <w:t>. T</w:t>
      </w:r>
      <w:r w:rsidRPr="001A56F5">
        <w:rPr>
          <w:sz w:val="24"/>
          <w:szCs w:val="24"/>
        </w:rPr>
        <w:t>h</w:t>
      </w:r>
      <w:r>
        <w:rPr>
          <w:sz w:val="24"/>
          <w:szCs w:val="24"/>
        </w:rPr>
        <w:t xml:space="preserve">is is intended to ensure that </w:t>
      </w:r>
      <w:r w:rsidRPr="001A56F5">
        <w:rPr>
          <w:sz w:val="24"/>
          <w:szCs w:val="24"/>
        </w:rPr>
        <w:t xml:space="preserve">consumers are able to readily find and access </w:t>
      </w:r>
      <w:r>
        <w:rPr>
          <w:sz w:val="24"/>
          <w:szCs w:val="24"/>
        </w:rPr>
        <w:t xml:space="preserve">regulated television services on the PUI in a manner comparable with other apps providing </w:t>
      </w:r>
      <w:r w:rsidR="00241DF4">
        <w:rPr>
          <w:sz w:val="24"/>
          <w:szCs w:val="24"/>
        </w:rPr>
        <w:t>audiovisual</w:t>
      </w:r>
      <w:r>
        <w:rPr>
          <w:sz w:val="24"/>
          <w:szCs w:val="24"/>
        </w:rPr>
        <w:t xml:space="preserve"> </w:t>
      </w:r>
      <w:r w:rsidR="00B16DE0">
        <w:rPr>
          <w:sz w:val="24"/>
          <w:szCs w:val="24"/>
        </w:rPr>
        <w:t>content</w:t>
      </w:r>
      <w:r>
        <w:rPr>
          <w:sz w:val="24"/>
          <w:szCs w:val="24"/>
        </w:rPr>
        <w:t xml:space="preserve">.  </w:t>
      </w:r>
    </w:p>
    <w:p w14:paraId="27F8D9C2" w14:textId="10C69D5A" w:rsidR="00951D9C" w:rsidRDefault="00951D9C" w:rsidP="00951D9C">
      <w:pPr>
        <w:rPr>
          <w:sz w:val="24"/>
          <w:szCs w:val="24"/>
        </w:rPr>
      </w:pPr>
    </w:p>
    <w:p w14:paraId="17DF828E" w14:textId="353A4D0C" w:rsidR="000734E6" w:rsidRDefault="000734E6" w:rsidP="00DA1B5C">
      <w:pPr>
        <w:rPr>
          <w:sz w:val="24"/>
          <w:szCs w:val="24"/>
        </w:rPr>
      </w:pPr>
      <w:r w:rsidRPr="000734E6">
        <w:rPr>
          <w:sz w:val="24"/>
          <w:szCs w:val="24"/>
        </w:rPr>
        <w:t xml:space="preserve">Subsection 7(3) sets out the requirements for the </w:t>
      </w:r>
      <w:r w:rsidR="00844C16">
        <w:rPr>
          <w:sz w:val="24"/>
          <w:szCs w:val="24"/>
        </w:rPr>
        <w:t>electronic program guide (</w:t>
      </w:r>
      <w:r w:rsidRPr="000734E6">
        <w:rPr>
          <w:sz w:val="24"/>
          <w:szCs w:val="24"/>
        </w:rPr>
        <w:t>EPG</w:t>
      </w:r>
      <w:r w:rsidR="00844C16">
        <w:rPr>
          <w:sz w:val="24"/>
          <w:szCs w:val="24"/>
        </w:rPr>
        <w:t>)</w:t>
      </w:r>
      <w:r w:rsidRPr="000734E6">
        <w:rPr>
          <w:sz w:val="24"/>
          <w:szCs w:val="24"/>
        </w:rPr>
        <w:t xml:space="preserve"> </w:t>
      </w:r>
      <w:r w:rsidR="0049445D">
        <w:rPr>
          <w:sz w:val="24"/>
          <w:szCs w:val="24"/>
        </w:rPr>
        <w:t xml:space="preserve">if an EPG is provided on </w:t>
      </w:r>
      <w:r w:rsidR="00B16DE0">
        <w:rPr>
          <w:sz w:val="24"/>
          <w:szCs w:val="24"/>
        </w:rPr>
        <w:t>given a</w:t>
      </w:r>
      <w:r w:rsidR="0049445D">
        <w:rPr>
          <w:sz w:val="24"/>
          <w:szCs w:val="24"/>
        </w:rPr>
        <w:t xml:space="preserve"> device. </w:t>
      </w:r>
      <w:r w:rsidR="0049445D" w:rsidRPr="00FA57C1">
        <w:rPr>
          <w:sz w:val="24"/>
          <w:szCs w:val="24"/>
        </w:rPr>
        <w:t xml:space="preserve">These requirements provide </w:t>
      </w:r>
      <w:r w:rsidR="0049445D">
        <w:rPr>
          <w:sz w:val="24"/>
          <w:szCs w:val="24"/>
        </w:rPr>
        <w:t xml:space="preserve">for the </w:t>
      </w:r>
      <w:r w:rsidR="0049445D" w:rsidRPr="00FA57C1">
        <w:rPr>
          <w:sz w:val="24"/>
          <w:szCs w:val="24"/>
        </w:rPr>
        <w:t>information regarding the availability of linear television broadcasting services on the device</w:t>
      </w:r>
      <w:r w:rsidR="0049445D">
        <w:rPr>
          <w:sz w:val="24"/>
          <w:szCs w:val="24"/>
        </w:rPr>
        <w:t xml:space="preserve"> to be</w:t>
      </w:r>
      <w:r w:rsidR="0049445D" w:rsidRPr="00FA57C1">
        <w:rPr>
          <w:sz w:val="24"/>
          <w:szCs w:val="24"/>
        </w:rPr>
        <w:t xml:space="preserve"> </w:t>
      </w:r>
      <w:r w:rsidR="0049445D">
        <w:rPr>
          <w:sz w:val="24"/>
          <w:szCs w:val="24"/>
        </w:rPr>
        <w:t xml:space="preserve">readily </w:t>
      </w:r>
      <w:r w:rsidR="0049445D" w:rsidRPr="00FA57C1">
        <w:rPr>
          <w:sz w:val="24"/>
          <w:szCs w:val="24"/>
        </w:rPr>
        <w:t xml:space="preserve">available, organised and </w:t>
      </w:r>
      <w:r w:rsidR="0049445D" w:rsidRPr="002112C3">
        <w:rPr>
          <w:sz w:val="24"/>
          <w:szCs w:val="24"/>
        </w:rPr>
        <w:t>accessible by</w:t>
      </w:r>
      <w:r w:rsidR="0049445D" w:rsidRPr="00FA57C1">
        <w:rPr>
          <w:sz w:val="24"/>
          <w:szCs w:val="24"/>
        </w:rPr>
        <w:t xml:space="preserve"> users of the device</w:t>
      </w:r>
      <w:r w:rsidR="0049445D">
        <w:rPr>
          <w:sz w:val="24"/>
          <w:szCs w:val="24"/>
        </w:rPr>
        <w:t xml:space="preserve">. </w:t>
      </w:r>
    </w:p>
    <w:p w14:paraId="2AE741FE" w14:textId="04DB6C84" w:rsidR="0049445D" w:rsidRDefault="0049445D" w:rsidP="00DA1B5C">
      <w:pPr>
        <w:rPr>
          <w:sz w:val="24"/>
          <w:szCs w:val="24"/>
        </w:rPr>
      </w:pPr>
    </w:p>
    <w:p w14:paraId="5BC6855C" w14:textId="348D6984" w:rsidR="005D47DA" w:rsidRDefault="0049445D" w:rsidP="00E356B5">
      <w:pPr>
        <w:rPr>
          <w:sz w:val="24"/>
          <w:szCs w:val="24"/>
        </w:rPr>
      </w:pPr>
      <w:r>
        <w:rPr>
          <w:sz w:val="24"/>
          <w:szCs w:val="24"/>
        </w:rPr>
        <w:t xml:space="preserve">Paragraph 7(3)(a) provides that the EPG must be readily accessible on </w:t>
      </w:r>
      <w:r w:rsidR="00E356B5">
        <w:rPr>
          <w:sz w:val="24"/>
          <w:szCs w:val="24"/>
        </w:rPr>
        <w:t>a</w:t>
      </w:r>
      <w:r>
        <w:rPr>
          <w:sz w:val="24"/>
          <w:szCs w:val="24"/>
        </w:rPr>
        <w:t xml:space="preserve"> device</w:t>
      </w:r>
      <w:r w:rsidR="00E356B5">
        <w:rPr>
          <w:sz w:val="24"/>
          <w:szCs w:val="24"/>
        </w:rPr>
        <w:t xml:space="preserve"> specified in subsection 7(3)</w:t>
      </w:r>
      <w:r>
        <w:rPr>
          <w:sz w:val="24"/>
          <w:szCs w:val="24"/>
        </w:rPr>
        <w:t xml:space="preserve">, </w:t>
      </w:r>
      <w:r w:rsidR="005D47DA">
        <w:rPr>
          <w:sz w:val="24"/>
          <w:szCs w:val="24"/>
        </w:rPr>
        <w:t xml:space="preserve">while paragraph 7(3)(b) provides that a user of the device must be able to use the EPG to </w:t>
      </w:r>
      <w:r w:rsidR="00630493">
        <w:rPr>
          <w:sz w:val="24"/>
          <w:szCs w:val="24"/>
        </w:rPr>
        <w:t>access television broadcasting services provided by</w:t>
      </w:r>
      <w:r w:rsidR="005D47DA">
        <w:rPr>
          <w:sz w:val="24"/>
          <w:szCs w:val="24"/>
        </w:rPr>
        <w:t>:</w:t>
      </w:r>
    </w:p>
    <w:p w14:paraId="69F6F469" w14:textId="77777777" w:rsidR="005D47DA" w:rsidRDefault="005D47DA" w:rsidP="005D47DA">
      <w:pPr>
        <w:pStyle w:val="ListParagraph"/>
        <w:spacing w:line="259" w:lineRule="auto"/>
        <w:ind w:left="360"/>
        <w:rPr>
          <w:sz w:val="24"/>
          <w:szCs w:val="24"/>
        </w:rPr>
      </w:pPr>
    </w:p>
    <w:p w14:paraId="420B3FC1" w14:textId="648D6F0F" w:rsidR="005D47DA" w:rsidRDefault="005D47DA" w:rsidP="005D47DA">
      <w:pPr>
        <w:pStyle w:val="ListParagraph"/>
        <w:numPr>
          <w:ilvl w:val="0"/>
          <w:numId w:val="44"/>
        </w:numPr>
        <w:spacing w:line="259" w:lineRule="auto"/>
        <w:rPr>
          <w:sz w:val="24"/>
          <w:szCs w:val="24"/>
        </w:rPr>
      </w:pPr>
      <w:r>
        <w:rPr>
          <w:sz w:val="24"/>
          <w:szCs w:val="24"/>
        </w:rPr>
        <w:t xml:space="preserve">a </w:t>
      </w:r>
      <w:r w:rsidRPr="001D111E">
        <w:rPr>
          <w:sz w:val="24"/>
          <w:szCs w:val="24"/>
        </w:rPr>
        <w:t>national broadcaster</w:t>
      </w:r>
      <w:r>
        <w:rPr>
          <w:sz w:val="24"/>
          <w:szCs w:val="24"/>
        </w:rPr>
        <w:t xml:space="preserve"> (the Australian Broadcasting Corporation or the Special Broadcasting Service Corporation) </w:t>
      </w:r>
    </w:p>
    <w:p w14:paraId="4499A043" w14:textId="77777777" w:rsidR="005D47DA" w:rsidRDefault="005D47DA" w:rsidP="005D47DA">
      <w:pPr>
        <w:pStyle w:val="ListParagraph"/>
        <w:spacing w:line="259" w:lineRule="auto"/>
        <w:ind w:left="360"/>
        <w:rPr>
          <w:sz w:val="24"/>
          <w:szCs w:val="24"/>
        </w:rPr>
      </w:pPr>
    </w:p>
    <w:p w14:paraId="54A5F950" w14:textId="20EA7DE6" w:rsidR="005D47DA" w:rsidRPr="001D111E" w:rsidRDefault="005D47DA" w:rsidP="005D47DA">
      <w:pPr>
        <w:pStyle w:val="ListParagraph"/>
        <w:numPr>
          <w:ilvl w:val="0"/>
          <w:numId w:val="44"/>
        </w:numPr>
        <w:spacing w:line="259" w:lineRule="auto"/>
        <w:rPr>
          <w:sz w:val="24"/>
          <w:szCs w:val="24"/>
        </w:rPr>
      </w:pPr>
      <w:r w:rsidRPr="001D111E">
        <w:rPr>
          <w:sz w:val="24"/>
          <w:szCs w:val="24"/>
        </w:rPr>
        <w:t xml:space="preserve">a commercial television </w:t>
      </w:r>
      <w:r>
        <w:rPr>
          <w:sz w:val="24"/>
          <w:szCs w:val="24"/>
        </w:rPr>
        <w:t xml:space="preserve">broadcasting </w:t>
      </w:r>
      <w:r w:rsidRPr="001D111E">
        <w:rPr>
          <w:sz w:val="24"/>
          <w:szCs w:val="24"/>
        </w:rPr>
        <w:t>licensee</w:t>
      </w:r>
      <w:r>
        <w:rPr>
          <w:sz w:val="24"/>
          <w:szCs w:val="24"/>
        </w:rPr>
        <w:t xml:space="preserve">, a community television broadcasting licensee, or </w:t>
      </w:r>
      <w:r w:rsidRPr="001D111E">
        <w:rPr>
          <w:sz w:val="24"/>
          <w:szCs w:val="24"/>
        </w:rPr>
        <w:t>a service prescribed by the Minister</w:t>
      </w:r>
      <w:r>
        <w:rPr>
          <w:sz w:val="24"/>
          <w:szCs w:val="24"/>
        </w:rPr>
        <w:t>,</w:t>
      </w:r>
      <w:r w:rsidRPr="001D111E">
        <w:rPr>
          <w:sz w:val="24"/>
          <w:szCs w:val="24"/>
        </w:rPr>
        <w:t xml:space="preserve"> where that service is transmitted in the </w:t>
      </w:r>
      <w:r w:rsidRPr="001D111E">
        <w:rPr>
          <w:iCs/>
          <w:sz w:val="24"/>
          <w:szCs w:val="24"/>
        </w:rPr>
        <w:t>licence area</w:t>
      </w:r>
      <w:r w:rsidRPr="001D111E">
        <w:rPr>
          <w:sz w:val="24"/>
          <w:szCs w:val="24"/>
        </w:rPr>
        <w:t xml:space="preserve"> in which the device is located and is authorised by a licence to be so transmitted.</w:t>
      </w:r>
    </w:p>
    <w:p w14:paraId="58D76EE7" w14:textId="77777777" w:rsidR="005D47DA" w:rsidRDefault="005D47DA" w:rsidP="00DA1B5C">
      <w:pPr>
        <w:rPr>
          <w:sz w:val="24"/>
          <w:szCs w:val="24"/>
        </w:rPr>
      </w:pPr>
    </w:p>
    <w:p w14:paraId="1A7A6920" w14:textId="6434EC1F" w:rsidR="0049445D" w:rsidRDefault="00630493" w:rsidP="00DA1B5C">
      <w:pPr>
        <w:rPr>
          <w:sz w:val="24"/>
          <w:szCs w:val="24"/>
        </w:rPr>
      </w:pPr>
      <w:r>
        <w:rPr>
          <w:sz w:val="24"/>
          <w:szCs w:val="24"/>
        </w:rPr>
        <w:t xml:space="preserve">Similar to paragraph 7(2)(a), this reflects the intention that the user of a regulated television device </w:t>
      </w:r>
      <w:r w:rsidR="00E356B5">
        <w:rPr>
          <w:sz w:val="24"/>
          <w:szCs w:val="24"/>
        </w:rPr>
        <w:t xml:space="preserve">specified in subsection 7(3) </w:t>
      </w:r>
      <w:r>
        <w:rPr>
          <w:sz w:val="24"/>
          <w:szCs w:val="24"/>
        </w:rPr>
        <w:t>should be able to</w:t>
      </w:r>
      <w:r w:rsidR="00E356B5">
        <w:rPr>
          <w:sz w:val="24"/>
          <w:szCs w:val="24"/>
        </w:rPr>
        <w:t xml:space="preserve"> use the EPG to</w:t>
      </w:r>
      <w:r>
        <w:rPr>
          <w:sz w:val="24"/>
          <w:szCs w:val="24"/>
        </w:rPr>
        <w:t xml:space="preserve"> access the</w:t>
      </w:r>
      <w:r w:rsidR="00E356B5">
        <w:rPr>
          <w:sz w:val="24"/>
          <w:szCs w:val="24"/>
        </w:rPr>
        <w:t xml:space="preserve"> </w:t>
      </w:r>
      <w:r>
        <w:rPr>
          <w:sz w:val="24"/>
          <w:szCs w:val="24"/>
        </w:rPr>
        <w:t>regulated television services that are broadcast in the area in which the device is located.</w:t>
      </w:r>
    </w:p>
    <w:p w14:paraId="4E18DD94" w14:textId="2AF95853" w:rsidR="00630493" w:rsidRDefault="00630493" w:rsidP="00DA1B5C">
      <w:pPr>
        <w:rPr>
          <w:sz w:val="24"/>
          <w:szCs w:val="24"/>
        </w:rPr>
      </w:pPr>
    </w:p>
    <w:p w14:paraId="013C53FE" w14:textId="084FD8CF" w:rsidR="00630493" w:rsidRDefault="00630493" w:rsidP="00DA1B5C">
      <w:pPr>
        <w:rPr>
          <w:sz w:val="24"/>
          <w:szCs w:val="24"/>
        </w:rPr>
      </w:pPr>
      <w:r>
        <w:rPr>
          <w:sz w:val="24"/>
          <w:szCs w:val="24"/>
        </w:rPr>
        <w:t>Paragraph 7(3)(c) provides that each of the services must be identified in the EPG using the service’s LCN. Similar to paragraphs 7(2)(b), this is intended to ensure that EPGs identify and provide access to regulated television services broadcast in the relevant area using the established industry designation of LCNs. Subsection 7(5) provides an e</w:t>
      </w:r>
      <w:r w:rsidR="00E356B5">
        <w:rPr>
          <w:sz w:val="24"/>
          <w:szCs w:val="24"/>
        </w:rPr>
        <w:t xml:space="preserve">xception </w:t>
      </w:r>
      <w:r>
        <w:rPr>
          <w:sz w:val="24"/>
          <w:szCs w:val="24"/>
        </w:rPr>
        <w:t xml:space="preserve">to this requirement for regulated television devices </w:t>
      </w:r>
      <w:r w:rsidR="00E356B5">
        <w:rPr>
          <w:sz w:val="24"/>
          <w:szCs w:val="24"/>
        </w:rPr>
        <w:t xml:space="preserve">specified in subsection 7(3) </w:t>
      </w:r>
      <w:r>
        <w:rPr>
          <w:sz w:val="24"/>
          <w:szCs w:val="24"/>
        </w:rPr>
        <w:t xml:space="preserve">that are not capable of displaying a television program without being connected to other equipment (comparable with the exception provided </w:t>
      </w:r>
      <w:r w:rsidR="00175782">
        <w:rPr>
          <w:sz w:val="24"/>
          <w:szCs w:val="24"/>
        </w:rPr>
        <w:t>to</w:t>
      </w:r>
      <w:r>
        <w:rPr>
          <w:sz w:val="24"/>
          <w:szCs w:val="24"/>
        </w:rPr>
        <w:t xml:space="preserve"> the requirements specified in paragraph 7(2)(b)</w:t>
      </w:r>
      <w:r w:rsidR="00175782">
        <w:rPr>
          <w:sz w:val="24"/>
          <w:szCs w:val="24"/>
        </w:rPr>
        <w:t>)</w:t>
      </w:r>
      <w:r>
        <w:rPr>
          <w:sz w:val="24"/>
          <w:szCs w:val="24"/>
        </w:rPr>
        <w:t xml:space="preserve">. </w:t>
      </w:r>
      <w:r w:rsidR="00BA1C9E" w:rsidRPr="00BA1C9E">
        <w:rPr>
          <w:sz w:val="24"/>
          <w:szCs w:val="24"/>
        </w:rPr>
        <w:t xml:space="preserve"> This is intended to avoid an unfair burden on parties such as Foxtel</w:t>
      </w:r>
      <w:r w:rsidR="00BA1C9E">
        <w:rPr>
          <w:sz w:val="24"/>
          <w:szCs w:val="24"/>
        </w:rPr>
        <w:t>,</w:t>
      </w:r>
      <w:r w:rsidR="00BA1C9E" w:rsidRPr="00BA1C9E">
        <w:rPr>
          <w:sz w:val="24"/>
          <w:szCs w:val="24"/>
        </w:rPr>
        <w:t xml:space="preserve"> that have a well-established numbering system used on plug-in devices.</w:t>
      </w:r>
    </w:p>
    <w:p w14:paraId="71C3B55B" w14:textId="77777777" w:rsidR="00630493" w:rsidRDefault="00630493" w:rsidP="00DA1B5C">
      <w:pPr>
        <w:rPr>
          <w:sz w:val="24"/>
          <w:szCs w:val="24"/>
        </w:rPr>
      </w:pPr>
    </w:p>
    <w:p w14:paraId="50A29A88" w14:textId="510A98B0" w:rsidR="00FD385F" w:rsidRDefault="00630493">
      <w:pPr>
        <w:spacing w:line="259" w:lineRule="auto"/>
        <w:rPr>
          <w:sz w:val="24"/>
          <w:szCs w:val="24"/>
        </w:rPr>
      </w:pPr>
      <w:r>
        <w:rPr>
          <w:sz w:val="24"/>
          <w:szCs w:val="24"/>
        </w:rPr>
        <w:t>Paragraph 7(3)(d) provides that a user of a device</w:t>
      </w:r>
      <w:r w:rsidR="00E356B5">
        <w:rPr>
          <w:sz w:val="24"/>
          <w:szCs w:val="24"/>
        </w:rPr>
        <w:t xml:space="preserve"> specified in subsection 7(3)</w:t>
      </w:r>
      <w:r>
        <w:rPr>
          <w:sz w:val="24"/>
          <w:szCs w:val="24"/>
        </w:rPr>
        <w:t xml:space="preserve"> at a particular time must be able to view a live television program that is being broadcast</w:t>
      </w:r>
      <w:r w:rsidR="00A929A3">
        <w:rPr>
          <w:sz w:val="24"/>
          <w:szCs w:val="24"/>
        </w:rPr>
        <w:t xml:space="preserve"> </w:t>
      </w:r>
      <w:r>
        <w:rPr>
          <w:sz w:val="24"/>
          <w:szCs w:val="24"/>
        </w:rPr>
        <w:t>in each service by selecting the program in the EPG, while paragraph 7(3)</w:t>
      </w:r>
      <w:r w:rsidR="00175782">
        <w:rPr>
          <w:sz w:val="24"/>
          <w:szCs w:val="24"/>
        </w:rPr>
        <w:t>(e) provides that the EPG must be capable to accurately displaying, a</w:t>
      </w:r>
      <w:r w:rsidR="00A929A3">
        <w:rPr>
          <w:sz w:val="24"/>
          <w:szCs w:val="24"/>
        </w:rPr>
        <w:t>t</w:t>
      </w:r>
      <w:r w:rsidR="00175782">
        <w:rPr>
          <w:sz w:val="24"/>
          <w:szCs w:val="24"/>
        </w:rPr>
        <w:t xml:space="preserve"> a particular time, certain information regarding: </w:t>
      </w:r>
    </w:p>
    <w:p w14:paraId="0C40FB81" w14:textId="77777777" w:rsidR="00AF74E1" w:rsidRDefault="00AF74E1" w:rsidP="00AF74E1">
      <w:pPr>
        <w:pStyle w:val="ListParagraph"/>
        <w:spacing w:line="259" w:lineRule="auto"/>
        <w:ind w:left="360"/>
        <w:rPr>
          <w:sz w:val="24"/>
          <w:szCs w:val="24"/>
        </w:rPr>
      </w:pPr>
    </w:p>
    <w:p w14:paraId="7BCAECF1" w14:textId="2622486B" w:rsidR="00175782" w:rsidRDefault="00175782" w:rsidP="00175782">
      <w:pPr>
        <w:pStyle w:val="ListParagraph"/>
        <w:numPr>
          <w:ilvl w:val="0"/>
          <w:numId w:val="45"/>
        </w:numPr>
        <w:spacing w:line="259" w:lineRule="auto"/>
        <w:rPr>
          <w:sz w:val="24"/>
          <w:szCs w:val="24"/>
        </w:rPr>
      </w:pPr>
      <w:r>
        <w:rPr>
          <w:sz w:val="24"/>
          <w:szCs w:val="24"/>
        </w:rPr>
        <w:t xml:space="preserve">the live television program </w:t>
      </w:r>
      <w:r w:rsidR="00AF74E1">
        <w:rPr>
          <w:sz w:val="24"/>
          <w:szCs w:val="24"/>
        </w:rPr>
        <w:t>broadcast in each such service at that time</w:t>
      </w:r>
    </w:p>
    <w:p w14:paraId="13C25BF8" w14:textId="77777777" w:rsidR="00AF74E1" w:rsidRDefault="00AF74E1" w:rsidP="00AF74E1">
      <w:pPr>
        <w:pStyle w:val="ListParagraph"/>
        <w:spacing w:line="259" w:lineRule="auto"/>
        <w:ind w:left="360"/>
        <w:rPr>
          <w:sz w:val="24"/>
          <w:szCs w:val="24"/>
        </w:rPr>
      </w:pPr>
    </w:p>
    <w:p w14:paraId="3C128A47" w14:textId="33FD340B" w:rsidR="00AF74E1" w:rsidRDefault="00AF74E1" w:rsidP="00175782">
      <w:pPr>
        <w:pStyle w:val="ListParagraph"/>
        <w:numPr>
          <w:ilvl w:val="0"/>
          <w:numId w:val="45"/>
        </w:numPr>
        <w:spacing w:line="259" w:lineRule="auto"/>
        <w:rPr>
          <w:sz w:val="24"/>
          <w:szCs w:val="24"/>
        </w:rPr>
      </w:pPr>
      <w:r>
        <w:rPr>
          <w:sz w:val="24"/>
          <w:szCs w:val="24"/>
        </w:rPr>
        <w:t>the television program that will be broadcast on each such service immediately after the live television program</w:t>
      </w:r>
    </w:p>
    <w:p w14:paraId="4CF27F61" w14:textId="77777777" w:rsidR="00AF74E1" w:rsidRDefault="00AF74E1" w:rsidP="00AF74E1">
      <w:pPr>
        <w:pStyle w:val="ListParagraph"/>
        <w:spacing w:line="259" w:lineRule="auto"/>
        <w:ind w:left="360"/>
        <w:rPr>
          <w:sz w:val="24"/>
          <w:szCs w:val="24"/>
        </w:rPr>
      </w:pPr>
    </w:p>
    <w:p w14:paraId="0A26392B" w14:textId="2D6D1D89" w:rsidR="00E356B5" w:rsidRPr="00077492" w:rsidRDefault="00AF74E1" w:rsidP="00DA1B5C">
      <w:pPr>
        <w:pStyle w:val="ListParagraph"/>
        <w:numPr>
          <w:ilvl w:val="0"/>
          <w:numId w:val="45"/>
        </w:numPr>
        <w:spacing w:line="259" w:lineRule="auto"/>
        <w:rPr>
          <w:sz w:val="24"/>
          <w:szCs w:val="24"/>
        </w:rPr>
      </w:pPr>
      <w:r>
        <w:rPr>
          <w:sz w:val="24"/>
          <w:szCs w:val="24"/>
        </w:rPr>
        <w:lastRenderedPageBreak/>
        <w:t xml:space="preserve">the television program that will be broadcast on each such services during the period of 7 days beginning from that time. </w:t>
      </w:r>
    </w:p>
    <w:p w14:paraId="01864CA5" w14:textId="77777777" w:rsidR="00E356B5" w:rsidRDefault="00E356B5" w:rsidP="00DA1B5C">
      <w:pPr>
        <w:rPr>
          <w:sz w:val="24"/>
          <w:szCs w:val="24"/>
        </w:rPr>
      </w:pPr>
    </w:p>
    <w:p w14:paraId="65B0106F" w14:textId="776BE6E8" w:rsidR="00AF74E1" w:rsidRDefault="000734E6" w:rsidP="00DA1B5C">
      <w:pPr>
        <w:rPr>
          <w:sz w:val="24"/>
          <w:szCs w:val="24"/>
        </w:rPr>
      </w:pPr>
      <w:r w:rsidRPr="000734E6">
        <w:rPr>
          <w:sz w:val="24"/>
          <w:szCs w:val="24"/>
        </w:rPr>
        <w:t xml:space="preserve">Subsection 7(4) </w:t>
      </w:r>
      <w:r w:rsidR="00AF74E1">
        <w:rPr>
          <w:sz w:val="24"/>
          <w:szCs w:val="24"/>
        </w:rPr>
        <w:t xml:space="preserve">sets out the particular information that the EPG must display, being: </w:t>
      </w:r>
    </w:p>
    <w:p w14:paraId="6A4753C9" w14:textId="4D663AAF" w:rsidR="00AF74E1" w:rsidRDefault="00AF74E1" w:rsidP="00DA1B5C">
      <w:pPr>
        <w:rPr>
          <w:sz w:val="24"/>
          <w:szCs w:val="24"/>
        </w:rPr>
      </w:pPr>
    </w:p>
    <w:p w14:paraId="48251177" w14:textId="1F4E7B7B" w:rsidR="00AF74E1" w:rsidRPr="00AF74E1" w:rsidRDefault="00AF74E1" w:rsidP="00AF74E1">
      <w:pPr>
        <w:pStyle w:val="ListParagraph"/>
        <w:numPr>
          <w:ilvl w:val="0"/>
          <w:numId w:val="45"/>
        </w:numPr>
        <w:spacing w:line="259" w:lineRule="auto"/>
        <w:rPr>
          <w:sz w:val="24"/>
          <w:szCs w:val="24"/>
        </w:rPr>
      </w:pPr>
      <w:r w:rsidRPr="00AF74E1">
        <w:rPr>
          <w:sz w:val="24"/>
          <w:szCs w:val="24"/>
        </w:rPr>
        <w:t>the name of the television program</w:t>
      </w:r>
    </w:p>
    <w:p w14:paraId="76E07B61" w14:textId="77777777" w:rsidR="00AF74E1" w:rsidRDefault="00AF74E1" w:rsidP="00AF74E1">
      <w:pPr>
        <w:pStyle w:val="ListParagraph"/>
        <w:spacing w:line="259" w:lineRule="auto"/>
        <w:ind w:left="360"/>
        <w:rPr>
          <w:sz w:val="24"/>
          <w:szCs w:val="24"/>
        </w:rPr>
      </w:pPr>
    </w:p>
    <w:p w14:paraId="511BE37D" w14:textId="0F70D678" w:rsidR="00AF74E1" w:rsidRPr="00AF74E1" w:rsidRDefault="00AF74E1" w:rsidP="00AF74E1">
      <w:pPr>
        <w:pStyle w:val="ListParagraph"/>
        <w:numPr>
          <w:ilvl w:val="0"/>
          <w:numId w:val="45"/>
        </w:numPr>
        <w:spacing w:line="259" w:lineRule="auto"/>
        <w:rPr>
          <w:sz w:val="24"/>
          <w:szCs w:val="24"/>
        </w:rPr>
      </w:pPr>
      <w:r>
        <w:rPr>
          <w:sz w:val="24"/>
          <w:szCs w:val="24"/>
        </w:rPr>
        <w:t>t</w:t>
      </w:r>
      <w:r w:rsidRPr="00AF74E1">
        <w:rPr>
          <w:sz w:val="24"/>
          <w:szCs w:val="24"/>
        </w:rPr>
        <w:t>he start and finish time of the television program</w:t>
      </w:r>
    </w:p>
    <w:p w14:paraId="5D877B32" w14:textId="77777777" w:rsidR="00AF74E1" w:rsidRDefault="00AF74E1" w:rsidP="00AF74E1">
      <w:pPr>
        <w:pStyle w:val="ListParagraph"/>
        <w:spacing w:line="259" w:lineRule="auto"/>
        <w:ind w:left="360"/>
        <w:rPr>
          <w:sz w:val="24"/>
          <w:szCs w:val="24"/>
        </w:rPr>
      </w:pPr>
    </w:p>
    <w:p w14:paraId="35F30369" w14:textId="1CEA2483" w:rsidR="00AF74E1" w:rsidRPr="00AF74E1" w:rsidRDefault="00AF74E1" w:rsidP="00AF74E1">
      <w:pPr>
        <w:pStyle w:val="ListParagraph"/>
        <w:numPr>
          <w:ilvl w:val="0"/>
          <w:numId w:val="45"/>
        </w:numPr>
        <w:spacing w:line="259" w:lineRule="auto"/>
        <w:rPr>
          <w:sz w:val="24"/>
          <w:szCs w:val="24"/>
        </w:rPr>
      </w:pPr>
      <w:r w:rsidRPr="00AF74E1">
        <w:rPr>
          <w:sz w:val="24"/>
          <w:szCs w:val="24"/>
        </w:rPr>
        <w:t>a brief description of the television program</w:t>
      </w:r>
    </w:p>
    <w:p w14:paraId="34F6B1C3" w14:textId="77777777" w:rsidR="00AF74E1" w:rsidRDefault="00AF74E1" w:rsidP="00AF74E1">
      <w:pPr>
        <w:pStyle w:val="ListParagraph"/>
        <w:spacing w:line="259" w:lineRule="auto"/>
        <w:ind w:left="360"/>
        <w:rPr>
          <w:sz w:val="24"/>
          <w:szCs w:val="24"/>
        </w:rPr>
      </w:pPr>
    </w:p>
    <w:p w14:paraId="46D6942F" w14:textId="318E238D" w:rsidR="00AF74E1" w:rsidRPr="00AF74E1" w:rsidRDefault="00AF74E1" w:rsidP="00AF74E1">
      <w:pPr>
        <w:pStyle w:val="ListParagraph"/>
        <w:numPr>
          <w:ilvl w:val="0"/>
          <w:numId w:val="45"/>
        </w:numPr>
        <w:spacing w:line="259" w:lineRule="auto"/>
        <w:rPr>
          <w:sz w:val="24"/>
          <w:szCs w:val="24"/>
        </w:rPr>
      </w:pPr>
      <w:r w:rsidRPr="00AF74E1">
        <w:rPr>
          <w:sz w:val="24"/>
          <w:szCs w:val="24"/>
        </w:rPr>
        <w:t>the classification information of the television program.</w:t>
      </w:r>
    </w:p>
    <w:p w14:paraId="65E61E4B" w14:textId="77777777" w:rsidR="00AF74E1" w:rsidRDefault="00AF74E1" w:rsidP="00DA1B5C">
      <w:pPr>
        <w:rPr>
          <w:sz w:val="24"/>
          <w:szCs w:val="24"/>
        </w:rPr>
      </w:pPr>
    </w:p>
    <w:p w14:paraId="0F4554C7" w14:textId="104378A3" w:rsidR="00B32992" w:rsidRDefault="00AF74E1" w:rsidP="00DA1B5C">
      <w:pPr>
        <w:rPr>
          <w:sz w:val="24"/>
          <w:szCs w:val="24"/>
        </w:rPr>
      </w:pPr>
      <w:r>
        <w:rPr>
          <w:sz w:val="24"/>
          <w:szCs w:val="24"/>
        </w:rPr>
        <w:t xml:space="preserve">The requirements specified in paragraphs 7(3)(d) and 7(3)(e) replicate the existing industry-determined arrangements for the provision of information </w:t>
      </w:r>
      <w:r w:rsidR="00E356B5">
        <w:rPr>
          <w:sz w:val="24"/>
          <w:szCs w:val="24"/>
        </w:rPr>
        <w:t>i</w:t>
      </w:r>
      <w:r>
        <w:rPr>
          <w:sz w:val="24"/>
          <w:szCs w:val="24"/>
        </w:rPr>
        <w:t xml:space="preserve">n EPGs.  </w:t>
      </w:r>
    </w:p>
    <w:p w14:paraId="62C028A2" w14:textId="77777777" w:rsidR="002D07BB" w:rsidRPr="000734E6" w:rsidRDefault="002D07BB" w:rsidP="00DA1B5C">
      <w:pPr>
        <w:rPr>
          <w:sz w:val="24"/>
          <w:szCs w:val="24"/>
        </w:rPr>
      </w:pPr>
    </w:p>
    <w:p w14:paraId="2AB03D58" w14:textId="762DF8CA" w:rsidR="000734E6" w:rsidRDefault="000734E6" w:rsidP="00DA1B5C">
      <w:pPr>
        <w:rPr>
          <w:sz w:val="24"/>
          <w:szCs w:val="24"/>
        </w:rPr>
      </w:pPr>
      <w:r w:rsidRPr="000734E6">
        <w:rPr>
          <w:sz w:val="24"/>
          <w:szCs w:val="24"/>
        </w:rPr>
        <w:t xml:space="preserve">Subsection 7(6) exempts advertising and sponsorship material from the EPG requirements. The term ‘program’ as defined in the </w:t>
      </w:r>
      <w:r w:rsidR="00055512">
        <w:rPr>
          <w:sz w:val="24"/>
          <w:szCs w:val="24"/>
        </w:rPr>
        <w:t>Act</w:t>
      </w:r>
      <w:r w:rsidRPr="000734E6">
        <w:rPr>
          <w:sz w:val="24"/>
          <w:szCs w:val="24"/>
        </w:rPr>
        <w:t xml:space="preserve"> includes advertising and sponsorship material. As such, this exception </w:t>
      </w:r>
      <w:r w:rsidR="00AF74E1">
        <w:rPr>
          <w:sz w:val="24"/>
          <w:szCs w:val="24"/>
        </w:rPr>
        <w:t xml:space="preserve">will avoid </w:t>
      </w:r>
      <w:r w:rsidRPr="000734E6">
        <w:rPr>
          <w:sz w:val="24"/>
          <w:szCs w:val="24"/>
        </w:rPr>
        <w:t xml:space="preserve">EPGs </w:t>
      </w:r>
      <w:r w:rsidR="00AF74E1">
        <w:rPr>
          <w:sz w:val="24"/>
          <w:szCs w:val="24"/>
        </w:rPr>
        <w:t xml:space="preserve">from otherwise being </w:t>
      </w:r>
      <w:r w:rsidRPr="000734E6">
        <w:rPr>
          <w:sz w:val="24"/>
          <w:szCs w:val="24"/>
        </w:rPr>
        <w:t xml:space="preserve">required to display information about advertising or sponsorship material shown during television programs. </w:t>
      </w:r>
      <w:r w:rsidR="00976B3F">
        <w:rPr>
          <w:sz w:val="24"/>
          <w:szCs w:val="24"/>
        </w:rPr>
        <w:t>For s</w:t>
      </w:r>
      <w:r w:rsidRPr="000734E6">
        <w:rPr>
          <w:sz w:val="24"/>
          <w:szCs w:val="24"/>
        </w:rPr>
        <w:t>ervices that are exclusively advertising material (i.e. home shopping channels)</w:t>
      </w:r>
      <w:r w:rsidR="00AF74E1">
        <w:rPr>
          <w:sz w:val="24"/>
          <w:szCs w:val="24"/>
        </w:rPr>
        <w:t>,</w:t>
      </w:r>
      <w:r w:rsidRPr="000734E6">
        <w:rPr>
          <w:sz w:val="24"/>
          <w:szCs w:val="24"/>
        </w:rPr>
        <w:t xml:space="preserve"> </w:t>
      </w:r>
      <w:r w:rsidR="00976B3F">
        <w:rPr>
          <w:sz w:val="24"/>
          <w:szCs w:val="24"/>
        </w:rPr>
        <w:t xml:space="preserve">the </w:t>
      </w:r>
      <w:r w:rsidRPr="000734E6">
        <w:rPr>
          <w:sz w:val="24"/>
          <w:szCs w:val="24"/>
        </w:rPr>
        <w:t xml:space="preserve">EPG requirements must still be met. </w:t>
      </w:r>
    </w:p>
    <w:p w14:paraId="1EFFE3F6" w14:textId="77777777" w:rsidR="00225921" w:rsidRPr="000734E6" w:rsidRDefault="00225921" w:rsidP="00DA1B5C">
      <w:pPr>
        <w:rPr>
          <w:sz w:val="24"/>
          <w:szCs w:val="24"/>
        </w:rPr>
      </w:pPr>
    </w:p>
    <w:p w14:paraId="163F63C2" w14:textId="46E9D42A" w:rsidR="000D0504" w:rsidRDefault="00A72A21" w:rsidP="00DA1B5C">
      <w:pPr>
        <w:rPr>
          <w:sz w:val="24"/>
          <w:szCs w:val="24"/>
        </w:rPr>
      </w:pPr>
      <w:r>
        <w:rPr>
          <w:sz w:val="24"/>
          <w:szCs w:val="24"/>
        </w:rPr>
        <w:t>S</w:t>
      </w:r>
      <w:r w:rsidR="000734E6" w:rsidRPr="002D07BB">
        <w:rPr>
          <w:sz w:val="24"/>
          <w:szCs w:val="24"/>
        </w:rPr>
        <w:t xml:space="preserve">ubsection 7(7) </w:t>
      </w:r>
      <w:r w:rsidR="000734E6" w:rsidRPr="002D07BB">
        <w:rPr>
          <w:sz w:val="24"/>
          <w:szCs w:val="24"/>
          <w:shd w:val="clear" w:color="auto" w:fill="FFFFFF"/>
        </w:rPr>
        <w:t xml:space="preserve">provides that any break during the transmission of a program for the purposes of </w:t>
      </w:r>
      <w:r w:rsidR="007406B8">
        <w:rPr>
          <w:sz w:val="24"/>
          <w:szCs w:val="24"/>
          <w:shd w:val="clear" w:color="auto" w:fill="FFFFFF"/>
        </w:rPr>
        <w:t xml:space="preserve">the </w:t>
      </w:r>
      <w:r w:rsidR="000734E6" w:rsidRPr="002D07BB">
        <w:rPr>
          <w:sz w:val="24"/>
          <w:szCs w:val="24"/>
          <w:shd w:val="clear" w:color="auto" w:fill="FFFFFF"/>
        </w:rPr>
        <w:t>transmission of other matter is taken not to affect the continuity of the program item.</w:t>
      </w:r>
      <w:r w:rsidR="002D07BB">
        <w:rPr>
          <w:sz w:val="24"/>
          <w:szCs w:val="24"/>
          <w:shd w:val="clear" w:color="auto" w:fill="FFFFFF"/>
        </w:rPr>
        <w:t xml:space="preserve"> </w:t>
      </w:r>
      <w:r w:rsidR="000734E6" w:rsidRPr="002D07BB">
        <w:rPr>
          <w:sz w:val="24"/>
          <w:szCs w:val="24"/>
          <w:shd w:val="clear" w:color="auto" w:fill="FFFFFF"/>
        </w:rPr>
        <w:t xml:space="preserve">This makes it clear, for example, that a program item that is interrupted by advertising or a news flash is nonetheless one program </w:t>
      </w:r>
      <w:r w:rsidR="000734E6" w:rsidRPr="002D07BB">
        <w:rPr>
          <w:sz w:val="24"/>
          <w:szCs w:val="24"/>
        </w:rPr>
        <w:t xml:space="preserve">and subsequently does not require the display of separate EPG segments for each part of </w:t>
      </w:r>
      <w:r w:rsidR="00583B05">
        <w:rPr>
          <w:sz w:val="24"/>
          <w:szCs w:val="24"/>
        </w:rPr>
        <w:t xml:space="preserve">the program </w:t>
      </w:r>
      <w:r w:rsidR="000734E6" w:rsidRPr="002D07BB">
        <w:rPr>
          <w:sz w:val="24"/>
          <w:szCs w:val="24"/>
        </w:rPr>
        <w:t xml:space="preserve">that is broadcast </w:t>
      </w:r>
      <w:r w:rsidR="00583B05">
        <w:rPr>
          <w:sz w:val="24"/>
          <w:szCs w:val="24"/>
        </w:rPr>
        <w:t xml:space="preserve">on either side of the break. </w:t>
      </w:r>
    </w:p>
    <w:p w14:paraId="4BAC2CBF" w14:textId="273D809E" w:rsidR="00215F07" w:rsidRDefault="00215F07" w:rsidP="00DA1B5C">
      <w:pPr>
        <w:rPr>
          <w:sz w:val="24"/>
          <w:szCs w:val="24"/>
        </w:rPr>
      </w:pPr>
    </w:p>
    <w:p w14:paraId="7D7C0716" w14:textId="77777777" w:rsidR="00215F07" w:rsidRPr="00215F07" w:rsidRDefault="00215F07" w:rsidP="00DA1B5C">
      <w:pPr>
        <w:rPr>
          <w:sz w:val="24"/>
          <w:szCs w:val="24"/>
        </w:rPr>
      </w:pPr>
    </w:p>
    <w:p w14:paraId="1095D563" w14:textId="77777777" w:rsidR="00FD385F" w:rsidRDefault="00FD385F" w:rsidP="00DA1B5C">
      <w:pPr>
        <w:spacing w:line="276" w:lineRule="auto"/>
        <w:rPr>
          <w:b/>
          <w:color w:val="000000" w:themeColor="text1"/>
          <w:sz w:val="28"/>
          <w:szCs w:val="28"/>
        </w:rPr>
      </w:pPr>
      <w:r>
        <w:rPr>
          <w:b/>
          <w:color w:val="000000" w:themeColor="text1"/>
          <w:sz w:val="28"/>
          <w:szCs w:val="28"/>
        </w:rPr>
        <w:br w:type="page"/>
      </w:r>
    </w:p>
    <w:p w14:paraId="31E23F8D" w14:textId="0085302D" w:rsidR="002C0CD5" w:rsidRPr="0011175C" w:rsidRDefault="00404192" w:rsidP="00675482">
      <w:pPr>
        <w:spacing w:after="160"/>
        <w:jc w:val="right"/>
        <w:rPr>
          <w:color w:val="000000" w:themeColor="text1"/>
          <w:sz w:val="28"/>
          <w:szCs w:val="28"/>
        </w:rPr>
      </w:pPr>
      <w:r w:rsidRPr="0011175C">
        <w:rPr>
          <w:b/>
          <w:color w:val="000000" w:themeColor="text1"/>
          <w:sz w:val="28"/>
          <w:szCs w:val="28"/>
        </w:rPr>
        <w:lastRenderedPageBreak/>
        <w:t xml:space="preserve">Attachment </w:t>
      </w:r>
      <w:r w:rsidR="00675482" w:rsidRPr="0011175C">
        <w:rPr>
          <w:b/>
          <w:color w:val="000000" w:themeColor="text1"/>
          <w:sz w:val="28"/>
          <w:szCs w:val="28"/>
        </w:rPr>
        <w:t>B</w:t>
      </w:r>
    </w:p>
    <w:p w14:paraId="4FACD79E" w14:textId="77777777" w:rsidR="00404192" w:rsidRPr="0011175C" w:rsidRDefault="00404192" w:rsidP="00404192">
      <w:pPr>
        <w:spacing w:before="360" w:after="120"/>
        <w:jc w:val="center"/>
        <w:rPr>
          <w:color w:val="000000" w:themeColor="text1"/>
          <w:sz w:val="28"/>
          <w:szCs w:val="28"/>
        </w:rPr>
      </w:pPr>
      <w:r w:rsidRPr="0011175C">
        <w:rPr>
          <w:b/>
          <w:color w:val="000000" w:themeColor="text1"/>
          <w:sz w:val="28"/>
          <w:szCs w:val="28"/>
        </w:rPr>
        <w:t>Statement of Compatibility with Human Rights</w:t>
      </w:r>
    </w:p>
    <w:p w14:paraId="34D8A89B" w14:textId="77777777" w:rsidR="00404192" w:rsidRPr="0011175C" w:rsidRDefault="00404192" w:rsidP="00404192">
      <w:pPr>
        <w:jc w:val="center"/>
        <w:rPr>
          <w:color w:val="000000" w:themeColor="text1"/>
          <w:sz w:val="24"/>
          <w:szCs w:val="24"/>
        </w:rPr>
      </w:pPr>
      <w:r w:rsidRPr="0011175C">
        <w:rPr>
          <w:color w:val="000000" w:themeColor="text1"/>
          <w:sz w:val="24"/>
          <w:szCs w:val="24"/>
        </w:rPr>
        <w:t>Prepared in accordance with Part 3 of the</w:t>
      </w:r>
      <w:r w:rsidRPr="0011175C">
        <w:rPr>
          <w:i/>
          <w:color w:val="000000" w:themeColor="text1"/>
          <w:sz w:val="24"/>
          <w:szCs w:val="24"/>
        </w:rPr>
        <w:t xml:space="preserve"> Human Rights (Parliamentary Scrutiny) Act 2011</w:t>
      </w:r>
    </w:p>
    <w:p w14:paraId="76C924D6" w14:textId="77777777" w:rsidR="00404192" w:rsidRPr="0011175C" w:rsidRDefault="00404192" w:rsidP="00404192">
      <w:pPr>
        <w:jc w:val="center"/>
        <w:rPr>
          <w:color w:val="000000" w:themeColor="text1"/>
          <w:sz w:val="24"/>
          <w:szCs w:val="24"/>
        </w:rPr>
      </w:pPr>
    </w:p>
    <w:p w14:paraId="49C5B02D" w14:textId="62695C90" w:rsidR="00404192" w:rsidRDefault="009125C6" w:rsidP="009125C6">
      <w:pPr>
        <w:jc w:val="center"/>
        <w:rPr>
          <w:b/>
          <w:i/>
          <w:color w:val="000000" w:themeColor="text1"/>
          <w:sz w:val="24"/>
          <w:szCs w:val="24"/>
        </w:rPr>
      </w:pPr>
      <w:r w:rsidRPr="009125C6">
        <w:rPr>
          <w:b/>
          <w:i/>
          <w:color w:val="000000" w:themeColor="text1"/>
          <w:sz w:val="24"/>
          <w:szCs w:val="24"/>
        </w:rPr>
        <w:t>Broadcasting Services (</w:t>
      </w:r>
      <w:r w:rsidR="008F1F15">
        <w:rPr>
          <w:b/>
          <w:i/>
          <w:color w:val="000000" w:themeColor="text1"/>
          <w:sz w:val="24"/>
          <w:szCs w:val="24"/>
        </w:rPr>
        <w:t>Minimum Prominence Requirements) Regulations 2024</w:t>
      </w:r>
    </w:p>
    <w:p w14:paraId="78C8D4D2" w14:textId="77777777" w:rsidR="009125C6" w:rsidRPr="0011175C" w:rsidRDefault="009125C6" w:rsidP="00404192">
      <w:pPr>
        <w:rPr>
          <w:color w:val="000000" w:themeColor="text1"/>
          <w:sz w:val="24"/>
          <w:szCs w:val="24"/>
        </w:rPr>
      </w:pPr>
    </w:p>
    <w:p w14:paraId="40048F9B" w14:textId="1417B21E" w:rsidR="00404192" w:rsidRPr="0011175C" w:rsidRDefault="00C80B31" w:rsidP="00404192">
      <w:pPr>
        <w:rPr>
          <w:color w:val="000000" w:themeColor="text1"/>
          <w:sz w:val="24"/>
          <w:szCs w:val="24"/>
        </w:rPr>
      </w:pPr>
      <w:r w:rsidRPr="0011175C">
        <w:rPr>
          <w:color w:val="000000" w:themeColor="text1"/>
          <w:sz w:val="24"/>
          <w:szCs w:val="24"/>
        </w:rPr>
        <w:t xml:space="preserve">The </w:t>
      </w:r>
      <w:r w:rsidR="00A26E96" w:rsidRPr="00622464">
        <w:rPr>
          <w:i/>
          <w:color w:val="000000" w:themeColor="text1"/>
          <w:sz w:val="24"/>
          <w:szCs w:val="24"/>
        </w:rPr>
        <w:t>Broadcasting Services (</w:t>
      </w:r>
      <w:r w:rsidR="008F1F15">
        <w:rPr>
          <w:i/>
          <w:color w:val="000000" w:themeColor="text1"/>
          <w:sz w:val="24"/>
          <w:szCs w:val="24"/>
        </w:rPr>
        <w:t>Minimum Prominence Requirements) Regulations</w:t>
      </w:r>
      <w:r w:rsidR="00C5314B">
        <w:rPr>
          <w:i/>
          <w:color w:val="000000" w:themeColor="text1"/>
          <w:sz w:val="24"/>
          <w:szCs w:val="24"/>
        </w:rPr>
        <w:t xml:space="preserve"> 2024</w:t>
      </w:r>
      <w:r w:rsidR="00A26E96" w:rsidRPr="00622464">
        <w:rPr>
          <w:i/>
          <w:color w:val="000000" w:themeColor="text1"/>
          <w:sz w:val="24"/>
          <w:szCs w:val="24"/>
        </w:rPr>
        <w:t xml:space="preserve"> </w:t>
      </w:r>
      <w:r w:rsidR="00404192" w:rsidRPr="0011175C">
        <w:rPr>
          <w:color w:val="000000" w:themeColor="text1"/>
          <w:sz w:val="24"/>
          <w:szCs w:val="24"/>
        </w:rPr>
        <w:t xml:space="preserve">is compatible with the human rights and freedoms recognised or declared in the international instruments </w:t>
      </w:r>
      <w:r w:rsidR="00F835DF" w:rsidRPr="0011175C">
        <w:rPr>
          <w:color w:val="000000" w:themeColor="text1"/>
          <w:sz w:val="24"/>
          <w:szCs w:val="24"/>
        </w:rPr>
        <w:t xml:space="preserve">listed in section 3 of the </w:t>
      </w:r>
      <w:r w:rsidR="00F835DF" w:rsidRPr="0011175C">
        <w:rPr>
          <w:i/>
          <w:color w:val="000000" w:themeColor="text1"/>
          <w:sz w:val="24"/>
          <w:szCs w:val="24"/>
        </w:rPr>
        <w:t>Human Rights (Parliamentary Scrutiny) Act 2011</w:t>
      </w:r>
      <w:r w:rsidR="00F835DF" w:rsidRPr="0011175C">
        <w:rPr>
          <w:color w:val="000000" w:themeColor="text1"/>
          <w:sz w:val="24"/>
          <w:szCs w:val="24"/>
        </w:rPr>
        <w:t>.</w:t>
      </w:r>
    </w:p>
    <w:p w14:paraId="0A05FE4F" w14:textId="77777777" w:rsidR="00F835DF" w:rsidRPr="0011175C" w:rsidRDefault="00F835DF" w:rsidP="00404192">
      <w:pPr>
        <w:rPr>
          <w:color w:val="000000" w:themeColor="text1"/>
          <w:sz w:val="24"/>
          <w:szCs w:val="24"/>
        </w:rPr>
      </w:pPr>
    </w:p>
    <w:p w14:paraId="22F9DDBD" w14:textId="42507572" w:rsidR="005914D6" w:rsidRPr="0011175C" w:rsidRDefault="00443A66" w:rsidP="00CD580D">
      <w:pPr>
        <w:rPr>
          <w:color w:val="000000" w:themeColor="text1"/>
          <w:sz w:val="24"/>
          <w:szCs w:val="24"/>
        </w:rPr>
      </w:pPr>
      <w:r w:rsidRPr="0011175C">
        <w:rPr>
          <w:b/>
          <w:color w:val="000000" w:themeColor="text1"/>
          <w:sz w:val="24"/>
          <w:szCs w:val="24"/>
        </w:rPr>
        <w:t xml:space="preserve">Overview </w:t>
      </w:r>
    </w:p>
    <w:p w14:paraId="5F7D1DAB" w14:textId="77777777" w:rsidR="00CD580D" w:rsidRDefault="00CD580D" w:rsidP="004469D7">
      <w:pPr>
        <w:ind w:right="91"/>
        <w:rPr>
          <w:sz w:val="24"/>
        </w:rPr>
      </w:pPr>
      <w:bookmarkStart w:id="6" w:name="_Hlk129784880"/>
    </w:p>
    <w:p w14:paraId="260D93FC" w14:textId="6EB54636" w:rsidR="004469D7" w:rsidRDefault="004469D7" w:rsidP="004469D7">
      <w:pPr>
        <w:ind w:right="91"/>
        <w:rPr>
          <w:sz w:val="24"/>
        </w:rPr>
      </w:pPr>
      <w:r>
        <w:rPr>
          <w:sz w:val="24"/>
        </w:rPr>
        <w:t xml:space="preserve">Part 9E of the </w:t>
      </w:r>
      <w:r>
        <w:rPr>
          <w:i/>
          <w:sz w:val="24"/>
        </w:rPr>
        <w:t>Broadcasting Services Act 1992</w:t>
      </w:r>
      <w:r w:rsidRPr="002D4980">
        <w:rPr>
          <w:sz w:val="24"/>
        </w:rPr>
        <w:t xml:space="preserve"> (the Act) </w:t>
      </w:r>
      <w:r>
        <w:rPr>
          <w:sz w:val="24"/>
        </w:rPr>
        <w:t xml:space="preserve">established the prominence framework, designed to regulate the accessibility and prominent display of certain linear </w:t>
      </w:r>
      <w:r w:rsidR="00A67D84">
        <w:rPr>
          <w:sz w:val="24"/>
        </w:rPr>
        <w:t xml:space="preserve">television </w:t>
      </w:r>
      <w:r>
        <w:rPr>
          <w:sz w:val="24"/>
        </w:rPr>
        <w:t>broadcasting services and broadcasting video on demand services on internet-connected television devices.</w:t>
      </w:r>
      <w:r w:rsidR="006C2F57">
        <w:rPr>
          <w:sz w:val="24"/>
        </w:rPr>
        <w:t xml:space="preserve"> </w:t>
      </w:r>
      <w:r w:rsidRPr="000C68F2">
        <w:rPr>
          <w:sz w:val="24"/>
        </w:rPr>
        <w:t xml:space="preserve">Section 130ZZO of the Act provides that </w:t>
      </w:r>
      <w:r>
        <w:rPr>
          <w:sz w:val="24"/>
        </w:rPr>
        <w:t>regulations may</w:t>
      </w:r>
      <w:r w:rsidRPr="000C68F2">
        <w:rPr>
          <w:sz w:val="24"/>
        </w:rPr>
        <w:t xml:space="preserve"> prescribe </w:t>
      </w:r>
      <w:r>
        <w:rPr>
          <w:sz w:val="24"/>
        </w:rPr>
        <w:t xml:space="preserve">the </w:t>
      </w:r>
      <w:r w:rsidRPr="000C68F2">
        <w:rPr>
          <w:sz w:val="24"/>
        </w:rPr>
        <w:t>minimum prominence requirements with which a regulated television device must comply</w:t>
      </w:r>
      <w:r>
        <w:rPr>
          <w:sz w:val="24"/>
        </w:rPr>
        <w:t xml:space="preserve"> with under the prominence framework</w:t>
      </w:r>
      <w:r w:rsidRPr="000C68F2">
        <w:rPr>
          <w:sz w:val="24"/>
        </w:rPr>
        <w:t xml:space="preserve">. </w:t>
      </w:r>
    </w:p>
    <w:p w14:paraId="71F2F998" w14:textId="77777777" w:rsidR="004469D7" w:rsidRPr="002D4980" w:rsidRDefault="004469D7" w:rsidP="004469D7">
      <w:pPr>
        <w:ind w:right="91"/>
        <w:rPr>
          <w:sz w:val="24"/>
        </w:rPr>
      </w:pPr>
    </w:p>
    <w:p w14:paraId="115E2E43" w14:textId="7AAA7E3F" w:rsidR="004469D7" w:rsidRDefault="004469D7" w:rsidP="004469D7">
      <w:pPr>
        <w:tabs>
          <w:tab w:val="left" w:pos="1560"/>
        </w:tabs>
        <w:ind w:right="91"/>
        <w:rPr>
          <w:sz w:val="24"/>
        </w:rPr>
      </w:pPr>
      <w:r w:rsidRPr="002D4980">
        <w:rPr>
          <w:sz w:val="24"/>
        </w:rPr>
        <w:t xml:space="preserve">The </w:t>
      </w:r>
      <w:r>
        <w:rPr>
          <w:i/>
          <w:sz w:val="24"/>
        </w:rPr>
        <w:t xml:space="preserve">Broadcasting Services (Minimum Prominence Requirements) Regulations 2024 </w:t>
      </w:r>
      <w:r>
        <w:rPr>
          <w:sz w:val="24"/>
        </w:rPr>
        <w:t xml:space="preserve">(the Regulations) </w:t>
      </w:r>
      <w:r w:rsidRPr="0046428A">
        <w:rPr>
          <w:sz w:val="24"/>
        </w:rPr>
        <w:t>prescribe the minimum prominence requirements</w:t>
      </w:r>
      <w:r w:rsidR="00701CD8">
        <w:rPr>
          <w:sz w:val="24"/>
        </w:rPr>
        <w:t>, ultimately giving effect to</w:t>
      </w:r>
      <w:r>
        <w:rPr>
          <w:sz w:val="24"/>
        </w:rPr>
        <w:t xml:space="preserve"> the framework</w:t>
      </w:r>
      <w:r w:rsidR="00701CD8">
        <w:rPr>
          <w:sz w:val="24"/>
        </w:rPr>
        <w:t>,</w:t>
      </w:r>
      <w:r w:rsidRPr="0046428A">
        <w:rPr>
          <w:sz w:val="24"/>
        </w:rPr>
        <w:t xml:space="preserve"> that manufacturers of regulated television devices and their related bodies corporate, must adhere to. </w:t>
      </w:r>
    </w:p>
    <w:p w14:paraId="4A19CB27" w14:textId="77777777" w:rsidR="004469D7" w:rsidRDefault="004469D7" w:rsidP="004469D7">
      <w:pPr>
        <w:tabs>
          <w:tab w:val="left" w:pos="1560"/>
        </w:tabs>
        <w:ind w:right="91"/>
        <w:rPr>
          <w:sz w:val="24"/>
        </w:rPr>
      </w:pPr>
    </w:p>
    <w:p w14:paraId="6521857F" w14:textId="3D39CC9E" w:rsidR="004469D7" w:rsidRPr="0046428A" w:rsidRDefault="00C1767E" w:rsidP="004469D7">
      <w:pPr>
        <w:tabs>
          <w:tab w:val="left" w:pos="1560"/>
        </w:tabs>
        <w:ind w:right="91"/>
        <w:rPr>
          <w:sz w:val="24"/>
        </w:rPr>
      </w:pPr>
      <w:r w:rsidRPr="0046428A">
        <w:rPr>
          <w:sz w:val="24"/>
        </w:rPr>
        <w:t>The</w:t>
      </w:r>
      <w:r>
        <w:rPr>
          <w:sz w:val="24"/>
        </w:rPr>
        <w:t xml:space="preserve">se include </w:t>
      </w:r>
      <w:r w:rsidRPr="0046428A">
        <w:rPr>
          <w:sz w:val="24"/>
        </w:rPr>
        <w:t>but</w:t>
      </w:r>
      <w:r>
        <w:rPr>
          <w:sz w:val="24"/>
        </w:rPr>
        <w:t xml:space="preserve"> are</w:t>
      </w:r>
      <w:r w:rsidRPr="0046428A">
        <w:rPr>
          <w:sz w:val="24"/>
        </w:rPr>
        <w:t xml:space="preserve"> not restricted to</w:t>
      </w:r>
      <w:r>
        <w:rPr>
          <w:sz w:val="24"/>
        </w:rPr>
        <w:t xml:space="preserve"> requirements in relation to</w:t>
      </w:r>
      <w:r w:rsidRPr="0046428A">
        <w:rPr>
          <w:sz w:val="24"/>
        </w:rPr>
        <w:t>:</w:t>
      </w:r>
    </w:p>
    <w:p w14:paraId="172ABC6D" w14:textId="77777777" w:rsidR="005448C8" w:rsidRDefault="005448C8" w:rsidP="005448C8">
      <w:pPr>
        <w:pStyle w:val="ListParagraph"/>
        <w:tabs>
          <w:tab w:val="left" w:pos="1560"/>
        </w:tabs>
        <w:ind w:left="357" w:right="91"/>
        <w:contextualSpacing w:val="0"/>
        <w:rPr>
          <w:sz w:val="24"/>
        </w:rPr>
      </w:pPr>
    </w:p>
    <w:p w14:paraId="520B4C13" w14:textId="64471CDA" w:rsidR="004469D7" w:rsidRPr="0046428A" w:rsidRDefault="00663C75" w:rsidP="005448C8">
      <w:pPr>
        <w:pStyle w:val="ListParagraph"/>
        <w:numPr>
          <w:ilvl w:val="0"/>
          <w:numId w:val="40"/>
        </w:numPr>
        <w:tabs>
          <w:tab w:val="left" w:pos="1560"/>
        </w:tabs>
        <w:ind w:left="357" w:right="91" w:hanging="357"/>
        <w:contextualSpacing w:val="0"/>
        <w:rPr>
          <w:sz w:val="24"/>
        </w:rPr>
      </w:pPr>
      <w:r>
        <w:rPr>
          <w:sz w:val="24"/>
        </w:rPr>
        <w:t>a</w:t>
      </w:r>
      <w:r w:rsidR="004469D7" w:rsidRPr="0046428A">
        <w:rPr>
          <w:sz w:val="24"/>
        </w:rPr>
        <w:t>ccess to regulated television services on the device</w:t>
      </w:r>
    </w:p>
    <w:p w14:paraId="47931152" w14:textId="77777777" w:rsidR="005448C8" w:rsidRDefault="005448C8" w:rsidP="005448C8">
      <w:pPr>
        <w:pStyle w:val="ListParagraph"/>
        <w:tabs>
          <w:tab w:val="left" w:pos="1560"/>
        </w:tabs>
        <w:ind w:left="357" w:right="91"/>
        <w:contextualSpacing w:val="0"/>
        <w:rPr>
          <w:sz w:val="24"/>
        </w:rPr>
      </w:pPr>
    </w:p>
    <w:p w14:paraId="1672672C" w14:textId="5D8B6448" w:rsidR="004469D7" w:rsidRPr="0046428A" w:rsidRDefault="00663C75" w:rsidP="005448C8">
      <w:pPr>
        <w:pStyle w:val="ListParagraph"/>
        <w:numPr>
          <w:ilvl w:val="0"/>
          <w:numId w:val="40"/>
        </w:numPr>
        <w:tabs>
          <w:tab w:val="left" w:pos="1560"/>
        </w:tabs>
        <w:ind w:left="357" w:right="91" w:hanging="357"/>
        <w:contextualSpacing w:val="0"/>
        <w:rPr>
          <w:sz w:val="24"/>
        </w:rPr>
      </w:pPr>
      <w:r>
        <w:rPr>
          <w:sz w:val="24"/>
        </w:rPr>
        <w:t>t</w:t>
      </w:r>
      <w:r w:rsidR="00356345">
        <w:rPr>
          <w:sz w:val="24"/>
        </w:rPr>
        <w:t xml:space="preserve">he </w:t>
      </w:r>
      <w:r w:rsidR="004469D7" w:rsidRPr="0046428A">
        <w:rPr>
          <w:sz w:val="24"/>
        </w:rPr>
        <w:t>display, location or positioning of regulated television services on the device or the primary user interface of the device of regulated television services</w:t>
      </w:r>
    </w:p>
    <w:p w14:paraId="24895623" w14:textId="77777777" w:rsidR="005448C8" w:rsidRDefault="005448C8" w:rsidP="005448C8">
      <w:pPr>
        <w:pStyle w:val="ListParagraph"/>
        <w:tabs>
          <w:tab w:val="left" w:pos="1560"/>
        </w:tabs>
        <w:ind w:left="357" w:right="91"/>
        <w:contextualSpacing w:val="0"/>
        <w:rPr>
          <w:sz w:val="24"/>
        </w:rPr>
      </w:pPr>
    </w:p>
    <w:p w14:paraId="3DECB689" w14:textId="700C5798" w:rsidR="004469D7" w:rsidRPr="0046428A" w:rsidRDefault="00663C75" w:rsidP="005448C8">
      <w:pPr>
        <w:pStyle w:val="ListParagraph"/>
        <w:numPr>
          <w:ilvl w:val="0"/>
          <w:numId w:val="40"/>
        </w:numPr>
        <w:tabs>
          <w:tab w:val="left" w:pos="1560"/>
        </w:tabs>
        <w:ind w:left="357" w:right="91" w:hanging="357"/>
        <w:contextualSpacing w:val="0"/>
        <w:rPr>
          <w:sz w:val="24"/>
        </w:rPr>
      </w:pPr>
      <w:r>
        <w:rPr>
          <w:sz w:val="24"/>
        </w:rPr>
        <w:t>t</w:t>
      </w:r>
      <w:r w:rsidR="004469D7" w:rsidRPr="0046428A">
        <w:rPr>
          <w:sz w:val="24"/>
        </w:rPr>
        <w:t>he installation and updating of applications on the device</w:t>
      </w:r>
    </w:p>
    <w:p w14:paraId="58D79979" w14:textId="77777777" w:rsidR="005448C8" w:rsidRDefault="005448C8" w:rsidP="005448C8">
      <w:pPr>
        <w:pStyle w:val="ListParagraph"/>
        <w:tabs>
          <w:tab w:val="left" w:pos="1560"/>
        </w:tabs>
        <w:ind w:left="357" w:right="91"/>
        <w:contextualSpacing w:val="0"/>
        <w:rPr>
          <w:sz w:val="24"/>
        </w:rPr>
      </w:pPr>
    </w:p>
    <w:p w14:paraId="3D237E69" w14:textId="43BA3031" w:rsidR="004469D7" w:rsidRPr="0046428A" w:rsidRDefault="00663C75" w:rsidP="005448C8">
      <w:pPr>
        <w:pStyle w:val="ListParagraph"/>
        <w:numPr>
          <w:ilvl w:val="0"/>
          <w:numId w:val="40"/>
        </w:numPr>
        <w:tabs>
          <w:tab w:val="left" w:pos="1560"/>
        </w:tabs>
        <w:ind w:left="357" w:right="91" w:hanging="357"/>
        <w:contextualSpacing w:val="0"/>
        <w:rPr>
          <w:sz w:val="24"/>
        </w:rPr>
      </w:pPr>
      <w:r>
        <w:rPr>
          <w:sz w:val="24"/>
        </w:rPr>
        <w:t>a</w:t>
      </w:r>
      <w:r w:rsidR="004469D7" w:rsidRPr="0046428A">
        <w:rPr>
          <w:sz w:val="24"/>
        </w:rPr>
        <w:t>ny electronic program guide on the device that provides information about or access to regulated television services</w:t>
      </w:r>
      <w:r w:rsidR="00AA7645">
        <w:rPr>
          <w:sz w:val="24"/>
        </w:rPr>
        <w:t>.</w:t>
      </w:r>
    </w:p>
    <w:p w14:paraId="15B5576A" w14:textId="77777777" w:rsidR="004469D7" w:rsidRPr="0046428A" w:rsidRDefault="004469D7" w:rsidP="004469D7">
      <w:pPr>
        <w:pStyle w:val="ListParagraph"/>
        <w:tabs>
          <w:tab w:val="left" w:pos="1560"/>
        </w:tabs>
        <w:ind w:right="91"/>
        <w:rPr>
          <w:sz w:val="24"/>
        </w:rPr>
      </w:pPr>
    </w:p>
    <w:p w14:paraId="4C4242C2" w14:textId="568D2030" w:rsidR="006C2F57" w:rsidRDefault="004469D7" w:rsidP="004469D7">
      <w:pPr>
        <w:ind w:right="91"/>
        <w:rPr>
          <w:sz w:val="24"/>
        </w:rPr>
      </w:pPr>
      <w:r>
        <w:rPr>
          <w:sz w:val="24"/>
        </w:rPr>
        <w:t>The Regulations are intended to be adaptable and responsive to reflect market conditions and changes in technology.</w:t>
      </w:r>
    </w:p>
    <w:bookmarkEnd w:id="6"/>
    <w:p w14:paraId="02F457BA" w14:textId="1C4CC99F" w:rsidR="00E32D78" w:rsidRPr="00FE781B" w:rsidRDefault="00FE781B" w:rsidP="00E32D78">
      <w:pPr>
        <w:pStyle w:val="NormalWeb"/>
        <w:rPr>
          <w:b/>
        </w:rPr>
      </w:pPr>
      <w:r w:rsidRPr="00FA57C1">
        <w:rPr>
          <w:b/>
          <w:color w:val="000000"/>
        </w:rPr>
        <w:t>Human Rights Implications</w:t>
      </w:r>
    </w:p>
    <w:p w14:paraId="6BDBDA85" w14:textId="20483E20" w:rsidR="00CF726D" w:rsidRPr="00AE0D1A" w:rsidRDefault="00CF726D" w:rsidP="00E32D78">
      <w:pPr>
        <w:pStyle w:val="NormalWeb"/>
      </w:pPr>
      <w:r w:rsidRPr="00AE0D1A">
        <w:rPr>
          <w:color w:val="000000"/>
        </w:rPr>
        <w:t>The Regulations are compatible with the human rights and freedoms recognised or declared in the international instruments listed in section 3 of the </w:t>
      </w:r>
      <w:r w:rsidRPr="00AE0D1A">
        <w:rPr>
          <w:i/>
          <w:iCs/>
          <w:color w:val="000000"/>
        </w:rPr>
        <w:t>Human Rights (Parliamentary Scrutiny) Act 2011</w:t>
      </w:r>
      <w:r w:rsidRPr="00AE0D1A">
        <w:rPr>
          <w:color w:val="000000"/>
        </w:rPr>
        <w:t xml:space="preserve">. </w:t>
      </w:r>
    </w:p>
    <w:p w14:paraId="259E8D08" w14:textId="6C11B491" w:rsidR="005448C8" w:rsidRDefault="00FD3326" w:rsidP="00FD3326">
      <w:pPr>
        <w:ind w:right="91"/>
        <w:rPr>
          <w:sz w:val="24"/>
        </w:rPr>
      </w:pPr>
      <w:r>
        <w:rPr>
          <w:sz w:val="24"/>
        </w:rPr>
        <w:t xml:space="preserve">The compatibility of the legislated prominence framework with human rights was comprehensively assessed through the Statement of </w:t>
      </w:r>
      <w:r w:rsidR="005448C8">
        <w:rPr>
          <w:sz w:val="24"/>
        </w:rPr>
        <w:t>Compatibility</w:t>
      </w:r>
      <w:r>
        <w:rPr>
          <w:sz w:val="24"/>
        </w:rPr>
        <w:t xml:space="preserve"> with Human Rights provided in the Explanatory Memorandum to the </w:t>
      </w:r>
      <w:r w:rsidRPr="003B1E34">
        <w:rPr>
          <w:i/>
          <w:sz w:val="24"/>
        </w:rPr>
        <w:t>Communications Legislation Amendment (Prominence and Anti-siphoning) Bill 202</w:t>
      </w:r>
      <w:r>
        <w:rPr>
          <w:i/>
          <w:sz w:val="24"/>
        </w:rPr>
        <w:t>4</w:t>
      </w:r>
      <w:r>
        <w:rPr>
          <w:sz w:val="24"/>
        </w:rPr>
        <w:t xml:space="preserve">. </w:t>
      </w:r>
    </w:p>
    <w:p w14:paraId="4ED84B1C" w14:textId="77777777" w:rsidR="005448C8" w:rsidRDefault="005448C8" w:rsidP="00FD3326">
      <w:pPr>
        <w:ind w:right="91"/>
        <w:rPr>
          <w:sz w:val="24"/>
        </w:rPr>
      </w:pPr>
    </w:p>
    <w:p w14:paraId="4B8C88DA" w14:textId="70D8C05E" w:rsidR="00FD3326" w:rsidRPr="003D4888" w:rsidRDefault="00FD3326" w:rsidP="003D4888">
      <w:pPr>
        <w:pStyle w:val="NormalWeb"/>
        <w:rPr>
          <w:color w:val="000000"/>
        </w:rPr>
      </w:pPr>
      <w:r w:rsidRPr="003D4888">
        <w:rPr>
          <w:color w:val="000000"/>
        </w:rPr>
        <w:lastRenderedPageBreak/>
        <w:t>The statement provided that the framework contained in the Bill was compatible with human rights and freedoms by providing access to crucial information for democratic and social participation, as well as access to mass media and television services, relevant at a regional and national level, that reflect and promote local culture</w:t>
      </w:r>
      <w:r w:rsidR="003D4888">
        <w:rPr>
          <w:color w:val="000000"/>
        </w:rPr>
        <w:t>.</w:t>
      </w:r>
    </w:p>
    <w:p w14:paraId="696AFB0B" w14:textId="4658D407" w:rsidR="00FD3326" w:rsidRPr="003D4888" w:rsidRDefault="00FD3326" w:rsidP="003D4888">
      <w:pPr>
        <w:pStyle w:val="NormalWeb"/>
        <w:rPr>
          <w:color w:val="000000"/>
        </w:rPr>
      </w:pPr>
      <w:r w:rsidRPr="003D4888">
        <w:rPr>
          <w:color w:val="000000"/>
        </w:rPr>
        <w:t>The Regulations are an inextricable element of this framework, and as such, the Regulations may engage with human rights to the same extent</w:t>
      </w:r>
      <w:r w:rsidR="00CF726D" w:rsidRPr="003D4888">
        <w:rPr>
          <w:color w:val="000000"/>
        </w:rPr>
        <w:t>, resulting in the same impacts.</w:t>
      </w:r>
    </w:p>
    <w:p w14:paraId="37301A38" w14:textId="62AA5FC3" w:rsidR="0008004A" w:rsidRPr="003D4888" w:rsidRDefault="0008004A" w:rsidP="003D4888">
      <w:pPr>
        <w:pStyle w:val="NormalWeb"/>
        <w:rPr>
          <w:color w:val="000000"/>
        </w:rPr>
      </w:pPr>
      <w:r w:rsidRPr="003D4888">
        <w:rPr>
          <w:color w:val="000000"/>
        </w:rPr>
        <w:t>Art</w:t>
      </w:r>
      <w:r w:rsidR="00485A2D" w:rsidRPr="003D4888">
        <w:rPr>
          <w:color w:val="000000"/>
        </w:rPr>
        <w:t xml:space="preserve">icle 19 of the </w:t>
      </w:r>
      <w:r w:rsidR="00FE781B" w:rsidRPr="003D4888">
        <w:rPr>
          <w:i/>
          <w:color w:val="000000"/>
        </w:rPr>
        <w:t>International Covenant on Civil and Political Rights</w:t>
      </w:r>
      <w:r w:rsidR="00FE781B" w:rsidRPr="003D4888">
        <w:rPr>
          <w:color w:val="000000"/>
        </w:rPr>
        <w:t xml:space="preserve"> (ICCPR)</w:t>
      </w:r>
      <w:r w:rsidR="00485A2D" w:rsidRPr="003D4888">
        <w:rPr>
          <w:color w:val="000000"/>
        </w:rPr>
        <w:t xml:space="preserve"> protects freedom of expression, including the right to seek, receive and impart information and ideas of all kinds, through any medium, including written and oral communication, media and </w:t>
      </w:r>
      <w:r w:rsidR="00A67D84" w:rsidRPr="003D4888">
        <w:rPr>
          <w:color w:val="000000"/>
        </w:rPr>
        <w:t xml:space="preserve">television </w:t>
      </w:r>
      <w:r w:rsidR="00485A2D" w:rsidRPr="003D4888">
        <w:rPr>
          <w:color w:val="000000"/>
        </w:rPr>
        <w:t xml:space="preserve">broadcasting. Free-to-air television services provide local, national and international news, information during emergencies and natural disasters, sport, drama, and Australian content to all Australians, regardless of their location or income. By requiring these television services to be </w:t>
      </w:r>
      <w:r w:rsidR="00FD3326" w:rsidRPr="003D4888">
        <w:rPr>
          <w:color w:val="000000"/>
        </w:rPr>
        <w:t>available and accessible</w:t>
      </w:r>
      <w:r w:rsidR="00485A2D" w:rsidRPr="003D4888">
        <w:rPr>
          <w:color w:val="000000"/>
        </w:rPr>
        <w:t xml:space="preserve"> on regulated television devices, the </w:t>
      </w:r>
      <w:r w:rsidR="00FD3326" w:rsidRPr="003D4888">
        <w:rPr>
          <w:color w:val="000000"/>
        </w:rPr>
        <w:t>Regulations prescribing the requirements for this</w:t>
      </w:r>
      <w:r w:rsidR="00485A2D" w:rsidRPr="003D4888">
        <w:rPr>
          <w:color w:val="000000"/>
        </w:rPr>
        <w:t xml:space="preserve"> would increase public access to a range of information and ideas that are of public significance at a local, regional or national level.</w:t>
      </w:r>
    </w:p>
    <w:p w14:paraId="2EB4B851" w14:textId="3991F22B" w:rsidR="00485A2D" w:rsidRPr="003D4888" w:rsidRDefault="00B012C7" w:rsidP="003D4888">
      <w:pPr>
        <w:pStyle w:val="NormalWeb"/>
        <w:rPr>
          <w:color w:val="000000"/>
        </w:rPr>
      </w:pPr>
      <w:r w:rsidRPr="003D4888">
        <w:rPr>
          <w:color w:val="000000"/>
        </w:rPr>
        <w:t>At the core of the prominence framework, t</w:t>
      </w:r>
      <w:r w:rsidR="00485A2D" w:rsidRPr="003D4888">
        <w:rPr>
          <w:color w:val="000000"/>
        </w:rPr>
        <w:t xml:space="preserve">he </w:t>
      </w:r>
      <w:r w:rsidR="00FD3326" w:rsidRPr="003D4888">
        <w:rPr>
          <w:color w:val="000000"/>
        </w:rPr>
        <w:t>R</w:t>
      </w:r>
      <w:r w:rsidRPr="003D4888">
        <w:rPr>
          <w:color w:val="000000"/>
        </w:rPr>
        <w:t>egulations are</w:t>
      </w:r>
      <w:r w:rsidR="00485A2D" w:rsidRPr="003D4888">
        <w:rPr>
          <w:color w:val="000000"/>
        </w:rPr>
        <w:t xml:space="preserve"> intended to provide regulated television services with no more than comparable prominence with other television services, such as subscription television services and international streaming services. In this way, the </w:t>
      </w:r>
      <w:r w:rsidR="00FD3326" w:rsidRPr="003D4888">
        <w:rPr>
          <w:color w:val="000000"/>
        </w:rPr>
        <w:t>R</w:t>
      </w:r>
      <w:r w:rsidRPr="003D4888">
        <w:rPr>
          <w:color w:val="000000"/>
        </w:rPr>
        <w:t>egulations</w:t>
      </w:r>
      <w:r w:rsidR="00485A2D" w:rsidRPr="003D4888">
        <w:rPr>
          <w:color w:val="000000"/>
        </w:rPr>
        <w:t xml:space="preserve"> would not impede other television services from being displayed or accessed. The</w:t>
      </w:r>
      <w:r w:rsidRPr="003D4888">
        <w:rPr>
          <w:color w:val="000000"/>
        </w:rPr>
        <w:t xml:space="preserve"> </w:t>
      </w:r>
      <w:r w:rsidR="00FD3326" w:rsidRPr="003D4888">
        <w:rPr>
          <w:color w:val="000000"/>
        </w:rPr>
        <w:t>R</w:t>
      </w:r>
      <w:r w:rsidRPr="003D4888">
        <w:rPr>
          <w:color w:val="000000"/>
        </w:rPr>
        <w:t>egulations</w:t>
      </w:r>
      <w:r w:rsidR="00485A2D" w:rsidRPr="003D4888">
        <w:rPr>
          <w:color w:val="000000"/>
        </w:rPr>
        <w:t xml:space="preserve"> would not require regulated television services to be promoted above or ahead of these other services, nor would it require specific content to be given prominence or surfaced through search and recommendation tools.</w:t>
      </w:r>
    </w:p>
    <w:p w14:paraId="0343D570" w14:textId="3F509DA2" w:rsidR="000F16C6" w:rsidRPr="003D4888" w:rsidRDefault="00FE781B" w:rsidP="003D4888">
      <w:pPr>
        <w:pStyle w:val="NormalWeb"/>
        <w:rPr>
          <w:color w:val="000000"/>
        </w:rPr>
      </w:pPr>
      <w:r w:rsidRPr="003D4888">
        <w:rPr>
          <w:color w:val="000000"/>
        </w:rPr>
        <w:t xml:space="preserve">Article 27 of the ICCPR, provides the right to enjoy and benefit from culture. Similarly, </w:t>
      </w:r>
      <w:r w:rsidR="00AF532C" w:rsidRPr="003D4888">
        <w:rPr>
          <w:color w:val="000000"/>
        </w:rPr>
        <w:t xml:space="preserve">Article 15(1) </w:t>
      </w:r>
      <w:r w:rsidR="00C06E8A" w:rsidRPr="003D4888">
        <w:rPr>
          <w:color w:val="000000"/>
        </w:rPr>
        <w:t xml:space="preserve">of the </w:t>
      </w:r>
      <w:r w:rsidRPr="003D4888">
        <w:rPr>
          <w:i/>
          <w:color w:val="000000"/>
        </w:rPr>
        <w:t>International Covenant on Economic, Social and Cultural Rights</w:t>
      </w:r>
      <w:r w:rsidRPr="003D4888">
        <w:rPr>
          <w:color w:val="000000"/>
        </w:rPr>
        <w:t xml:space="preserve"> (ICESCR)</w:t>
      </w:r>
      <w:r w:rsidR="00C06E8A" w:rsidRPr="003D4888">
        <w:rPr>
          <w:color w:val="000000"/>
        </w:rPr>
        <w:t xml:space="preserve"> recognises</w:t>
      </w:r>
      <w:r w:rsidR="00AF532C" w:rsidRPr="003D4888">
        <w:rPr>
          <w:color w:val="000000"/>
        </w:rPr>
        <w:t xml:space="preserve"> the right of everyone to take part in cultural life. </w:t>
      </w:r>
      <w:r w:rsidR="00E11E53" w:rsidRPr="003D4888">
        <w:rPr>
          <w:color w:val="000000"/>
        </w:rPr>
        <w:t xml:space="preserve">The prominence regulations also support the right to culture by attaching minimum requirements for regulated television devices to comply with in order to enshrine easy access to local, free television services that assist with opening access to meaningful and locally relevant culture. </w:t>
      </w:r>
      <w:r w:rsidR="00285AA4" w:rsidRPr="003D4888">
        <w:rPr>
          <w:color w:val="000000"/>
        </w:rPr>
        <w:t> </w:t>
      </w:r>
    </w:p>
    <w:p w14:paraId="5C5FE4D8" w14:textId="77777777" w:rsidR="000F16C6" w:rsidRPr="00F9170F" w:rsidRDefault="000F16C6" w:rsidP="003D4888">
      <w:pPr>
        <w:pStyle w:val="NormalWeb"/>
        <w:rPr>
          <w:b/>
          <w:color w:val="000000"/>
        </w:rPr>
      </w:pPr>
      <w:r w:rsidRPr="00F9170F">
        <w:rPr>
          <w:b/>
          <w:color w:val="000000"/>
        </w:rPr>
        <w:t>Conclusion</w:t>
      </w:r>
    </w:p>
    <w:p w14:paraId="1EE8B19C" w14:textId="6167130C" w:rsidR="000F16C6" w:rsidRPr="003D4888" w:rsidRDefault="00CF726D" w:rsidP="003D4888">
      <w:pPr>
        <w:pStyle w:val="NormalWeb"/>
        <w:rPr>
          <w:color w:val="000000"/>
        </w:rPr>
      </w:pPr>
      <w:r w:rsidRPr="003D4888">
        <w:rPr>
          <w:color w:val="000000"/>
        </w:rPr>
        <w:t>The Regulations are compatible with the human rights and freedoms recognised or declared in the international instruments listed in section 3 of the Human Rights (Parliamentary Scrutiny) Act 2011. To the extent that it may engage Article 19 of the ICCPR, it provides access to crucial information for democratic and social participation. To the extent it may engage in Article 27 of the ICCPR and Article 15 of the ICESCR, it promotes access to television services that reflect and promote local culture.</w:t>
      </w:r>
    </w:p>
    <w:sectPr w:rsidR="000F16C6" w:rsidRPr="003D4888" w:rsidSect="0083784F">
      <w:headerReference w:type="default" r:id="rId16"/>
      <w:footerReference w:type="first" r:id="rId17"/>
      <w:pgSz w:w="11906" w:h="16838" w:code="9"/>
      <w:pgMar w:top="993" w:right="1440" w:bottom="993" w:left="1440" w:header="0" w:footer="3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5FEB" w14:textId="77777777" w:rsidR="00685BD7" w:rsidRDefault="00685BD7" w:rsidP="009A5536">
      <w:r>
        <w:separator/>
      </w:r>
    </w:p>
  </w:endnote>
  <w:endnote w:type="continuationSeparator" w:id="0">
    <w:p w14:paraId="11E0583A" w14:textId="77777777" w:rsidR="00685BD7" w:rsidRDefault="00685BD7" w:rsidP="009A5536">
      <w:r>
        <w:continuationSeparator/>
      </w:r>
    </w:p>
  </w:endnote>
  <w:endnote w:type="continuationNotice" w:id="1">
    <w:p w14:paraId="749C5BB3" w14:textId="77777777" w:rsidR="00685BD7" w:rsidRDefault="00685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31F9" w14:textId="77777777" w:rsidR="0049445D" w:rsidRDefault="0049445D" w:rsidP="00D74681">
    <w:pPr>
      <w:pStyle w:val="Footer"/>
      <w:spacing w:before="720"/>
      <w:jc w:val="right"/>
    </w:pPr>
    <w:r>
      <w:rPr>
        <w:noProof/>
      </w:rPr>
      <mc:AlternateContent>
        <mc:Choice Requires="wps">
          <w:drawing>
            <wp:anchor distT="0" distB="0" distL="114300" distR="114300" simplePos="0" relativeHeight="251662343" behindDoc="1" locked="1" layoutInCell="1" allowOverlap="1" wp14:anchorId="75252E62" wp14:editId="2E716727">
              <wp:simplePos x="0" y="0"/>
              <wp:positionH relativeFrom="page">
                <wp:align>left</wp:align>
              </wp:positionH>
              <wp:positionV relativeFrom="page">
                <wp:align>bottom</wp:align>
              </wp:positionV>
              <wp:extent cx="1007280" cy="539280"/>
              <wp:effectExtent l="0" t="0" r="254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1F4FB5F" w14:textId="77777777" w:rsidR="0049445D" w:rsidRPr="007A05BE" w:rsidRDefault="0049445D"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52E62" id="_x0000_t202" coordsize="21600,21600" o:spt="202" path="m,l,21600r21600,l21600,xe">
              <v:stroke joinstyle="miter"/>
              <v:path gradientshapeok="t" o:connecttype="rect"/>
            </v:shapetype>
            <v:shape id="Text Box 1" o:spid="_x0000_s1026" type="#_x0000_t202" style="position:absolute;left:0;text-align:left;margin-left:0;margin-top:0;width:79.3pt;height:42.45pt;z-index:-2516541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C6duwtgQIA&#10;AAoFAAAOAAAAAAAAAAAAAAAAAC4CAABkcnMvZTJvRG9jLnhtbFBLAQItABQABgAIAAAAIQBJDJB4&#10;3AAAAAQBAAAPAAAAAAAAAAAAAAAAANsEAABkcnMvZG93bnJldi54bWxQSwUGAAAAAAQABADzAAAA&#10;5AUAAAAA&#10;" filled="f" stroked="f" strokeweight=".5pt">
              <v:textbox inset="18mm,0,0,10mm">
                <w:txbxContent>
                  <w:p w14:paraId="01F4FB5F" w14:textId="77777777" w:rsidR="0049445D" w:rsidRPr="007A05BE" w:rsidRDefault="0049445D"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1319" behindDoc="1" locked="1" layoutInCell="1" allowOverlap="1" wp14:anchorId="4F8F1F41" wp14:editId="40AEE385">
              <wp:simplePos x="0" y="0"/>
              <wp:positionH relativeFrom="page">
                <wp:align>left</wp:align>
              </wp:positionH>
              <wp:positionV relativeFrom="page">
                <wp:align>bottom</wp:align>
              </wp:positionV>
              <wp:extent cx="4320000" cy="539280"/>
              <wp:effectExtent l="0" t="0" r="444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0862DD84" w14:textId="77777777" w:rsidR="0049445D" w:rsidRDefault="0049445D" w:rsidP="00D74681">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F1F41" id="Text Box 3" o:spid="_x0000_s1027" type="#_x0000_t202" style="position:absolute;left:0;text-align:left;margin-left:0;margin-top:0;width:340.15pt;height:42.45pt;z-index:-25165516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BnK2r2HAgAAEgUAAA4AAAAAAAAAAAAAAAAALgIAAGRycy9lMm9Eb2MueG1sUEsBAi0AFAAGAAgA&#10;AAAhACBqFVbeAAAABAEAAA8AAAAAAAAAAAAAAAAA4QQAAGRycy9kb3ducmV2LnhtbFBLBQYAAAAA&#10;BAAEAPMAAADsBQAAAAA=&#10;" filled="f" stroked="f" strokeweight=".5pt">
              <v:textbox inset="28mm,0,0,10mm">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0862DD84" w14:textId="77777777" w:rsidR="0049445D" w:rsidRDefault="0049445D" w:rsidP="00D74681">
                        <w:pPr>
                          <w:pStyle w:val="Footer"/>
                        </w:pPr>
                        <w:r>
                          <w:t xml:space="preserve">     </w:t>
                        </w:r>
                      </w:p>
                    </w:sdtContent>
                  </w:sdt>
                </w:txbxContent>
              </v:textbox>
              <w10:wrap anchorx="page" anchory="page"/>
              <w10:anchorlock/>
            </v:shape>
          </w:pict>
        </mc:Fallback>
      </mc:AlternateContent>
    </w:r>
    <w:r>
      <w:rPr>
        <w:noProof/>
      </w:rPr>
      <w:drawing>
        <wp:anchor distT="0" distB="0" distL="114300" distR="114300" simplePos="0" relativeHeight="251660295" behindDoc="1" locked="1" layoutInCell="1" allowOverlap="1" wp14:anchorId="105B362B" wp14:editId="1639C2BA">
          <wp:simplePos x="0" y="0"/>
          <wp:positionH relativeFrom="page">
            <wp:align>right</wp:align>
          </wp:positionH>
          <wp:positionV relativeFrom="page">
            <wp:align>bottom</wp:align>
          </wp:positionV>
          <wp:extent cx="10692000" cy="183240"/>
          <wp:effectExtent l="0" t="0" r="0" b="762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27756"/>
      <w:docPartObj>
        <w:docPartGallery w:val="Page Numbers (Bottom of Page)"/>
        <w:docPartUnique/>
      </w:docPartObj>
    </w:sdtPr>
    <w:sdtEndPr>
      <w:rPr>
        <w:noProof/>
      </w:rPr>
    </w:sdtEndPr>
    <w:sdtContent>
      <w:p w14:paraId="4A9DB76D" w14:textId="28559293" w:rsidR="0049445D" w:rsidRDefault="0049445D" w:rsidP="008378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FCE22" w14:textId="77777777" w:rsidR="0049445D" w:rsidRDefault="004944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747340"/>
      <w:docPartObj>
        <w:docPartGallery w:val="Page Numbers (Bottom of Page)"/>
        <w:docPartUnique/>
      </w:docPartObj>
    </w:sdtPr>
    <w:sdtEndPr>
      <w:rPr>
        <w:noProof/>
      </w:rPr>
    </w:sdtEndPr>
    <w:sdtContent>
      <w:p w14:paraId="5B841B1F" w14:textId="77777777" w:rsidR="0049445D" w:rsidRDefault="004944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15CB5" w14:textId="77777777" w:rsidR="0049445D" w:rsidRDefault="004944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42825"/>
      <w:docPartObj>
        <w:docPartGallery w:val="Page Numbers (Bottom of Page)"/>
        <w:docPartUnique/>
      </w:docPartObj>
    </w:sdtPr>
    <w:sdtEndPr>
      <w:rPr>
        <w:noProof/>
      </w:rPr>
    </w:sdtEndPr>
    <w:sdtContent>
      <w:p w14:paraId="6E5DA737" w14:textId="77777777" w:rsidR="0049445D" w:rsidRDefault="004944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4E3F1" w14:textId="77777777" w:rsidR="0049445D" w:rsidRDefault="00494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A6D4" w14:textId="77777777" w:rsidR="00685BD7" w:rsidRDefault="00685BD7" w:rsidP="009A5536">
      <w:r>
        <w:separator/>
      </w:r>
    </w:p>
  </w:footnote>
  <w:footnote w:type="continuationSeparator" w:id="0">
    <w:p w14:paraId="173B0E40" w14:textId="77777777" w:rsidR="00685BD7" w:rsidRDefault="00685BD7" w:rsidP="009A5536">
      <w:r>
        <w:continuationSeparator/>
      </w:r>
    </w:p>
  </w:footnote>
  <w:footnote w:type="continuationNotice" w:id="1">
    <w:p w14:paraId="0D8687FE" w14:textId="77777777" w:rsidR="00685BD7" w:rsidRDefault="00685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AA01" w14:textId="565B8603" w:rsidR="0049445D" w:rsidRDefault="0049445D" w:rsidP="00D74681">
    <w:pPr>
      <w:pStyle w:val="Header"/>
      <w:spacing w:after="1320"/>
    </w:pPr>
    <w:r>
      <w:fldChar w:fldCharType="begin"/>
    </w:r>
    <w:r>
      <w:instrText xml:space="preserve"> STYLEREF  "Heading 1"  \* MERGEFORMAT </w:instrText>
    </w:r>
    <w:r>
      <w:fldChar w:fldCharType="separate"/>
    </w:r>
    <w:r w:rsidR="00F9170F">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5CF1" w14:textId="77777777" w:rsidR="0049445D" w:rsidRDefault="0049445D">
    <w:pPr>
      <w:pStyle w:val="Header"/>
    </w:pPr>
  </w:p>
  <w:p w14:paraId="2B148BDA" w14:textId="77777777" w:rsidR="0049445D" w:rsidRDefault="0049445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7CAF1C"/>
    <w:styleLink w:val="BoxedBullets1"/>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AAA64F24"/>
    <w:styleLink w:val="AttachmentNumbers1"/>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2BC0DB5"/>
    <w:multiLevelType w:val="hybridMultilevel"/>
    <w:tmpl w:val="F8382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156DA6"/>
    <w:multiLevelType w:val="hybridMultilevel"/>
    <w:tmpl w:val="813C6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B96862"/>
    <w:multiLevelType w:val="hybridMultilevel"/>
    <w:tmpl w:val="93709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3A3163"/>
    <w:multiLevelType w:val="hybridMultilevel"/>
    <w:tmpl w:val="DB38804E"/>
    <w:lvl w:ilvl="0" w:tplc="A6FA423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3414C6"/>
    <w:multiLevelType w:val="hybridMultilevel"/>
    <w:tmpl w:val="695A1F48"/>
    <w:styleLink w:val="Bullet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8A26960"/>
    <w:multiLevelType w:val="hybridMultilevel"/>
    <w:tmpl w:val="C5B2C19E"/>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0B1873"/>
    <w:multiLevelType w:val="hybridMultilevel"/>
    <w:tmpl w:val="7BA28B84"/>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95957CC"/>
    <w:multiLevelType w:val="hybridMultilevel"/>
    <w:tmpl w:val="F5C293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6750D"/>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DF066CB"/>
    <w:multiLevelType w:val="hybridMultilevel"/>
    <w:tmpl w:val="A302F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FD46AF8"/>
    <w:multiLevelType w:val="hybridMultilevel"/>
    <w:tmpl w:val="F3F21DE4"/>
    <w:styleLink w:val="AppendixNumber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0A6231"/>
    <w:multiLevelType w:val="hybridMultilevel"/>
    <w:tmpl w:val="72FA6D40"/>
    <w:lvl w:ilvl="0" w:tplc="A6FA423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61284F"/>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9CE328B"/>
    <w:multiLevelType w:val="hybridMultilevel"/>
    <w:tmpl w:val="6E0E6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26317C"/>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F56972"/>
    <w:multiLevelType w:val="hybridMultilevel"/>
    <w:tmpl w:val="C362414C"/>
    <w:styleLink w:val="ListLegal1"/>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206D5F"/>
    <w:multiLevelType w:val="hybridMultilevel"/>
    <w:tmpl w:val="56FC5ED8"/>
    <w:lvl w:ilvl="0" w:tplc="A6FA423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DB618E"/>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A51938"/>
    <w:multiLevelType w:val="multilevel"/>
    <w:tmpl w:val="298C34E4"/>
    <w:numStyleLink w:val="AppendixNumbers"/>
  </w:abstractNum>
  <w:abstractNum w:abstractNumId="25" w15:restartNumberingAfterBreak="0">
    <w:nsid w:val="3D7C773F"/>
    <w:multiLevelType w:val="hybridMultilevel"/>
    <w:tmpl w:val="F3603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CA1D86"/>
    <w:multiLevelType w:val="hybridMultilevel"/>
    <w:tmpl w:val="B5E6D716"/>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F90462B"/>
    <w:multiLevelType w:val="hybridMultilevel"/>
    <w:tmpl w:val="1D4C625A"/>
    <w:lvl w:ilvl="0" w:tplc="4F500EFA">
      <w:start w:val="1"/>
      <w:numFmt w:val="decimal"/>
      <w:lvlText w:val="(%1)"/>
      <w:lvlJc w:val="left"/>
      <w:pPr>
        <w:ind w:left="360" w:hanging="360"/>
      </w:pPr>
      <w:rPr>
        <w:rFonts w:hint="default"/>
        <w:sz w:val="24"/>
        <w:szCs w:val="24"/>
      </w:rPr>
    </w:lvl>
    <w:lvl w:ilvl="1" w:tplc="8E586038">
      <w:numFmt w:val="bullet"/>
      <w:lvlText w:val=""/>
      <w:lvlJc w:val="left"/>
      <w:pPr>
        <w:ind w:left="1080" w:hanging="36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51113021"/>
    <w:multiLevelType w:val="hybridMultilevel"/>
    <w:tmpl w:val="4B489F44"/>
    <w:styleLink w:val="NumberedHeadings1"/>
    <w:lvl w:ilvl="0" w:tplc="859C498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DC3C79"/>
    <w:multiLevelType w:val="hybridMultilevel"/>
    <w:tmpl w:val="E65A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B2321"/>
    <w:multiLevelType w:val="hybridMultilevel"/>
    <w:tmpl w:val="E09AF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DC2302"/>
    <w:multiLevelType w:val="hybridMultilevel"/>
    <w:tmpl w:val="637624D8"/>
    <w:styleLink w:val="ListNumbere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6627FA"/>
    <w:multiLevelType w:val="hybridMultilevel"/>
    <w:tmpl w:val="CFCC7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EE05A2"/>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AC44072"/>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F5E4110"/>
    <w:multiLevelType w:val="hybridMultilevel"/>
    <w:tmpl w:val="92040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76065F"/>
    <w:multiLevelType w:val="hybridMultilevel"/>
    <w:tmpl w:val="55AAF436"/>
    <w:lvl w:ilvl="0" w:tplc="4F500EFA">
      <w:start w:val="1"/>
      <w:numFmt w:val="decimal"/>
      <w:lvlText w:val="(%1)"/>
      <w:lvlJc w:val="left"/>
      <w:pPr>
        <w:ind w:left="360" w:hanging="360"/>
      </w:pPr>
      <w:rPr>
        <w:rFonts w:hint="default"/>
        <w:sz w:val="24"/>
        <w:szCs w:val="24"/>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187083C"/>
    <w:multiLevelType w:val="hybridMultilevel"/>
    <w:tmpl w:val="318EA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EE337D"/>
    <w:multiLevelType w:val="hybridMultilevel"/>
    <w:tmpl w:val="FC283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0B4DB1"/>
    <w:multiLevelType w:val="hybridMultilevel"/>
    <w:tmpl w:val="96DE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433545"/>
    <w:multiLevelType w:val="hybridMultilevel"/>
    <w:tmpl w:val="CC64A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554E84"/>
    <w:multiLevelType w:val="multilevel"/>
    <w:tmpl w:val="8FCE6D18"/>
    <w:styleLink w:val="ListLegal"/>
    <w:lvl w:ilvl="0">
      <w:start w:val="1"/>
      <w:numFmt w:val="decimal"/>
      <w:pStyle w:val="ListLegal10"/>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7F385FE5"/>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45"/>
  </w:num>
  <w:num w:numId="3">
    <w:abstractNumId w:val="6"/>
  </w:num>
  <w:num w:numId="4">
    <w:abstractNumId w:val="27"/>
  </w:num>
  <w:num w:numId="5">
    <w:abstractNumId w:val="12"/>
  </w:num>
  <w:num w:numId="6">
    <w:abstractNumId w:val="20"/>
  </w:num>
  <w:num w:numId="7">
    <w:abstractNumId w:val="24"/>
  </w:num>
  <w:num w:numId="8">
    <w:abstractNumId w:val="33"/>
  </w:num>
  <w:num w:numId="9">
    <w:abstractNumId w:val="35"/>
  </w:num>
  <w:num w:numId="10">
    <w:abstractNumId w:val="8"/>
  </w:num>
  <w:num w:numId="11">
    <w:abstractNumId w:val="21"/>
  </w:num>
  <w:num w:numId="12">
    <w:abstractNumId w:val="34"/>
  </w:num>
  <w:num w:numId="13">
    <w:abstractNumId w:val="30"/>
  </w:num>
  <w:num w:numId="14">
    <w:abstractNumId w:val="15"/>
  </w:num>
  <w:num w:numId="15">
    <w:abstractNumId w:val="2"/>
  </w:num>
  <w:num w:numId="16">
    <w:abstractNumId w:val="1"/>
  </w:num>
  <w:num w:numId="17">
    <w:abstractNumId w:val="46"/>
  </w:num>
  <w:num w:numId="18">
    <w:abstractNumId w:val="19"/>
  </w:num>
  <w:num w:numId="19">
    <w:abstractNumId w:val="10"/>
  </w:num>
  <w:num w:numId="20">
    <w:abstractNumId w:val="13"/>
  </w:num>
  <w:num w:numId="21">
    <w:abstractNumId w:val="38"/>
  </w:num>
  <w:num w:numId="22">
    <w:abstractNumId w:val="37"/>
  </w:num>
  <w:num w:numId="23">
    <w:abstractNumId w:val="28"/>
  </w:num>
  <w:num w:numId="24">
    <w:abstractNumId w:val="17"/>
  </w:num>
  <w:num w:numId="25">
    <w:abstractNumId w:val="40"/>
  </w:num>
  <w:num w:numId="26">
    <w:abstractNumId w:val="31"/>
  </w:num>
  <w:num w:numId="27">
    <w:abstractNumId w:val="18"/>
  </w:num>
  <w:num w:numId="28">
    <w:abstractNumId w:val="23"/>
  </w:num>
  <w:num w:numId="29">
    <w:abstractNumId w:val="26"/>
  </w:num>
  <w:num w:numId="30">
    <w:abstractNumId w:val="9"/>
  </w:num>
  <w:num w:numId="31">
    <w:abstractNumId w:val="41"/>
  </w:num>
  <w:num w:numId="32">
    <w:abstractNumId w:val="7"/>
  </w:num>
  <w:num w:numId="33">
    <w:abstractNumId w:val="16"/>
  </w:num>
  <w:num w:numId="34">
    <w:abstractNumId w:val="22"/>
  </w:num>
  <w:num w:numId="35">
    <w:abstractNumId w:val="11"/>
  </w:num>
  <w:num w:numId="36">
    <w:abstractNumId w:val="14"/>
  </w:num>
  <w:num w:numId="37">
    <w:abstractNumId w:val="42"/>
  </w:num>
  <w:num w:numId="38">
    <w:abstractNumId w:val="43"/>
  </w:num>
  <w:num w:numId="39">
    <w:abstractNumId w:val="36"/>
  </w:num>
  <w:num w:numId="40">
    <w:abstractNumId w:val="5"/>
  </w:num>
  <w:num w:numId="41">
    <w:abstractNumId w:val="25"/>
  </w:num>
  <w:num w:numId="42">
    <w:abstractNumId w:val="44"/>
  </w:num>
  <w:num w:numId="43">
    <w:abstractNumId w:val="4"/>
  </w:num>
  <w:num w:numId="44">
    <w:abstractNumId w:val="32"/>
  </w:num>
  <w:num w:numId="45">
    <w:abstractNumId w:val="39"/>
  </w:num>
  <w:num w:numId="46">
    <w:abstractNumId w:val="3"/>
  </w:num>
  <w:num w:numId="4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D5"/>
    <w:rsid w:val="00000255"/>
    <w:rsid w:val="00005672"/>
    <w:rsid w:val="00012F63"/>
    <w:rsid w:val="00013744"/>
    <w:rsid w:val="00014D0F"/>
    <w:rsid w:val="00015DE1"/>
    <w:rsid w:val="00023D5B"/>
    <w:rsid w:val="00025395"/>
    <w:rsid w:val="0003177A"/>
    <w:rsid w:val="0003396D"/>
    <w:rsid w:val="000424EC"/>
    <w:rsid w:val="00044B2C"/>
    <w:rsid w:val="00045D93"/>
    <w:rsid w:val="000461BA"/>
    <w:rsid w:val="00052478"/>
    <w:rsid w:val="00055512"/>
    <w:rsid w:val="0006198E"/>
    <w:rsid w:val="0006290E"/>
    <w:rsid w:val="00063D3F"/>
    <w:rsid w:val="000653B6"/>
    <w:rsid w:val="00065CC7"/>
    <w:rsid w:val="00070601"/>
    <w:rsid w:val="000734E6"/>
    <w:rsid w:val="00073799"/>
    <w:rsid w:val="000748D2"/>
    <w:rsid w:val="00074ACC"/>
    <w:rsid w:val="00075BD3"/>
    <w:rsid w:val="00077492"/>
    <w:rsid w:val="0008004A"/>
    <w:rsid w:val="00080CAA"/>
    <w:rsid w:val="00080ECB"/>
    <w:rsid w:val="00081693"/>
    <w:rsid w:val="000823DE"/>
    <w:rsid w:val="00091C0E"/>
    <w:rsid w:val="0009304D"/>
    <w:rsid w:val="00093B08"/>
    <w:rsid w:val="0009720F"/>
    <w:rsid w:val="000972A0"/>
    <w:rsid w:val="000A1001"/>
    <w:rsid w:val="000A2EEC"/>
    <w:rsid w:val="000A32AE"/>
    <w:rsid w:val="000A5848"/>
    <w:rsid w:val="000A704C"/>
    <w:rsid w:val="000C1BC9"/>
    <w:rsid w:val="000C2EF1"/>
    <w:rsid w:val="000C3DDE"/>
    <w:rsid w:val="000C479F"/>
    <w:rsid w:val="000C5458"/>
    <w:rsid w:val="000D0504"/>
    <w:rsid w:val="000D0D2C"/>
    <w:rsid w:val="000D1B36"/>
    <w:rsid w:val="000D57DD"/>
    <w:rsid w:val="000D6D68"/>
    <w:rsid w:val="000E0FC2"/>
    <w:rsid w:val="000E10B4"/>
    <w:rsid w:val="000E2948"/>
    <w:rsid w:val="000E52AA"/>
    <w:rsid w:val="000E5503"/>
    <w:rsid w:val="000E6E76"/>
    <w:rsid w:val="000F00D4"/>
    <w:rsid w:val="000F04CB"/>
    <w:rsid w:val="000F16C6"/>
    <w:rsid w:val="000F1924"/>
    <w:rsid w:val="000F4CD1"/>
    <w:rsid w:val="000F4E74"/>
    <w:rsid w:val="001007C7"/>
    <w:rsid w:val="001013DD"/>
    <w:rsid w:val="001025F0"/>
    <w:rsid w:val="00103BD9"/>
    <w:rsid w:val="00103BE7"/>
    <w:rsid w:val="00104EB1"/>
    <w:rsid w:val="0010562C"/>
    <w:rsid w:val="001068FE"/>
    <w:rsid w:val="001077E4"/>
    <w:rsid w:val="0011175C"/>
    <w:rsid w:val="00113F27"/>
    <w:rsid w:val="001141FA"/>
    <w:rsid w:val="0012015C"/>
    <w:rsid w:val="001209FC"/>
    <w:rsid w:val="00124660"/>
    <w:rsid w:val="00124D53"/>
    <w:rsid w:val="00126168"/>
    <w:rsid w:val="0012623C"/>
    <w:rsid w:val="001318EF"/>
    <w:rsid w:val="0013393B"/>
    <w:rsid w:val="00134B6E"/>
    <w:rsid w:val="00135085"/>
    <w:rsid w:val="00136308"/>
    <w:rsid w:val="00136B01"/>
    <w:rsid w:val="00136D23"/>
    <w:rsid w:val="001371DF"/>
    <w:rsid w:val="0014138C"/>
    <w:rsid w:val="0014543A"/>
    <w:rsid w:val="0014799A"/>
    <w:rsid w:val="00147AE8"/>
    <w:rsid w:val="00147C6F"/>
    <w:rsid w:val="00147DD5"/>
    <w:rsid w:val="001502A8"/>
    <w:rsid w:val="001520BA"/>
    <w:rsid w:val="00154B96"/>
    <w:rsid w:val="00156A60"/>
    <w:rsid w:val="00157B2B"/>
    <w:rsid w:val="00167F68"/>
    <w:rsid w:val="0017066B"/>
    <w:rsid w:val="00172A5C"/>
    <w:rsid w:val="001731F0"/>
    <w:rsid w:val="00175782"/>
    <w:rsid w:val="00177D92"/>
    <w:rsid w:val="00181B44"/>
    <w:rsid w:val="00182837"/>
    <w:rsid w:val="00191575"/>
    <w:rsid w:val="001933EA"/>
    <w:rsid w:val="001934A6"/>
    <w:rsid w:val="0019351E"/>
    <w:rsid w:val="0019403D"/>
    <w:rsid w:val="001A1ED0"/>
    <w:rsid w:val="001A4A57"/>
    <w:rsid w:val="001A4D94"/>
    <w:rsid w:val="001A4E6E"/>
    <w:rsid w:val="001A56F5"/>
    <w:rsid w:val="001A6C88"/>
    <w:rsid w:val="001B25DC"/>
    <w:rsid w:val="001B2BAF"/>
    <w:rsid w:val="001B2EBD"/>
    <w:rsid w:val="001B341A"/>
    <w:rsid w:val="001B65AA"/>
    <w:rsid w:val="001C01C8"/>
    <w:rsid w:val="001C0BCA"/>
    <w:rsid w:val="001C1979"/>
    <w:rsid w:val="001C1EE7"/>
    <w:rsid w:val="001C56A0"/>
    <w:rsid w:val="001C6DC2"/>
    <w:rsid w:val="001D111E"/>
    <w:rsid w:val="001D1DF8"/>
    <w:rsid w:val="001D3DC9"/>
    <w:rsid w:val="001E01FD"/>
    <w:rsid w:val="001E18F2"/>
    <w:rsid w:val="001E505E"/>
    <w:rsid w:val="001E558E"/>
    <w:rsid w:val="001E6ACA"/>
    <w:rsid w:val="001E738C"/>
    <w:rsid w:val="001F0ACC"/>
    <w:rsid w:val="001F11B4"/>
    <w:rsid w:val="001F2370"/>
    <w:rsid w:val="001F27A1"/>
    <w:rsid w:val="001F594D"/>
    <w:rsid w:val="001F61F9"/>
    <w:rsid w:val="001F6A53"/>
    <w:rsid w:val="002013AA"/>
    <w:rsid w:val="00202FA4"/>
    <w:rsid w:val="00203CB7"/>
    <w:rsid w:val="00203D2C"/>
    <w:rsid w:val="00203EBE"/>
    <w:rsid w:val="00204EE2"/>
    <w:rsid w:val="00205B7B"/>
    <w:rsid w:val="002062BE"/>
    <w:rsid w:val="002071A2"/>
    <w:rsid w:val="002112C3"/>
    <w:rsid w:val="002131AC"/>
    <w:rsid w:val="00215F07"/>
    <w:rsid w:val="0022053E"/>
    <w:rsid w:val="00221130"/>
    <w:rsid w:val="002236EA"/>
    <w:rsid w:val="00223FD5"/>
    <w:rsid w:val="00225921"/>
    <w:rsid w:val="00226645"/>
    <w:rsid w:val="00227CB2"/>
    <w:rsid w:val="002309C5"/>
    <w:rsid w:val="00230B95"/>
    <w:rsid w:val="002315A8"/>
    <w:rsid w:val="00236881"/>
    <w:rsid w:val="002374A8"/>
    <w:rsid w:val="0024103B"/>
    <w:rsid w:val="00241DF4"/>
    <w:rsid w:val="002438D3"/>
    <w:rsid w:val="00244199"/>
    <w:rsid w:val="00244D4C"/>
    <w:rsid w:val="00247E69"/>
    <w:rsid w:val="002515ED"/>
    <w:rsid w:val="002558A4"/>
    <w:rsid w:val="0025701E"/>
    <w:rsid w:val="00257035"/>
    <w:rsid w:val="00257097"/>
    <w:rsid w:val="00260CC2"/>
    <w:rsid w:val="0026336A"/>
    <w:rsid w:val="002634B8"/>
    <w:rsid w:val="00265874"/>
    <w:rsid w:val="00274FFD"/>
    <w:rsid w:val="00275255"/>
    <w:rsid w:val="002772C9"/>
    <w:rsid w:val="002817A8"/>
    <w:rsid w:val="00283F0F"/>
    <w:rsid w:val="00284710"/>
    <w:rsid w:val="00285AA4"/>
    <w:rsid w:val="00286690"/>
    <w:rsid w:val="0028670A"/>
    <w:rsid w:val="00290310"/>
    <w:rsid w:val="0029237E"/>
    <w:rsid w:val="0029249F"/>
    <w:rsid w:val="00292A86"/>
    <w:rsid w:val="002930BE"/>
    <w:rsid w:val="002932BB"/>
    <w:rsid w:val="00295CB0"/>
    <w:rsid w:val="0029646A"/>
    <w:rsid w:val="00296996"/>
    <w:rsid w:val="002969AE"/>
    <w:rsid w:val="00297734"/>
    <w:rsid w:val="002A2C10"/>
    <w:rsid w:val="002A41E0"/>
    <w:rsid w:val="002A42CA"/>
    <w:rsid w:val="002A4BC0"/>
    <w:rsid w:val="002A6862"/>
    <w:rsid w:val="002A6ACB"/>
    <w:rsid w:val="002A7F3E"/>
    <w:rsid w:val="002B2E14"/>
    <w:rsid w:val="002B6963"/>
    <w:rsid w:val="002B771E"/>
    <w:rsid w:val="002C0CD5"/>
    <w:rsid w:val="002C48FE"/>
    <w:rsid w:val="002D07BB"/>
    <w:rsid w:val="002D1A77"/>
    <w:rsid w:val="002D47B0"/>
    <w:rsid w:val="002D71C5"/>
    <w:rsid w:val="002E0677"/>
    <w:rsid w:val="002E0695"/>
    <w:rsid w:val="002E1E0B"/>
    <w:rsid w:val="002E59BE"/>
    <w:rsid w:val="002E6350"/>
    <w:rsid w:val="002F0A3C"/>
    <w:rsid w:val="002F4E99"/>
    <w:rsid w:val="003008BF"/>
    <w:rsid w:val="00300D7D"/>
    <w:rsid w:val="00302B40"/>
    <w:rsid w:val="0030725E"/>
    <w:rsid w:val="00311D94"/>
    <w:rsid w:val="00314A7F"/>
    <w:rsid w:val="0031712B"/>
    <w:rsid w:val="003221D0"/>
    <w:rsid w:val="003249E7"/>
    <w:rsid w:val="00324CA2"/>
    <w:rsid w:val="00332EB8"/>
    <w:rsid w:val="00337139"/>
    <w:rsid w:val="00337791"/>
    <w:rsid w:val="003409EF"/>
    <w:rsid w:val="00342677"/>
    <w:rsid w:val="00342691"/>
    <w:rsid w:val="0034299C"/>
    <w:rsid w:val="003431F5"/>
    <w:rsid w:val="0034679C"/>
    <w:rsid w:val="003470CB"/>
    <w:rsid w:val="003505DF"/>
    <w:rsid w:val="0035283B"/>
    <w:rsid w:val="003545C1"/>
    <w:rsid w:val="00355A90"/>
    <w:rsid w:val="00355FD1"/>
    <w:rsid w:val="00356345"/>
    <w:rsid w:val="00362728"/>
    <w:rsid w:val="00362FC5"/>
    <w:rsid w:val="00366D29"/>
    <w:rsid w:val="00367424"/>
    <w:rsid w:val="00367B5D"/>
    <w:rsid w:val="00380C21"/>
    <w:rsid w:val="00382FBA"/>
    <w:rsid w:val="00383893"/>
    <w:rsid w:val="00384952"/>
    <w:rsid w:val="0038523F"/>
    <w:rsid w:val="00390DE4"/>
    <w:rsid w:val="00397491"/>
    <w:rsid w:val="003A1A35"/>
    <w:rsid w:val="003A2D76"/>
    <w:rsid w:val="003A39A2"/>
    <w:rsid w:val="003A3F4D"/>
    <w:rsid w:val="003A5795"/>
    <w:rsid w:val="003B02A7"/>
    <w:rsid w:val="003B1EB1"/>
    <w:rsid w:val="003C3473"/>
    <w:rsid w:val="003C40B4"/>
    <w:rsid w:val="003C463F"/>
    <w:rsid w:val="003C4BF8"/>
    <w:rsid w:val="003C5EA2"/>
    <w:rsid w:val="003C70A9"/>
    <w:rsid w:val="003C78F4"/>
    <w:rsid w:val="003D155C"/>
    <w:rsid w:val="003D4888"/>
    <w:rsid w:val="003D5088"/>
    <w:rsid w:val="003D5B27"/>
    <w:rsid w:val="003D6754"/>
    <w:rsid w:val="003E1201"/>
    <w:rsid w:val="003E2734"/>
    <w:rsid w:val="003E2E73"/>
    <w:rsid w:val="003E4F77"/>
    <w:rsid w:val="003E6A61"/>
    <w:rsid w:val="003F0792"/>
    <w:rsid w:val="003F29D7"/>
    <w:rsid w:val="003F45F2"/>
    <w:rsid w:val="003F6F9A"/>
    <w:rsid w:val="0040188E"/>
    <w:rsid w:val="00404192"/>
    <w:rsid w:val="00405662"/>
    <w:rsid w:val="00407A7B"/>
    <w:rsid w:val="004101E0"/>
    <w:rsid w:val="00411D93"/>
    <w:rsid w:val="004120B9"/>
    <w:rsid w:val="004131AE"/>
    <w:rsid w:val="004145A2"/>
    <w:rsid w:val="004149D3"/>
    <w:rsid w:val="00417A6C"/>
    <w:rsid w:val="00420A21"/>
    <w:rsid w:val="004222FE"/>
    <w:rsid w:val="00425BE7"/>
    <w:rsid w:val="00425D18"/>
    <w:rsid w:val="00426E5D"/>
    <w:rsid w:val="00435322"/>
    <w:rsid w:val="00436C91"/>
    <w:rsid w:val="00442103"/>
    <w:rsid w:val="0044215A"/>
    <w:rsid w:val="00442797"/>
    <w:rsid w:val="00442A12"/>
    <w:rsid w:val="00443A66"/>
    <w:rsid w:val="00446989"/>
    <w:rsid w:val="004469D7"/>
    <w:rsid w:val="00450190"/>
    <w:rsid w:val="00451427"/>
    <w:rsid w:val="004541D8"/>
    <w:rsid w:val="00454238"/>
    <w:rsid w:val="0045464F"/>
    <w:rsid w:val="00456D0F"/>
    <w:rsid w:val="00465C53"/>
    <w:rsid w:val="00470C69"/>
    <w:rsid w:val="004756DB"/>
    <w:rsid w:val="00475731"/>
    <w:rsid w:val="0047601F"/>
    <w:rsid w:val="0047768F"/>
    <w:rsid w:val="00485A2D"/>
    <w:rsid w:val="00485E9A"/>
    <w:rsid w:val="004901F5"/>
    <w:rsid w:val="00490752"/>
    <w:rsid w:val="004907AB"/>
    <w:rsid w:val="00492DBB"/>
    <w:rsid w:val="00493C04"/>
    <w:rsid w:val="00493CD6"/>
    <w:rsid w:val="0049445D"/>
    <w:rsid w:val="0049701F"/>
    <w:rsid w:val="00497F62"/>
    <w:rsid w:val="004A19EE"/>
    <w:rsid w:val="004A207C"/>
    <w:rsid w:val="004A3E33"/>
    <w:rsid w:val="004A4109"/>
    <w:rsid w:val="004A551A"/>
    <w:rsid w:val="004A651A"/>
    <w:rsid w:val="004B3D09"/>
    <w:rsid w:val="004B75EA"/>
    <w:rsid w:val="004B7667"/>
    <w:rsid w:val="004C01F9"/>
    <w:rsid w:val="004C0CE7"/>
    <w:rsid w:val="004C5F60"/>
    <w:rsid w:val="004C64F2"/>
    <w:rsid w:val="004C7152"/>
    <w:rsid w:val="004D15C1"/>
    <w:rsid w:val="004D4484"/>
    <w:rsid w:val="004D5004"/>
    <w:rsid w:val="004D57B5"/>
    <w:rsid w:val="004D5926"/>
    <w:rsid w:val="004D7ECE"/>
    <w:rsid w:val="004E1A88"/>
    <w:rsid w:val="004E4107"/>
    <w:rsid w:val="004E63FE"/>
    <w:rsid w:val="004F06DF"/>
    <w:rsid w:val="004F3E1A"/>
    <w:rsid w:val="004F5C6F"/>
    <w:rsid w:val="004F6A71"/>
    <w:rsid w:val="004F70C2"/>
    <w:rsid w:val="00500824"/>
    <w:rsid w:val="00501EB5"/>
    <w:rsid w:val="005023BC"/>
    <w:rsid w:val="005024B0"/>
    <w:rsid w:val="00502ADA"/>
    <w:rsid w:val="00503257"/>
    <w:rsid w:val="00503493"/>
    <w:rsid w:val="00510AE3"/>
    <w:rsid w:val="00516D94"/>
    <w:rsid w:val="00517442"/>
    <w:rsid w:val="00517B36"/>
    <w:rsid w:val="00517B98"/>
    <w:rsid w:val="00517BA8"/>
    <w:rsid w:val="005302E3"/>
    <w:rsid w:val="00531F51"/>
    <w:rsid w:val="00534DF3"/>
    <w:rsid w:val="005357C5"/>
    <w:rsid w:val="005378FD"/>
    <w:rsid w:val="005407C0"/>
    <w:rsid w:val="00541F2F"/>
    <w:rsid w:val="005444DF"/>
    <w:rsid w:val="005448C8"/>
    <w:rsid w:val="00545DBC"/>
    <w:rsid w:val="00547A86"/>
    <w:rsid w:val="0055586C"/>
    <w:rsid w:val="00555C84"/>
    <w:rsid w:val="00557F57"/>
    <w:rsid w:val="00560777"/>
    <w:rsid w:val="0056157E"/>
    <w:rsid w:val="0056237D"/>
    <w:rsid w:val="005627A9"/>
    <w:rsid w:val="00564D71"/>
    <w:rsid w:val="00565C39"/>
    <w:rsid w:val="005704CF"/>
    <w:rsid w:val="0057121E"/>
    <w:rsid w:val="005724FA"/>
    <w:rsid w:val="005726B2"/>
    <w:rsid w:val="00573EA4"/>
    <w:rsid w:val="005750C6"/>
    <w:rsid w:val="00576825"/>
    <w:rsid w:val="0057755A"/>
    <w:rsid w:val="005817CB"/>
    <w:rsid w:val="005836F1"/>
    <w:rsid w:val="00583B05"/>
    <w:rsid w:val="00583B1D"/>
    <w:rsid w:val="0058668F"/>
    <w:rsid w:val="005914D6"/>
    <w:rsid w:val="0059350E"/>
    <w:rsid w:val="00593BA2"/>
    <w:rsid w:val="00597955"/>
    <w:rsid w:val="005A03F1"/>
    <w:rsid w:val="005A1A60"/>
    <w:rsid w:val="005A39C8"/>
    <w:rsid w:val="005B1E56"/>
    <w:rsid w:val="005B3571"/>
    <w:rsid w:val="005B3CCA"/>
    <w:rsid w:val="005B422B"/>
    <w:rsid w:val="005B59E2"/>
    <w:rsid w:val="005B5E2D"/>
    <w:rsid w:val="005B7525"/>
    <w:rsid w:val="005C2DDE"/>
    <w:rsid w:val="005C39CE"/>
    <w:rsid w:val="005C52F5"/>
    <w:rsid w:val="005C77CC"/>
    <w:rsid w:val="005D459A"/>
    <w:rsid w:val="005D47DA"/>
    <w:rsid w:val="005D6D6F"/>
    <w:rsid w:val="005D6D96"/>
    <w:rsid w:val="005D7500"/>
    <w:rsid w:val="005D75BA"/>
    <w:rsid w:val="005E12D9"/>
    <w:rsid w:val="005E26DD"/>
    <w:rsid w:val="005E2A0D"/>
    <w:rsid w:val="005E5AED"/>
    <w:rsid w:val="005E7645"/>
    <w:rsid w:val="005F0A2A"/>
    <w:rsid w:val="005F5255"/>
    <w:rsid w:val="005F78F1"/>
    <w:rsid w:val="00603472"/>
    <w:rsid w:val="00605433"/>
    <w:rsid w:val="00605701"/>
    <w:rsid w:val="00622464"/>
    <w:rsid w:val="006226E0"/>
    <w:rsid w:val="00623BEB"/>
    <w:rsid w:val="00625455"/>
    <w:rsid w:val="00625A05"/>
    <w:rsid w:val="00626447"/>
    <w:rsid w:val="006273B2"/>
    <w:rsid w:val="00627D88"/>
    <w:rsid w:val="006301D5"/>
    <w:rsid w:val="00630493"/>
    <w:rsid w:val="006335DF"/>
    <w:rsid w:val="00636A1B"/>
    <w:rsid w:val="00642304"/>
    <w:rsid w:val="006430D3"/>
    <w:rsid w:val="00643AB0"/>
    <w:rsid w:val="00643F9F"/>
    <w:rsid w:val="00644221"/>
    <w:rsid w:val="006458D9"/>
    <w:rsid w:val="00657E79"/>
    <w:rsid w:val="00663C75"/>
    <w:rsid w:val="006645C6"/>
    <w:rsid w:val="00664B2E"/>
    <w:rsid w:val="00672BA9"/>
    <w:rsid w:val="0067314C"/>
    <w:rsid w:val="00674186"/>
    <w:rsid w:val="00674799"/>
    <w:rsid w:val="00675482"/>
    <w:rsid w:val="006772EE"/>
    <w:rsid w:val="00680978"/>
    <w:rsid w:val="00681B5B"/>
    <w:rsid w:val="0068395F"/>
    <w:rsid w:val="00685BD7"/>
    <w:rsid w:val="006916C7"/>
    <w:rsid w:val="006937B8"/>
    <w:rsid w:val="00694561"/>
    <w:rsid w:val="006958B6"/>
    <w:rsid w:val="006977C6"/>
    <w:rsid w:val="006A0C04"/>
    <w:rsid w:val="006A2B71"/>
    <w:rsid w:val="006A506A"/>
    <w:rsid w:val="006B0888"/>
    <w:rsid w:val="006B1F96"/>
    <w:rsid w:val="006B6586"/>
    <w:rsid w:val="006B7F1D"/>
    <w:rsid w:val="006C1618"/>
    <w:rsid w:val="006C20D4"/>
    <w:rsid w:val="006C2445"/>
    <w:rsid w:val="006C2F57"/>
    <w:rsid w:val="006C43C8"/>
    <w:rsid w:val="006D5A34"/>
    <w:rsid w:val="006D5AFD"/>
    <w:rsid w:val="006E066E"/>
    <w:rsid w:val="006E201C"/>
    <w:rsid w:val="006E72B5"/>
    <w:rsid w:val="006F648A"/>
    <w:rsid w:val="007007BC"/>
    <w:rsid w:val="00701CD8"/>
    <w:rsid w:val="00714002"/>
    <w:rsid w:val="00715A05"/>
    <w:rsid w:val="0071655C"/>
    <w:rsid w:val="00716BE9"/>
    <w:rsid w:val="00717C2D"/>
    <w:rsid w:val="00720369"/>
    <w:rsid w:val="0072055F"/>
    <w:rsid w:val="007206B3"/>
    <w:rsid w:val="007216CD"/>
    <w:rsid w:val="0072690A"/>
    <w:rsid w:val="007306D4"/>
    <w:rsid w:val="0073588F"/>
    <w:rsid w:val="00736B52"/>
    <w:rsid w:val="00737430"/>
    <w:rsid w:val="007406B8"/>
    <w:rsid w:val="00743A5F"/>
    <w:rsid w:val="007440BF"/>
    <w:rsid w:val="00744F63"/>
    <w:rsid w:val="00745784"/>
    <w:rsid w:val="007472D5"/>
    <w:rsid w:val="00750665"/>
    <w:rsid w:val="0075412D"/>
    <w:rsid w:val="00756BDD"/>
    <w:rsid w:val="007608DD"/>
    <w:rsid w:val="00760F19"/>
    <w:rsid w:val="00760FA5"/>
    <w:rsid w:val="00763898"/>
    <w:rsid w:val="0076701C"/>
    <w:rsid w:val="007677EE"/>
    <w:rsid w:val="007727DE"/>
    <w:rsid w:val="00772D3A"/>
    <w:rsid w:val="007747B8"/>
    <w:rsid w:val="00775701"/>
    <w:rsid w:val="0077784C"/>
    <w:rsid w:val="00783069"/>
    <w:rsid w:val="0078360A"/>
    <w:rsid w:val="007847A2"/>
    <w:rsid w:val="007858E7"/>
    <w:rsid w:val="00786989"/>
    <w:rsid w:val="00787C45"/>
    <w:rsid w:val="0079006C"/>
    <w:rsid w:val="00795426"/>
    <w:rsid w:val="00797AA1"/>
    <w:rsid w:val="007A058C"/>
    <w:rsid w:val="007A5A43"/>
    <w:rsid w:val="007A6680"/>
    <w:rsid w:val="007B23C8"/>
    <w:rsid w:val="007B4F7F"/>
    <w:rsid w:val="007B5A98"/>
    <w:rsid w:val="007C6273"/>
    <w:rsid w:val="007C7310"/>
    <w:rsid w:val="007C7B24"/>
    <w:rsid w:val="007D0C63"/>
    <w:rsid w:val="007D4DAC"/>
    <w:rsid w:val="007E0BA1"/>
    <w:rsid w:val="007E2F4A"/>
    <w:rsid w:val="007E63D8"/>
    <w:rsid w:val="007E684B"/>
    <w:rsid w:val="007E7A2A"/>
    <w:rsid w:val="007F201A"/>
    <w:rsid w:val="007F6AB9"/>
    <w:rsid w:val="00800CD7"/>
    <w:rsid w:val="0080114B"/>
    <w:rsid w:val="00802340"/>
    <w:rsid w:val="00802B79"/>
    <w:rsid w:val="00803376"/>
    <w:rsid w:val="00806F4C"/>
    <w:rsid w:val="00806FE8"/>
    <w:rsid w:val="00807748"/>
    <w:rsid w:val="00811543"/>
    <w:rsid w:val="00811788"/>
    <w:rsid w:val="00815D4C"/>
    <w:rsid w:val="00817AF7"/>
    <w:rsid w:val="00820586"/>
    <w:rsid w:val="00820BD8"/>
    <w:rsid w:val="00823518"/>
    <w:rsid w:val="00824188"/>
    <w:rsid w:val="00824388"/>
    <w:rsid w:val="0082594F"/>
    <w:rsid w:val="00825D55"/>
    <w:rsid w:val="008261E9"/>
    <w:rsid w:val="00832AD8"/>
    <w:rsid w:val="0083784F"/>
    <w:rsid w:val="00842AC8"/>
    <w:rsid w:val="00844C16"/>
    <w:rsid w:val="00845462"/>
    <w:rsid w:val="00846A33"/>
    <w:rsid w:val="00847528"/>
    <w:rsid w:val="00852B12"/>
    <w:rsid w:val="00853F25"/>
    <w:rsid w:val="00854281"/>
    <w:rsid w:val="00854758"/>
    <w:rsid w:val="0085532F"/>
    <w:rsid w:val="008554B0"/>
    <w:rsid w:val="00860508"/>
    <w:rsid w:val="00862C34"/>
    <w:rsid w:val="008636EC"/>
    <w:rsid w:val="00870B67"/>
    <w:rsid w:val="00870DC1"/>
    <w:rsid w:val="00881991"/>
    <w:rsid w:val="00884CA9"/>
    <w:rsid w:val="0088713C"/>
    <w:rsid w:val="00890C86"/>
    <w:rsid w:val="00893412"/>
    <w:rsid w:val="00893980"/>
    <w:rsid w:val="0089572A"/>
    <w:rsid w:val="00897635"/>
    <w:rsid w:val="008A1767"/>
    <w:rsid w:val="008A30EB"/>
    <w:rsid w:val="008A3C27"/>
    <w:rsid w:val="008A60A1"/>
    <w:rsid w:val="008A62C3"/>
    <w:rsid w:val="008A75CB"/>
    <w:rsid w:val="008B11F4"/>
    <w:rsid w:val="008B1988"/>
    <w:rsid w:val="008B236E"/>
    <w:rsid w:val="008B3E6F"/>
    <w:rsid w:val="008C054F"/>
    <w:rsid w:val="008C1030"/>
    <w:rsid w:val="008C219A"/>
    <w:rsid w:val="008C3FDE"/>
    <w:rsid w:val="008C4988"/>
    <w:rsid w:val="008C7F23"/>
    <w:rsid w:val="008D1DB0"/>
    <w:rsid w:val="008D6495"/>
    <w:rsid w:val="008E2FA4"/>
    <w:rsid w:val="008E621D"/>
    <w:rsid w:val="008F1836"/>
    <w:rsid w:val="008F1896"/>
    <w:rsid w:val="008F1F15"/>
    <w:rsid w:val="008F2147"/>
    <w:rsid w:val="008F2C72"/>
    <w:rsid w:val="008F2E7B"/>
    <w:rsid w:val="008F316C"/>
    <w:rsid w:val="00903BFB"/>
    <w:rsid w:val="00905707"/>
    <w:rsid w:val="0090590B"/>
    <w:rsid w:val="00907575"/>
    <w:rsid w:val="0090786A"/>
    <w:rsid w:val="0091099F"/>
    <w:rsid w:val="009114F1"/>
    <w:rsid w:val="009125C6"/>
    <w:rsid w:val="00912D09"/>
    <w:rsid w:val="009143F1"/>
    <w:rsid w:val="00915D9B"/>
    <w:rsid w:val="00920F35"/>
    <w:rsid w:val="0092130A"/>
    <w:rsid w:val="0092370E"/>
    <w:rsid w:val="009237B2"/>
    <w:rsid w:val="009302AC"/>
    <w:rsid w:val="00931AE8"/>
    <w:rsid w:val="00931DD1"/>
    <w:rsid w:val="00932043"/>
    <w:rsid w:val="00935716"/>
    <w:rsid w:val="00937EC4"/>
    <w:rsid w:val="009402E8"/>
    <w:rsid w:val="00943227"/>
    <w:rsid w:val="0094454A"/>
    <w:rsid w:val="0094740C"/>
    <w:rsid w:val="00951AE3"/>
    <w:rsid w:val="00951D9C"/>
    <w:rsid w:val="00952E77"/>
    <w:rsid w:val="0096301F"/>
    <w:rsid w:val="00966A3D"/>
    <w:rsid w:val="00967BE0"/>
    <w:rsid w:val="00971290"/>
    <w:rsid w:val="00971E14"/>
    <w:rsid w:val="00976B3F"/>
    <w:rsid w:val="009836AE"/>
    <w:rsid w:val="00983B76"/>
    <w:rsid w:val="00985353"/>
    <w:rsid w:val="00990F64"/>
    <w:rsid w:val="009912C7"/>
    <w:rsid w:val="00992940"/>
    <w:rsid w:val="00992CD7"/>
    <w:rsid w:val="00993FDB"/>
    <w:rsid w:val="009944C5"/>
    <w:rsid w:val="009974E7"/>
    <w:rsid w:val="009A1904"/>
    <w:rsid w:val="009A5536"/>
    <w:rsid w:val="009A5AC3"/>
    <w:rsid w:val="009A66BC"/>
    <w:rsid w:val="009A6E12"/>
    <w:rsid w:val="009A75C6"/>
    <w:rsid w:val="009A7B36"/>
    <w:rsid w:val="009B03D8"/>
    <w:rsid w:val="009B4C72"/>
    <w:rsid w:val="009B5DF7"/>
    <w:rsid w:val="009B6E53"/>
    <w:rsid w:val="009C1FA2"/>
    <w:rsid w:val="009C24FC"/>
    <w:rsid w:val="009C4BAA"/>
    <w:rsid w:val="009C7369"/>
    <w:rsid w:val="009D1A85"/>
    <w:rsid w:val="009D2415"/>
    <w:rsid w:val="009D264A"/>
    <w:rsid w:val="009D4D00"/>
    <w:rsid w:val="009D6E3A"/>
    <w:rsid w:val="009D7588"/>
    <w:rsid w:val="009D7C6E"/>
    <w:rsid w:val="009E1630"/>
    <w:rsid w:val="009E6D84"/>
    <w:rsid w:val="009E76EA"/>
    <w:rsid w:val="009F0632"/>
    <w:rsid w:val="009F630F"/>
    <w:rsid w:val="009F6EAD"/>
    <w:rsid w:val="009F77A0"/>
    <w:rsid w:val="009F7DB7"/>
    <w:rsid w:val="00A00F9D"/>
    <w:rsid w:val="00A0312C"/>
    <w:rsid w:val="00A0605B"/>
    <w:rsid w:val="00A060FB"/>
    <w:rsid w:val="00A06697"/>
    <w:rsid w:val="00A06D9F"/>
    <w:rsid w:val="00A10D62"/>
    <w:rsid w:val="00A11485"/>
    <w:rsid w:val="00A11590"/>
    <w:rsid w:val="00A14284"/>
    <w:rsid w:val="00A177A0"/>
    <w:rsid w:val="00A21FB9"/>
    <w:rsid w:val="00A22003"/>
    <w:rsid w:val="00A220CA"/>
    <w:rsid w:val="00A229C7"/>
    <w:rsid w:val="00A22D9D"/>
    <w:rsid w:val="00A2391F"/>
    <w:rsid w:val="00A2416B"/>
    <w:rsid w:val="00A2430D"/>
    <w:rsid w:val="00A26D9B"/>
    <w:rsid w:val="00A26E96"/>
    <w:rsid w:val="00A270C3"/>
    <w:rsid w:val="00A344B8"/>
    <w:rsid w:val="00A37B3A"/>
    <w:rsid w:val="00A37BBF"/>
    <w:rsid w:val="00A41EEB"/>
    <w:rsid w:val="00A43997"/>
    <w:rsid w:val="00A5427C"/>
    <w:rsid w:val="00A55ECF"/>
    <w:rsid w:val="00A56066"/>
    <w:rsid w:val="00A56C95"/>
    <w:rsid w:val="00A600B0"/>
    <w:rsid w:val="00A621C9"/>
    <w:rsid w:val="00A623AE"/>
    <w:rsid w:val="00A62687"/>
    <w:rsid w:val="00A63310"/>
    <w:rsid w:val="00A63CAD"/>
    <w:rsid w:val="00A661AA"/>
    <w:rsid w:val="00A67D84"/>
    <w:rsid w:val="00A7002A"/>
    <w:rsid w:val="00A7210B"/>
    <w:rsid w:val="00A72A21"/>
    <w:rsid w:val="00A72D46"/>
    <w:rsid w:val="00A74D42"/>
    <w:rsid w:val="00A74F24"/>
    <w:rsid w:val="00A750F0"/>
    <w:rsid w:val="00A75326"/>
    <w:rsid w:val="00A80728"/>
    <w:rsid w:val="00A8112F"/>
    <w:rsid w:val="00A82965"/>
    <w:rsid w:val="00A84560"/>
    <w:rsid w:val="00A84702"/>
    <w:rsid w:val="00A85A68"/>
    <w:rsid w:val="00A929A3"/>
    <w:rsid w:val="00A961D8"/>
    <w:rsid w:val="00A96997"/>
    <w:rsid w:val="00A974DD"/>
    <w:rsid w:val="00AA3EB7"/>
    <w:rsid w:val="00AA4552"/>
    <w:rsid w:val="00AA7645"/>
    <w:rsid w:val="00AA7EB6"/>
    <w:rsid w:val="00AB243A"/>
    <w:rsid w:val="00AB6792"/>
    <w:rsid w:val="00AB6D52"/>
    <w:rsid w:val="00AC0097"/>
    <w:rsid w:val="00AC0CC6"/>
    <w:rsid w:val="00AC454B"/>
    <w:rsid w:val="00AD055F"/>
    <w:rsid w:val="00AD1746"/>
    <w:rsid w:val="00AD18CC"/>
    <w:rsid w:val="00AD1BB4"/>
    <w:rsid w:val="00AD516C"/>
    <w:rsid w:val="00AD7937"/>
    <w:rsid w:val="00AE0D1A"/>
    <w:rsid w:val="00AE5440"/>
    <w:rsid w:val="00AE5687"/>
    <w:rsid w:val="00AE64FD"/>
    <w:rsid w:val="00AF0CD8"/>
    <w:rsid w:val="00AF2EBD"/>
    <w:rsid w:val="00AF38FD"/>
    <w:rsid w:val="00AF532C"/>
    <w:rsid w:val="00AF5B7C"/>
    <w:rsid w:val="00AF74E1"/>
    <w:rsid w:val="00B00FCE"/>
    <w:rsid w:val="00B012C7"/>
    <w:rsid w:val="00B02B52"/>
    <w:rsid w:val="00B0617E"/>
    <w:rsid w:val="00B1164A"/>
    <w:rsid w:val="00B1639B"/>
    <w:rsid w:val="00B16DE0"/>
    <w:rsid w:val="00B17134"/>
    <w:rsid w:val="00B174CA"/>
    <w:rsid w:val="00B2244A"/>
    <w:rsid w:val="00B244E5"/>
    <w:rsid w:val="00B26B93"/>
    <w:rsid w:val="00B32992"/>
    <w:rsid w:val="00B33CFF"/>
    <w:rsid w:val="00B34E74"/>
    <w:rsid w:val="00B37765"/>
    <w:rsid w:val="00B40ADB"/>
    <w:rsid w:val="00B47512"/>
    <w:rsid w:val="00B47683"/>
    <w:rsid w:val="00B52958"/>
    <w:rsid w:val="00B535B0"/>
    <w:rsid w:val="00B56038"/>
    <w:rsid w:val="00B562E2"/>
    <w:rsid w:val="00B61477"/>
    <w:rsid w:val="00B63963"/>
    <w:rsid w:val="00B64E92"/>
    <w:rsid w:val="00B65470"/>
    <w:rsid w:val="00B67EB8"/>
    <w:rsid w:val="00B7201F"/>
    <w:rsid w:val="00B729D0"/>
    <w:rsid w:val="00B738E7"/>
    <w:rsid w:val="00B76DAD"/>
    <w:rsid w:val="00B77233"/>
    <w:rsid w:val="00B818F3"/>
    <w:rsid w:val="00B85B64"/>
    <w:rsid w:val="00B92B95"/>
    <w:rsid w:val="00B94CF2"/>
    <w:rsid w:val="00B953FB"/>
    <w:rsid w:val="00BA0928"/>
    <w:rsid w:val="00BA1C9E"/>
    <w:rsid w:val="00BA2E17"/>
    <w:rsid w:val="00BA3A2C"/>
    <w:rsid w:val="00BA47D9"/>
    <w:rsid w:val="00BA4D59"/>
    <w:rsid w:val="00BA74F2"/>
    <w:rsid w:val="00BA7DBC"/>
    <w:rsid w:val="00BB0447"/>
    <w:rsid w:val="00BB3ACB"/>
    <w:rsid w:val="00BB3EF4"/>
    <w:rsid w:val="00BB5279"/>
    <w:rsid w:val="00BC6F27"/>
    <w:rsid w:val="00BD1DAA"/>
    <w:rsid w:val="00BD229B"/>
    <w:rsid w:val="00BD2757"/>
    <w:rsid w:val="00BD3D69"/>
    <w:rsid w:val="00BD41CD"/>
    <w:rsid w:val="00BD4974"/>
    <w:rsid w:val="00BE7B43"/>
    <w:rsid w:val="00BF1C8E"/>
    <w:rsid w:val="00BF4247"/>
    <w:rsid w:val="00BF788E"/>
    <w:rsid w:val="00C0426F"/>
    <w:rsid w:val="00C043DE"/>
    <w:rsid w:val="00C06E8A"/>
    <w:rsid w:val="00C1272C"/>
    <w:rsid w:val="00C14E9F"/>
    <w:rsid w:val="00C1767E"/>
    <w:rsid w:val="00C17783"/>
    <w:rsid w:val="00C2387F"/>
    <w:rsid w:val="00C2416F"/>
    <w:rsid w:val="00C253EC"/>
    <w:rsid w:val="00C27EFF"/>
    <w:rsid w:val="00C3068D"/>
    <w:rsid w:val="00C30D36"/>
    <w:rsid w:val="00C3227E"/>
    <w:rsid w:val="00C34F3E"/>
    <w:rsid w:val="00C3712E"/>
    <w:rsid w:val="00C37836"/>
    <w:rsid w:val="00C3791B"/>
    <w:rsid w:val="00C43C9A"/>
    <w:rsid w:val="00C46453"/>
    <w:rsid w:val="00C467C6"/>
    <w:rsid w:val="00C47D42"/>
    <w:rsid w:val="00C50AA7"/>
    <w:rsid w:val="00C5314B"/>
    <w:rsid w:val="00C53D90"/>
    <w:rsid w:val="00C55C56"/>
    <w:rsid w:val="00C55D10"/>
    <w:rsid w:val="00C55EDC"/>
    <w:rsid w:val="00C562E0"/>
    <w:rsid w:val="00C57C54"/>
    <w:rsid w:val="00C6263B"/>
    <w:rsid w:val="00C63971"/>
    <w:rsid w:val="00C7008B"/>
    <w:rsid w:val="00C704D7"/>
    <w:rsid w:val="00C70B5F"/>
    <w:rsid w:val="00C70E91"/>
    <w:rsid w:val="00C71FB6"/>
    <w:rsid w:val="00C80A28"/>
    <w:rsid w:val="00C80B31"/>
    <w:rsid w:val="00C9128D"/>
    <w:rsid w:val="00C93B7B"/>
    <w:rsid w:val="00C96A8A"/>
    <w:rsid w:val="00C96AC8"/>
    <w:rsid w:val="00CA25A8"/>
    <w:rsid w:val="00CA4E80"/>
    <w:rsid w:val="00CA7159"/>
    <w:rsid w:val="00CA7D56"/>
    <w:rsid w:val="00CA7F5C"/>
    <w:rsid w:val="00CB1B6F"/>
    <w:rsid w:val="00CB3334"/>
    <w:rsid w:val="00CB39C0"/>
    <w:rsid w:val="00CB424D"/>
    <w:rsid w:val="00CB5FCA"/>
    <w:rsid w:val="00CC1313"/>
    <w:rsid w:val="00CC27D8"/>
    <w:rsid w:val="00CC53A7"/>
    <w:rsid w:val="00CC7926"/>
    <w:rsid w:val="00CD0D31"/>
    <w:rsid w:val="00CD580D"/>
    <w:rsid w:val="00CD7E03"/>
    <w:rsid w:val="00CE05BE"/>
    <w:rsid w:val="00CE0971"/>
    <w:rsid w:val="00CE0A02"/>
    <w:rsid w:val="00CE20A2"/>
    <w:rsid w:val="00CE21C9"/>
    <w:rsid w:val="00CE22DF"/>
    <w:rsid w:val="00CE45D5"/>
    <w:rsid w:val="00CE59A5"/>
    <w:rsid w:val="00CE64B1"/>
    <w:rsid w:val="00CE6644"/>
    <w:rsid w:val="00CF0CFC"/>
    <w:rsid w:val="00CF136A"/>
    <w:rsid w:val="00CF2B33"/>
    <w:rsid w:val="00CF490C"/>
    <w:rsid w:val="00CF4949"/>
    <w:rsid w:val="00CF4995"/>
    <w:rsid w:val="00CF585A"/>
    <w:rsid w:val="00CF5A2E"/>
    <w:rsid w:val="00CF726D"/>
    <w:rsid w:val="00D00CED"/>
    <w:rsid w:val="00D00EF9"/>
    <w:rsid w:val="00D05090"/>
    <w:rsid w:val="00D050B1"/>
    <w:rsid w:val="00D062F3"/>
    <w:rsid w:val="00D07093"/>
    <w:rsid w:val="00D143D2"/>
    <w:rsid w:val="00D164CC"/>
    <w:rsid w:val="00D24F72"/>
    <w:rsid w:val="00D25761"/>
    <w:rsid w:val="00D326BF"/>
    <w:rsid w:val="00D32CC3"/>
    <w:rsid w:val="00D4056E"/>
    <w:rsid w:val="00D41F08"/>
    <w:rsid w:val="00D43A84"/>
    <w:rsid w:val="00D4427B"/>
    <w:rsid w:val="00D46382"/>
    <w:rsid w:val="00D4671F"/>
    <w:rsid w:val="00D46917"/>
    <w:rsid w:val="00D505EA"/>
    <w:rsid w:val="00D50BAE"/>
    <w:rsid w:val="00D525B7"/>
    <w:rsid w:val="00D52CEF"/>
    <w:rsid w:val="00D54AB9"/>
    <w:rsid w:val="00D56985"/>
    <w:rsid w:val="00D56CAE"/>
    <w:rsid w:val="00D61EBC"/>
    <w:rsid w:val="00D63FE8"/>
    <w:rsid w:val="00D74681"/>
    <w:rsid w:val="00D75085"/>
    <w:rsid w:val="00D751F2"/>
    <w:rsid w:val="00D76A82"/>
    <w:rsid w:val="00D800FE"/>
    <w:rsid w:val="00D81095"/>
    <w:rsid w:val="00D83243"/>
    <w:rsid w:val="00D83D04"/>
    <w:rsid w:val="00D8622C"/>
    <w:rsid w:val="00D90612"/>
    <w:rsid w:val="00D910E2"/>
    <w:rsid w:val="00DA1B5C"/>
    <w:rsid w:val="00DA2F04"/>
    <w:rsid w:val="00DA6469"/>
    <w:rsid w:val="00DA72D3"/>
    <w:rsid w:val="00DA7450"/>
    <w:rsid w:val="00DB1D2E"/>
    <w:rsid w:val="00DB46FC"/>
    <w:rsid w:val="00DC0239"/>
    <w:rsid w:val="00DC0F57"/>
    <w:rsid w:val="00DC2584"/>
    <w:rsid w:val="00DC42BF"/>
    <w:rsid w:val="00DC71DC"/>
    <w:rsid w:val="00DC7953"/>
    <w:rsid w:val="00DD4139"/>
    <w:rsid w:val="00DD7E17"/>
    <w:rsid w:val="00DE0F2C"/>
    <w:rsid w:val="00DE5D6B"/>
    <w:rsid w:val="00DF0B51"/>
    <w:rsid w:val="00DF4962"/>
    <w:rsid w:val="00E00750"/>
    <w:rsid w:val="00E011B0"/>
    <w:rsid w:val="00E02AEF"/>
    <w:rsid w:val="00E0320C"/>
    <w:rsid w:val="00E1008D"/>
    <w:rsid w:val="00E107C9"/>
    <w:rsid w:val="00E11E53"/>
    <w:rsid w:val="00E120FC"/>
    <w:rsid w:val="00E1262D"/>
    <w:rsid w:val="00E13A91"/>
    <w:rsid w:val="00E13D65"/>
    <w:rsid w:val="00E2167F"/>
    <w:rsid w:val="00E24DB4"/>
    <w:rsid w:val="00E30F84"/>
    <w:rsid w:val="00E3219F"/>
    <w:rsid w:val="00E32D78"/>
    <w:rsid w:val="00E34F26"/>
    <w:rsid w:val="00E356B5"/>
    <w:rsid w:val="00E35C0C"/>
    <w:rsid w:val="00E35DC7"/>
    <w:rsid w:val="00E41020"/>
    <w:rsid w:val="00E4163A"/>
    <w:rsid w:val="00E42623"/>
    <w:rsid w:val="00E455B4"/>
    <w:rsid w:val="00E46146"/>
    <w:rsid w:val="00E47933"/>
    <w:rsid w:val="00E513A4"/>
    <w:rsid w:val="00E5141A"/>
    <w:rsid w:val="00E546B4"/>
    <w:rsid w:val="00E55311"/>
    <w:rsid w:val="00E56ECE"/>
    <w:rsid w:val="00E57FAE"/>
    <w:rsid w:val="00E60E59"/>
    <w:rsid w:val="00E63210"/>
    <w:rsid w:val="00E632AF"/>
    <w:rsid w:val="00E64001"/>
    <w:rsid w:val="00E64079"/>
    <w:rsid w:val="00E642A6"/>
    <w:rsid w:val="00E65009"/>
    <w:rsid w:val="00E65342"/>
    <w:rsid w:val="00E653D9"/>
    <w:rsid w:val="00E65C61"/>
    <w:rsid w:val="00E67F1D"/>
    <w:rsid w:val="00E70412"/>
    <w:rsid w:val="00E7098E"/>
    <w:rsid w:val="00E711EA"/>
    <w:rsid w:val="00E73D5C"/>
    <w:rsid w:val="00E74F6D"/>
    <w:rsid w:val="00E7519E"/>
    <w:rsid w:val="00E757B0"/>
    <w:rsid w:val="00E76F01"/>
    <w:rsid w:val="00E80289"/>
    <w:rsid w:val="00E83A47"/>
    <w:rsid w:val="00E85A7F"/>
    <w:rsid w:val="00E87B35"/>
    <w:rsid w:val="00E922B7"/>
    <w:rsid w:val="00E93366"/>
    <w:rsid w:val="00E951B6"/>
    <w:rsid w:val="00E9766A"/>
    <w:rsid w:val="00EA0B05"/>
    <w:rsid w:val="00EA15B8"/>
    <w:rsid w:val="00EA243A"/>
    <w:rsid w:val="00EA2482"/>
    <w:rsid w:val="00EA43AF"/>
    <w:rsid w:val="00EA4759"/>
    <w:rsid w:val="00EA4ADA"/>
    <w:rsid w:val="00EA502E"/>
    <w:rsid w:val="00EA58B4"/>
    <w:rsid w:val="00EA6917"/>
    <w:rsid w:val="00EA69A7"/>
    <w:rsid w:val="00EA6AE2"/>
    <w:rsid w:val="00EA7478"/>
    <w:rsid w:val="00EB02B1"/>
    <w:rsid w:val="00EB0AB9"/>
    <w:rsid w:val="00EB258C"/>
    <w:rsid w:val="00EB2ACE"/>
    <w:rsid w:val="00EB2CDC"/>
    <w:rsid w:val="00EB3066"/>
    <w:rsid w:val="00EB4AB2"/>
    <w:rsid w:val="00EB4C20"/>
    <w:rsid w:val="00EB6FBD"/>
    <w:rsid w:val="00ED2D8E"/>
    <w:rsid w:val="00ED3D84"/>
    <w:rsid w:val="00ED51B1"/>
    <w:rsid w:val="00ED69AF"/>
    <w:rsid w:val="00EE1D21"/>
    <w:rsid w:val="00EE2E9A"/>
    <w:rsid w:val="00EE36FF"/>
    <w:rsid w:val="00EE4315"/>
    <w:rsid w:val="00EF1A16"/>
    <w:rsid w:val="00EF4360"/>
    <w:rsid w:val="00EF5E84"/>
    <w:rsid w:val="00EF6512"/>
    <w:rsid w:val="00F00611"/>
    <w:rsid w:val="00F01126"/>
    <w:rsid w:val="00F02273"/>
    <w:rsid w:val="00F0284A"/>
    <w:rsid w:val="00F05D08"/>
    <w:rsid w:val="00F05D4C"/>
    <w:rsid w:val="00F07D9B"/>
    <w:rsid w:val="00F11773"/>
    <w:rsid w:val="00F126B6"/>
    <w:rsid w:val="00F1553C"/>
    <w:rsid w:val="00F15BB3"/>
    <w:rsid w:val="00F16970"/>
    <w:rsid w:val="00F20667"/>
    <w:rsid w:val="00F2257C"/>
    <w:rsid w:val="00F229E6"/>
    <w:rsid w:val="00F23EF0"/>
    <w:rsid w:val="00F25E16"/>
    <w:rsid w:val="00F342A3"/>
    <w:rsid w:val="00F35AA5"/>
    <w:rsid w:val="00F367BA"/>
    <w:rsid w:val="00F3799E"/>
    <w:rsid w:val="00F415AC"/>
    <w:rsid w:val="00F41EA7"/>
    <w:rsid w:val="00F5065D"/>
    <w:rsid w:val="00F520DC"/>
    <w:rsid w:val="00F600C5"/>
    <w:rsid w:val="00F60DED"/>
    <w:rsid w:val="00F60EF1"/>
    <w:rsid w:val="00F61C14"/>
    <w:rsid w:val="00F636F8"/>
    <w:rsid w:val="00F6642A"/>
    <w:rsid w:val="00F670AB"/>
    <w:rsid w:val="00F7381F"/>
    <w:rsid w:val="00F7563E"/>
    <w:rsid w:val="00F75A18"/>
    <w:rsid w:val="00F763AB"/>
    <w:rsid w:val="00F835DF"/>
    <w:rsid w:val="00F90268"/>
    <w:rsid w:val="00F9118D"/>
    <w:rsid w:val="00F911EF"/>
    <w:rsid w:val="00F9170F"/>
    <w:rsid w:val="00F92A51"/>
    <w:rsid w:val="00F93ABD"/>
    <w:rsid w:val="00F93D3B"/>
    <w:rsid w:val="00F94DB3"/>
    <w:rsid w:val="00F95AFA"/>
    <w:rsid w:val="00F95C72"/>
    <w:rsid w:val="00F96A15"/>
    <w:rsid w:val="00F96BFF"/>
    <w:rsid w:val="00FA1B8D"/>
    <w:rsid w:val="00FA1E14"/>
    <w:rsid w:val="00FA2A7C"/>
    <w:rsid w:val="00FA56A5"/>
    <w:rsid w:val="00FA57C1"/>
    <w:rsid w:val="00FA6CDA"/>
    <w:rsid w:val="00FA7522"/>
    <w:rsid w:val="00FB1309"/>
    <w:rsid w:val="00FB337D"/>
    <w:rsid w:val="00FB5ABF"/>
    <w:rsid w:val="00FC05FE"/>
    <w:rsid w:val="00FC1B28"/>
    <w:rsid w:val="00FC5221"/>
    <w:rsid w:val="00FC5ACE"/>
    <w:rsid w:val="00FC6D6B"/>
    <w:rsid w:val="00FD0AA8"/>
    <w:rsid w:val="00FD1AF9"/>
    <w:rsid w:val="00FD239E"/>
    <w:rsid w:val="00FD3326"/>
    <w:rsid w:val="00FD385F"/>
    <w:rsid w:val="00FD6285"/>
    <w:rsid w:val="00FD6E81"/>
    <w:rsid w:val="00FE11C0"/>
    <w:rsid w:val="00FE3899"/>
    <w:rsid w:val="00FE6E75"/>
    <w:rsid w:val="00FE781B"/>
    <w:rsid w:val="00FF0498"/>
    <w:rsid w:val="00FF0B85"/>
    <w:rsid w:val="00FF195D"/>
    <w:rsid w:val="00FF2EA0"/>
    <w:rsid w:val="00FF4E74"/>
    <w:rsid w:val="00FF532E"/>
    <w:rsid w:val="00FF54A7"/>
    <w:rsid w:val="00FF73C2"/>
    <w:rsid w:val="36A87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24C98"/>
  <w15:docId w15:val="{B2ACD933-5EE1-4B65-9BAC-2E6F84C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2C0CD5"/>
    <w:pPr>
      <w:keepNext/>
      <w:jc w:val="center"/>
      <w:outlineLvl w:val="0"/>
    </w:pPr>
    <w:rPr>
      <w:i/>
      <w:sz w:val="24"/>
    </w:rPr>
  </w:style>
  <w:style w:type="paragraph" w:styleId="Heading2">
    <w:name w:val="heading 2"/>
    <w:basedOn w:val="Normal"/>
    <w:next w:val="Normal"/>
    <w:link w:val="Heading2Char"/>
    <w:uiPriority w:val="9"/>
    <w:unhideWhenUsed/>
    <w:qFormat/>
    <w:rsid w:val="001E505E"/>
    <w:pPr>
      <w:keepNext/>
      <w:keepLines/>
      <w:suppressAutoHyphens/>
      <w:spacing w:before="320" w:after="160"/>
      <w:outlineLvl w:val="1"/>
    </w:pPr>
    <w:rPr>
      <w:rFonts w:asciiTheme="majorHAnsi" w:eastAsiaTheme="majorEastAsia" w:hAnsiTheme="majorHAnsi" w:cstheme="majorBidi"/>
      <w:color w:val="373545" w:themeColor="text2"/>
      <w:sz w:val="36"/>
      <w:szCs w:val="26"/>
      <w:lang w:eastAsia="en-US"/>
    </w:rPr>
  </w:style>
  <w:style w:type="paragraph" w:styleId="Heading3">
    <w:name w:val="heading 3"/>
    <w:basedOn w:val="Normal"/>
    <w:next w:val="Normal"/>
    <w:link w:val="Heading3Char"/>
    <w:uiPriority w:val="9"/>
    <w:unhideWhenUsed/>
    <w:qFormat/>
    <w:rsid w:val="001E505E"/>
    <w:pPr>
      <w:keepNext/>
      <w:keepLines/>
      <w:spacing w:before="4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rsid w:val="001E505E"/>
    <w:pPr>
      <w:keepNext/>
      <w:keepLines/>
      <w:suppressAutoHyphens/>
      <w:spacing w:before="240" w:after="160"/>
      <w:outlineLvl w:val="3"/>
    </w:pPr>
    <w:rPr>
      <w:rFonts w:asciiTheme="majorHAnsi" w:eastAsiaTheme="majorEastAsia" w:hAnsiTheme="majorHAnsi" w:cstheme="majorBidi"/>
      <w:b/>
      <w:iCs/>
      <w:color w:val="3C4647" w:themeColor="accent4" w:themeShade="80"/>
      <w:sz w:val="26"/>
      <w:szCs w:val="22"/>
      <w:lang w:eastAsia="en-US"/>
    </w:rPr>
  </w:style>
  <w:style w:type="paragraph" w:styleId="Heading5">
    <w:name w:val="heading 5"/>
    <w:basedOn w:val="Normal"/>
    <w:next w:val="Normal"/>
    <w:link w:val="Heading5Char"/>
    <w:uiPriority w:val="9"/>
    <w:unhideWhenUsed/>
    <w:rsid w:val="001E505E"/>
    <w:pPr>
      <w:keepNext/>
      <w:keepLines/>
      <w:suppressAutoHyphens/>
      <w:spacing w:before="240" w:after="160"/>
      <w:outlineLvl w:val="4"/>
    </w:pPr>
    <w:rPr>
      <w:rFonts w:asciiTheme="majorHAnsi" w:eastAsiaTheme="majorEastAsia" w:hAnsiTheme="majorHAnsi" w:cstheme="majorBidi"/>
      <w:b/>
      <w:color w:val="373545" w:themeColor="text2"/>
      <w:sz w:val="22"/>
      <w:szCs w:val="22"/>
      <w:lang w:eastAsia="en-US"/>
    </w:rPr>
  </w:style>
  <w:style w:type="paragraph" w:styleId="Heading6">
    <w:name w:val="heading 6"/>
    <w:basedOn w:val="Normal"/>
    <w:next w:val="Normal"/>
    <w:link w:val="Heading6Char"/>
    <w:uiPriority w:val="9"/>
    <w:semiHidden/>
    <w:unhideWhenUsed/>
    <w:rsid w:val="001E505E"/>
    <w:pPr>
      <w:keepNext/>
      <w:keepLines/>
      <w:suppressAutoHyphens/>
      <w:spacing w:before="240" w:after="160"/>
      <w:outlineLvl w:val="5"/>
    </w:pPr>
    <w:rPr>
      <w:rFonts w:asciiTheme="majorHAnsi" w:eastAsiaTheme="majorEastAsia" w:hAnsiTheme="majorHAnsi" w:cstheme="majorBidi"/>
      <w:i/>
      <w:color w:val="373545" w:themeColor="text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D5"/>
    <w:rPr>
      <w:rFonts w:ascii="Times New Roman" w:eastAsia="Times New Roman" w:hAnsi="Times New Roman" w:cs="Times New Roman"/>
      <w:i/>
      <w:sz w:val="24"/>
      <w:szCs w:val="20"/>
      <w:lang w:eastAsia="en-AU"/>
    </w:rPr>
  </w:style>
  <w:style w:type="paragraph" w:styleId="Title">
    <w:name w:val="Title"/>
    <w:basedOn w:val="Normal"/>
    <w:link w:val="TitleChar"/>
    <w:uiPriority w:val="17"/>
    <w:qFormat/>
    <w:rsid w:val="002C0CD5"/>
    <w:pPr>
      <w:jc w:val="center"/>
    </w:pPr>
    <w:rPr>
      <w:b/>
      <w:sz w:val="24"/>
      <w:u w:val="single"/>
      <w:lang w:val="en-GB" w:eastAsia="en-US"/>
    </w:rPr>
  </w:style>
  <w:style w:type="character" w:customStyle="1" w:styleId="TitleChar">
    <w:name w:val="Title Char"/>
    <w:basedOn w:val="DefaultParagraphFont"/>
    <w:link w:val="Title"/>
    <w:uiPriority w:val="17"/>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2C0CD5"/>
    <w:pPr>
      <w:tabs>
        <w:tab w:val="center" w:pos="4320"/>
        <w:tab w:val="right" w:pos="8640"/>
      </w:tabs>
    </w:pPr>
    <w:rPr>
      <w:sz w:val="24"/>
    </w:rPr>
  </w:style>
  <w:style w:type="character" w:customStyle="1" w:styleId="HeaderChar">
    <w:name w:val="Header Char"/>
    <w:basedOn w:val="DefaultParagraphFont"/>
    <w:link w:val="Header"/>
    <w:uiPriority w:val="99"/>
    <w:rsid w:val="002C0CD5"/>
    <w:rPr>
      <w:rFonts w:ascii="Times New Roman" w:eastAsia="Times New Roman" w:hAnsi="Times New Roman" w:cs="Times New Roman"/>
      <w:sz w:val="24"/>
      <w:szCs w:val="20"/>
      <w:lang w:eastAsia="en-AU"/>
    </w:rPr>
  </w:style>
  <w:style w:type="character" w:styleId="PageNumber">
    <w:name w:val="page number"/>
    <w:basedOn w:val="DefaultParagraphFont"/>
    <w:uiPriority w:val="99"/>
    <w:rsid w:val="002C0CD5"/>
  </w:style>
  <w:style w:type="character" w:styleId="CommentReference">
    <w:name w:val="annotation reference"/>
    <w:basedOn w:val="DefaultParagraphFont"/>
    <w:uiPriority w:val="99"/>
    <w:semiHidden/>
    <w:rsid w:val="002C0CD5"/>
    <w:rPr>
      <w:sz w:val="16"/>
      <w:szCs w:val="16"/>
    </w:rPr>
  </w:style>
  <w:style w:type="paragraph" w:styleId="CommentText">
    <w:name w:val="annotation text"/>
    <w:basedOn w:val="Normal"/>
    <w:link w:val="CommentTextChar"/>
    <w:uiPriority w:val="99"/>
    <w:semiHidden/>
    <w:rsid w:val="002C0CD5"/>
  </w:style>
  <w:style w:type="character" w:customStyle="1" w:styleId="CommentTextChar">
    <w:name w:val="Comment Text Char"/>
    <w:basedOn w:val="DefaultParagraphFont"/>
    <w:link w:val="CommentText"/>
    <w:uiPriority w:val="99"/>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8A3C27"/>
    <w:pPr>
      <w:ind w:left="720"/>
      <w:contextualSpacing/>
    </w:pPr>
  </w:style>
  <w:style w:type="character" w:styleId="Emphasis">
    <w:name w:val="Emphasis"/>
    <w:basedOn w:val="DefaultParagraphFont"/>
    <w:uiPriority w:val="20"/>
    <w:qFormat/>
    <w:rsid w:val="0014799A"/>
    <w:rPr>
      <w:i/>
      <w:iCs/>
    </w:rPr>
  </w:style>
  <w:style w:type="paragraph" w:customStyle="1" w:styleId="Default">
    <w:name w:val="Default"/>
    <w:basedOn w:val="Normal"/>
    <w:rsid w:val="000C5458"/>
    <w:pPr>
      <w:autoSpaceDE w:val="0"/>
      <w:autoSpaceDN w:val="0"/>
    </w:pPr>
    <w:rPr>
      <w:rFonts w:ascii="Calibri" w:eastAsiaTheme="minorHAnsi" w:hAnsi="Calibri" w:cs="Calibri"/>
      <w:color w:val="000000"/>
      <w:sz w:val="24"/>
      <w:szCs w:val="24"/>
      <w:lang w:eastAsia="en-US"/>
    </w:rPr>
  </w:style>
  <w:style w:type="paragraph" w:styleId="Revision">
    <w:name w:val="Revision"/>
    <w:hidden/>
    <w:uiPriority w:val="99"/>
    <w:semiHidden/>
    <w:rsid w:val="000D57DD"/>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sid w:val="001E505E"/>
    <w:rPr>
      <w:rFonts w:asciiTheme="majorHAnsi" w:eastAsiaTheme="majorEastAsia" w:hAnsiTheme="majorHAnsi" w:cstheme="majorBidi"/>
      <w:color w:val="373545" w:themeColor="text2"/>
      <w:sz w:val="36"/>
      <w:szCs w:val="26"/>
    </w:rPr>
  </w:style>
  <w:style w:type="character" w:customStyle="1" w:styleId="Heading3Char">
    <w:name w:val="Heading 3 Char"/>
    <w:basedOn w:val="DefaultParagraphFont"/>
    <w:link w:val="Heading3"/>
    <w:uiPriority w:val="9"/>
    <w:rsid w:val="001E505E"/>
    <w:rPr>
      <w:rFonts w:asciiTheme="majorHAnsi" w:eastAsiaTheme="majorEastAsia" w:hAnsiTheme="majorHAnsi" w:cstheme="majorBidi"/>
      <w:color w:val="1A495C" w:themeColor="accent1" w:themeShade="7F"/>
      <w:sz w:val="24"/>
      <w:szCs w:val="24"/>
      <w:lang w:eastAsia="en-AU"/>
    </w:rPr>
  </w:style>
  <w:style w:type="character" w:customStyle="1" w:styleId="Heading4Char">
    <w:name w:val="Heading 4 Char"/>
    <w:basedOn w:val="DefaultParagraphFont"/>
    <w:link w:val="Heading4"/>
    <w:uiPriority w:val="9"/>
    <w:rsid w:val="001E505E"/>
    <w:rPr>
      <w:rFonts w:asciiTheme="majorHAnsi" w:eastAsiaTheme="majorEastAsia" w:hAnsiTheme="majorHAnsi" w:cstheme="majorBidi"/>
      <w:b/>
      <w:iCs/>
      <w:color w:val="3C4647" w:themeColor="accent4" w:themeShade="80"/>
      <w:sz w:val="26"/>
    </w:rPr>
  </w:style>
  <w:style w:type="character" w:customStyle="1" w:styleId="Heading5Char">
    <w:name w:val="Heading 5 Char"/>
    <w:basedOn w:val="DefaultParagraphFont"/>
    <w:link w:val="Heading5"/>
    <w:uiPriority w:val="9"/>
    <w:rsid w:val="001E505E"/>
    <w:rPr>
      <w:rFonts w:asciiTheme="majorHAnsi" w:eastAsiaTheme="majorEastAsia" w:hAnsiTheme="majorHAnsi" w:cstheme="majorBidi"/>
      <w:b/>
      <w:color w:val="373545" w:themeColor="text2"/>
    </w:rPr>
  </w:style>
  <w:style w:type="character" w:customStyle="1" w:styleId="Heading6Char">
    <w:name w:val="Heading 6 Char"/>
    <w:basedOn w:val="DefaultParagraphFont"/>
    <w:link w:val="Heading6"/>
    <w:uiPriority w:val="9"/>
    <w:semiHidden/>
    <w:rsid w:val="001E505E"/>
    <w:rPr>
      <w:rFonts w:asciiTheme="majorHAnsi" w:eastAsiaTheme="majorEastAsia" w:hAnsiTheme="majorHAnsi" w:cstheme="majorBidi"/>
      <w:i/>
      <w:color w:val="373545" w:themeColor="text2"/>
    </w:rPr>
  </w:style>
  <w:style w:type="character" w:styleId="PlaceholderText">
    <w:name w:val="Placeholder Text"/>
    <w:basedOn w:val="DefaultParagraphFont"/>
    <w:uiPriority w:val="99"/>
    <w:semiHidden/>
    <w:rsid w:val="001E505E"/>
    <w:rPr>
      <w:color w:val="808080"/>
    </w:rPr>
  </w:style>
  <w:style w:type="paragraph" w:styleId="Subtitle">
    <w:name w:val="Subtitle"/>
    <w:basedOn w:val="Normal"/>
    <w:next w:val="Normal"/>
    <w:link w:val="SubtitleChar"/>
    <w:uiPriority w:val="18"/>
    <w:qFormat/>
    <w:rsid w:val="001E505E"/>
    <w:pPr>
      <w:numPr>
        <w:ilvl w:val="1"/>
      </w:numPr>
      <w:suppressAutoHyphens/>
      <w:spacing w:before="480" w:after="160"/>
    </w:pPr>
    <w:rPr>
      <w:rFonts w:asciiTheme="majorHAnsi" w:eastAsiaTheme="minorEastAsia" w:hAnsiTheme="majorHAnsi" w:cstheme="minorBidi"/>
      <w:color w:val="377B88"/>
      <w:sz w:val="44"/>
      <w:szCs w:val="22"/>
      <w:lang w:eastAsia="en-US"/>
    </w:rPr>
  </w:style>
  <w:style w:type="character" w:customStyle="1" w:styleId="SubtitleChar">
    <w:name w:val="Subtitle Char"/>
    <w:basedOn w:val="DefaultParagraphFont"/>
    <w:link w:val="Subtitle"/>
    <w:uiPriority w:val="18"/>
    <w:rsid w:val="001E505E"/>
    <w:rPr>
      <w:rFonts w:asciiTheme="majorHAnsi" w:eastAsiaTheme="minorEastAsia" w:hAnsiTheme="majorHAnsi"/>
      <w:color w:val="377B88"/>
      <w:sz w:val="44"/>
    </w:rPr>
  </w:style>
  <w:style w:type="paragraph" w:customStyle="1" w:styleId="CoverDate">
    <w:name w:val="Cover Date"/>
    <w:basedOn w:val="Normal"/>
    <w:uiPriority w:val="19"/>
    <w:qFormat/>
    <w:rsid w:val="001E505E"/>
    <w:pPr>
      <w:suppressAutoHyphens/>
      <w:spacing w:before="160" w:after="80"/>
    </w:pPr>
    <w:rPr>
      <w:rFonts w:asciiTheme="minorHAnsi" w:eastAsiaTheme="minorHAnsi" w:hAnsiTheme="minorHAnsi" w:cstheme="minorBidi"/>
      <w:b/>
      <w:color w:val="000000" w:themeColor="text1"/>
      <w:sz w:val="22"/>
      <w:szCs w:val="22"/>
      <w:lang w:eastAsia="en-US"/>
    </w:rPr>
  </w:style>
  <w:style w:type="paragraph" w:customStyle="1" w:styleId="CoverPhoto">
    <w:name w:val="Cover Photo"/>
    <w:basedOn w:val="Normal"/>
    <w:uiPriority w:val="19"/>
    <w:qFormat/>
    <w:rsid w:val="001E505E"/>
    <w:pPr>
      <w:suppressAutoHyphens/>
      <w:spacing w:before="1240" w:after="160"/>
    </w:pPr>
    <w:rPr>
      <w:rFonts w:asciiTheme="minorHAnsi" w:eastAsiaTheme="minorHAnsi" w:hAnsiTheme="minorHAnsi" w:cstheme="minorBidi"/>
      <w:color w:val="000000" w:themeColor="text1"/>
      <w:sz w:val="22"/>
      <w:szCs w:val="22"/>
      <w:lang w:eastAsia="en-US"/>
    </w:rPr>
  </w:style>
  <w:style w:type="paragraph" w:styleId="NoSpacing">
    <w:name w:val="No Spacing"/>
    <w:uiPriority w:val="1"/>
    <w:qFormat/>
    <w:rsid w:val="001E505E"/>
    <w:pPr>
      <w:suppressAutoHyphens/>
      <w:spacing w:before="160" w:after="80" w:line="240" w:lineRule="auto"/>
      <w:contextualSpacing/>
    </w:pPr>
    <w:rPr>
      <w:color w:val="000000" w:themeColor="text1"/>
      <w:kern w:val="12"/>
    </w:rPr>
  </w:style>
  <w:style w:type="paragraph" w:customStyle="1" w:styleId="ImprintHeading">
    <w:name w:val="Imprint Heading"/>
    <w:basedOn w:val="Normal"/>
    <w:uiPriority w:val="12"/>
    <w:rsid w:val="001E505E"/>
    <w:pPr>
      <w:suppressAutoHyphens/>
      <w:spacing w:before="240" w:after="160"/>
      <w:outlineLvl w:val="1"/>
    </w:pPr>
    <w:rPr>
      <w:rFonts w:asciiTheme="minorHAnsi" w:eastAsiaTheme="minorHAnsi" w:hAnsiTheme="minorHAnsi" w:cstheme="minorBidi"/>
      <w:b/>
      <w:color w:val="000000" w:themeColor="text1"/>
      <w:sz w:val="22"/>
      <w:szCs w:val="22"/>
      <w:lang w:val="x-none" w:eastAsia="en-US"/>
    </w:rPr>
  </w:style>
  <w:style w:type="character" w:styleId="Hyperlink">
    <w:name w:val="Hyperlink"/>
    <w:basedOn w:val="DefaultParagraphFont"/>
    <w:uiPriority w:val="99"/>
    <w:unhideWhenUsed/>
    <w:rsid w:val="001E505E"/>
    <w:rPr>
      <w:color w:val="6B9F25" w:themeColor="hyperlink"/>
      <w:u w:val="single"/>
    </w:rPr>
  </w:style>
  <w:style w:type="table" w:styleId="TableGrid">
    <w:name w:val="Table Grid"/>
    <w:basedOn w:val="TableNormal"/>
    <w:uiPriority w:val="39"/>
    <w:rsid w:val="001E505E"/>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1E505E"/>
    <w:pPr>
      <w:suppressAutoHyphens/>
      <w:ind w:left="284" w:hanging="284"/>
    </w:pPr>
    <w:rPr>
      <w:rFonts w:asciiTheme="minorHAnsi" w:eastAsiaTheme="minorHAnsi" w:hAnsiTheme="minorHAnsi" w:cstheme="minorBidi"/>
      <w:color w:val="000000" w:themeColor="text1"/>
      <w:sz w:val="18"/>
      <w:szCs w:val="22"/>
      <w:lang w:eastAsia="en-US"/>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1E505E"/>
    <w:rPr>
      <w:color w:val="000000" w:themeColor="text1"/>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1E505E"/>
    <w:rPr>
      <w:vertAlign w:val="superscript"/>
    </w:rPr>
  </w:style>
  <w:style w:type="paragraph" w:customStyle="1" w:styleId="Introduction">
    <w:name w:val="Introduction"/>
    <w:basedOn w:val="Normal"/>
    <w:uiPriority w:val="2"/>
    <w:qFormat/>
    <w:rsid w:val="001E505E"/>
    <w:pPr>
      <w:suppressAutoHyphens/>
      <w:spacing w:before="240" w:after="240"/>
    </w:pPr>
    <w:rPr>
      <w:rFonts w:asciiTheme="minorHAnsi" w:eastAsiaTheme="minorHAnsi" w:hAnsiTheme="minorHAnsi" w:cstheme="minorBidi"/>
      <w:color w:val="377B88"/>
      <w:sz w:val="26"/>
      <w:szCs w:val="22"/>
      <w:lang w:val="x-none" w:eastAsia="en-US"/>
    </w:rPr>
  </w:style>
  <w:style w:type="paragraph" w:styleId="Caption">
    <w:name w:val="caption"/>
    <w:basedOn w:val="Normal"/>
    <w:next w:val="Normal"/>
    <w:uiPriority w:val="14"/>
    <w:qFormat/>
    <w:rsid w:val="001E505E"/>
    <w:pPr>
      <w:suppressAutoHyphens/>
      <w:spacing w:before="240" w:after="160"/>
    </w:pPr>
    <w:rPr>
      <w:rFonts w:asciiTheme="minorHAnsi" w:eastAsiaTheme="minorHAnsi" w:hAnsiTheme="minorHAnsi" w:cstheme="minorBidi"/>
      <w:b/>
      <w:iCs/>
      <w:color w:val="000000" w:themeColor="text1"/>
      <w:sz w:val="22"/>
      <w:szCs w:val="18"/>
      <w:lang w:eastAsia="en-US"/>
    </w:rPr>
  </w:style>
  <w:style w:type="table" w:customStyle="1" w:styleId="DefaultTable1">
    <w:name w:val="Default Table 1"/>
    <w:basedOn w:val="TableNormal"/>
    <w:uiPriority w:val="99"/>
    <w:rsid w:val="001E505E"/>
    <w:pPr>
      <w:spacing w:before="80" w:after="80" w:line="240" w:lineRule="auto"/>
    </w:pPr>
    <w:rPr>
      <w:color w:val="000000" w:themeColor="text1"/>
    </w:rPr>
    <w:tblPr>
      <w:tblStyleRowBandSize w:val="1"/>
      <w:tblStyleColBandSize w:val="1"/>
      <w:tblBorders>
        <w:top w:val="single" w:sz="4" w:space="0" w:color="58B6C0" w:themeColor="accent2"/>
        <w:bottom w:val="single" w:sz="4" w:space="0" w:color="58B6C0" w:themeColor="accent2"/>
        <w:insideH w:val="single" w:sz="4" w:space="0" w:color="58B6C0" w:themeColor="accent2"/>
      </w:tblBorders>
    </w:tblPr>
    <w:tblStylePr w:type="firstRow">
      <w:rPr>
        <w:b/>
        <w:color w:val="FFFFFF" w:themeColor="background1"/>
      </w:rPr>
      <w:tblPr/>
      <w:trPr>
        <w:tblHeader/>
      </w:trPr>
      <w:tcPr>
        <w:tcBorders>
          <w:top w:val="nil"/>
          <w:bottom w:val="nil"/>
        </w:tcBorders>
        <w:shd w:val="clear" w:color="auto" w:fill="3494BA" w:themeFill="accent1"/>
      </w:tcPr>
    </w:tblStylePr>
    <w:tblStylePr w:type="lastRow">
      <w:rPr>
        <w:b/>
      </w:rPr>
      <w:tblPr/>
      <w:tcPr>
        <w:shd w:val="clear" w:color="auto" w:fill="E6EEF0"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E505E"/>
    <w:pPr>
      <w:suppressAutoHyphens/>
      <w:spacing w:before="120" w:after="80"/>
    </w:pPr>
    <w:rPr>
      <w:rFonts w:asciiTheme="minorHAnsi" w:eastAsiaTheme="minorHAnsi" w:hAnsiTheme="minorHAnsi" w:cstheme="minorBidi"/>
      <w:color w:val="000000" w:themeColor="text1"/>
      <w:sz w:val="16"/>
      <w:szCs w:val="22"/>
      <w:lang w:val="x-none" w:eastAsia="en-US"/>
    </w:rPr>
  </w:style>
  <w:style w:type="paragraph" w:customStyle="1" w:styleId="Sourcenotesnumbered">
    <w:name w:val="Source notes numbered"/>
    <w:basedOn w:val="Sourcenotes"/>
    <w:uiPriority w:val="15"/>
    <w:qFormat/>
    <w:rsid w:val="001E505E"/>
    <w:pPr>
      <w:spacing w:before="80"/>
    </w:pPr>
  </w:style>
  <w:style w:type="paragraph" w:customStyle="1" w:styleId="ListLegal10">
    <w:name w:val="List Legal 1"/>
    <w:basedOn w:val="Normal"/>
    <w:uiPriority w:val="3"/>
    <w:qFormat/>
    <w:rsid w:val="001E505E"/>
    <w:pPr>
      <w:numPr>
        <w:numId w:val="2"/>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Legal2">
    <w:name w:val="List Legal 2"/>
    <w:basedOn w:val="ListLegal10"/>
    <w:uiPriority w:val="3"/>
    <w:rsid w:val="001E505E"/>
    <w:pPr>
      <w:numPr>
        <w:ilvl w:val="1"/>
      </w:numPr>
    </w:pPr>
  </w:style>
  <w:style w:type="paragraph" w:customStyle="1" w:styleId="ListLegal3">
    <w:name w:val="List Legal 3"/>
    <w:basedOn w:val="ListLegal2"/>
    <w:uiPriority w:val="3"/>
    <w:rsid w:val="001E505E"/>
    <w:pPr>
      <w:numPr>
        <w:ilvl w:val="2"/>
      </w:numPr>
    </w:pPr>
  </w:style>
  <w:style w:type="paragraph" w:customStyle="1" w:styleId="ListNumbered1">
    <w:name w:val="List Numbered 1"/>
    <w:basedOn w:val="Normal"/>
    <w:uiPriority w:val="3"/>
    <w:qFormat/>
    <w:rsid w:val="001E505E"/>
    <w:pPr>
      <w:numPr>
        <w:numId w:val="3"/>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Numbered21">
    <w:name w:val="List Numbered 2.1"/>
    <w:basedOn w:val="ListNumbered1"/>
    <w:uiPriority w:val="3"/>
    <w:rsid w:val="001E505E"/>
    <w:pPr>
      <w:numPr>
        <w:ilvl w:val="1"/>
      </w:numPr>
    </w:pPr>
  </w:style>
  <w:style w:type="paragraph" w:customStyle="1" w:styleId="ListNumbered311">
    <w:name w:val="List Numbered 3.1.1"/>
    <w:basedOn w:val="ListNumbered21"/>
    <w:uiPriority w:val="3"/>
    <w:rsid w:val="001E505E"/>
    <w:pPr>
      <w:numPr>
        <w:ilvl w:val="2"/>
      </w:numPr>
    </w:pPr>
  </w:style>
  <w:style w:type="paragraph" w:customStyle="1" w:styleId="Bullet1">
    <w:name w:val="Bullet 1"/>
    <w:basedOn w:val="Normal"/>
    <w:uiPriority w:val="3"/>
    <w:qFormat/>
    <w:rsid w:val="001E505E"/>
    <w:pPr>
      <w:numPr>
        <w:numId w:val="1"/>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Bullet2">
    <w:name w:val="Bullet 2"/>
    <w:basedOn w:val="Bullet1"/>
    <w:uiPriority w:val="3"/>
    <w:rsid w:val="001E505E"/>
    <w:pPr>
      <w:numPr>
        <w:ilvl w:val="1"/>
      </w:numPr>
    </w:pPr>
  </w:style>
  <w:style w:type="paragraph" w:customStyle="1" w:styleId="Bullet3">
    <w:name w:val="Bullet 3"/>
    <w:basedOn w:val="Bullet2"/>
    <w:uiPriority w:val="3"/>
    <w:rsid w:val="001E505E"/>
    <w:pPr>
      <w:numPr>
        <w:ilvl w:val="2"/>
      </w:numPr>
    </w:pPr>
  </w:style>
  <w:style w:type="paragraph" w:styleId="TOCHeading">
    <w:name w:val="TOC Heading"/>
    <w:basedOn w:val="Heading1"/>
    <w:next w:val="Normal"/>
    <w:uiPriority w:val="39"/>
    <w:qFormat/>
    <w:rsid w:val="001E505E"/>
    <w:pPr>
      <w:keepLines/>
      <w:suppressAutoHyphens/>
      <w:spacing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Box1Text">
    <w:name w:val="Box 1 Text"/>
    <w:basedOn w:val="Normal"/>
    <w:uiPriority w:val="23"/>
    <w:qFormat/>
    <w:rsid w:val="001E505E"/>
    <w:pPr>
      <w:pBdr>
        <w:top w:val="single" w:sz="4" w:space="14" w:color="58B6C0" w:themeColor="accent2"/>
        <w:left w:val="single" w:sz="4" w:space="14" w:color="58B6C0" w:themeColor="accent2"/>
        <w:bottom w:val="single" w:sz="4" w:space="14" w:color="58B6C0" w:themeColor="accent2"/>
        <w:right w:val="single" w:sz="4" w:space="14" w:color="58B6C0" w:themeColor="accent2"/>
      </w:pBdr>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1Heading">
    <w:name w:val="Box 1 Heading"/>
    <w:basedOn w:val="Box1Text"/>
    <w:uiPriority w:val="23"/>
    <w:qFormat/>
    <w:rsid w:val="001E505E"/>
    <w:rPr>
      <w:b/>
    </w:rPr>
  </w:style>
  <w:style w:type="paragraph" w:customStyle="1" w:styleId="Box1Bullet1">
    <w:name w:val="Box 1 Bullet 1"/>
    <w:basedOn w:val="Box1Text"/>
    <w:uiPriority w:val="24"/>
    <w:qFormat/>
    <w:rsid w:val="001E505E"/>
    <w:pPr>
      <w:numPr>
        <w:numId w:val="9"/>
      </w:numPr>
      <w:spacing w:before="80"/>
    </w:pPr>
    <w:rPr>
      <w:kern w:val="12"/>
      <w:sz w:val="20"/>
      <w:szCs w:val="20"/>
    </w:rPr>
  </w:style>
  <w:style w:type="paragraph" w:customStyle="1" w:styleId="Box2Text">
    <w:name w:val="Box 2 Text"/>
    <w:basedOn w:val="Normal"/>
    <w:uiPriority w:val="24"/>
    <w:qFormat/>
    <w:rsid w:val="001E505E"/>
    <w:pPr>
      <w:pBdr>
        <w:top w:val="single" w:sz="4" w:space="14" w:color="E6EEF0" w:themeColor="accent5" w:themeTint="33"/>
        <w:left w:val="single" w:sz="4" w:space="14" w:color="E6EEF0" w:themeColor="accent5" w:themeTint="33"/>
        <w:bottom w:val="single" w:sz="4" w:space="14" w:color="E6EEF0" w:themeColor="accent5" w:themeTint="33"/>
        <w:right w:val="single" w:sz="4" w:space="14" w:color="E6EEF0" w:themeColor="accent5" w:themeTint="33"/>
      </w:pBdr>
      <w:shd w:val="clear" w:color="auto" w:fill="E6EEF0" w:themeFill="accent5" w:themeFillTint="33"/>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2Heading">
    <w:name w:val="Box 2 Heading"/>
    <w:basedOn w:val="Box2Text"/>
    <w:uiPriority w:val="24"/>
    <w:qFormat/>
    <w:rsid w:val="001E505E"/>
    <w:rPr>
      <w:b/>
    </w:rPr>
  </w:style>
  <w:style w:type="paragraph" w:customStyle="1" w:styleId="Box2Bullet1">
    <w:name w:val="Box 2 Bullet 1"/>
    <w:basedOn w:val="Box2Text"/>
    <w:uiPriority w:val="25"/>
    <w:qFormat/>
    <w:rsid w:val="001E505E"/>
    <w:pPr>
      <w:numPr>
        <w:ilvl w:val="1"/>
        <w:numId w:val="9"/>
      </w:numPr>
      <w:spacing w:before="80"/>
    </w:pPr>
    <w:rPr>
      <w:kern w:val="12"/>
      <w:sz w:val="20"/>
      <w:szCs w:val="20"/>
    </w:rPr>
  </w:style>
  <w:style w:type="table" w:customStyle="1" w:styleId="IconBoxTable">
    <w:name w:val="Icon Box Table"/>
    <w:basedOn w:val="TableNormal"/>
    <w:uiPriority w:val="99"/>
    <w:rsid w:val="001E505E"/>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1E505E"/>
    <w:pPr>
      <w:numPr>
        <w:numId w:val="1"/>
      </w:numPr>
    </w:pPr>
  </w:style>
  <w:style w:type="numbering" w:customStyle="1" w:styleId="ListLegal">
    <w:name w:val="List Legal"/>
    <w:uiPriority w:val="99"/>
    <w:rsid w:val="001E505E"/>
    <w:pPr>
      <w:numPr>
        <w:numId w:val="2"/>
      </w:numPr>
    </w:pPr>
  </w:style>
  <w:style w:type="numbering" w:customStyle="1" w:styleId="ListNumbered">
    <w:name w:val="List Numbered"/>
    <w:uiPriority w:val="99"/>
    <w:rsid w:val="001E505E"/>
    <w:pPr>
      <w:numPr>
        <w:numId w:val="3"/>
      </w:numPr>
    </w:pPr>
  </w:style>
  <w:style w:type="paragraph" w:customStyle="1" w:styleId="Heading1Numbered">
    <w:name w:val="Heading 1 Numbered"/>
    <w:basedOn w:val="Heading1"/>
    <w:uiPriority w:val="10"/>
    <w:rsid w:val="001E505E"/>
    <w:pPr>
      <w:keepLines/>
      <w:numPr>
        <w:numId w:val="5"/>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Heading2Numbered">
    <w:name w:val="Heading 2 Numbered"/>
    <w:basedOn w:val="Heading2"/>
    <w:uiPriority w:val="10"/>
    <w:rsid w:val="001E505E"/>
    <w:pPr>
      <w:numPr>
        <w:ilvl w:val="1"/>
        <w:numId w:val="5"/>
      </w:numPr>
    </w:pPr>
  </w:style>
  <w:style w:type="paragraph" w:customStyle="1" w:styleId="Heading3Numbered">
    <w:name w:val="Heading 3 Numbered"/>
    <w:basedOn w:val="Heading3"/>
    <w:uiPriority w:val="10"/>
    <w:rsid w:val="001E505E"/>
    <w:pPr>
      <w:numPr>
        <w:ilvl w:val="2"/>
        <w:numId w:val="5"/>
      </w:numPr>
      <w:suppressAutoHyphens/>
      <w:spacing w:before="240" w:after="160"/>
    </w:pPr>
    <w:rPr>
      <w:b/>
      <w:color w:val="5A696A" w:themeColor="accent4" w:themeShade="BF"/>
      <w:sz w:val="32"/>
      <w:lang w:eastAsia="en-US"/>
    </w:rPr>
  </w:style>
  <w:style w:type="paragraph" w:customStyle="1" w:styleId="Heading4Numbered">
    <w:name w:val="Heading 4 Numbered"/>
    <w:basedOn w:val="Heading4"/>
    <w:uiPriority w:val="10"/>
    <w:rsid w:val="001E505E"/>
    <w:pPr>
      <w:numPr>
        <w:ilvl w:val="3"/>
        <w:numId w:val="5"/>
      </w:numPr>
    </w:pPr>
  </w:style>
  <w:style w:type="paragraph" w:customStyle="1" w:styleId="Heading5Numbered">
    <w:name w:val="Heading 5 Numbered"/>
    <w:basedOn w:val="Heading5"/>
    <w:uiPriority w:val="10"/>
    <w:rsid w:val="001E505E"/>
    <w:pPr>
      <w:numPr>
        <w:ilvl w:val="4"/>
        <w:numId w:val="5"/>
      </w:numPr>
    </w:pPr>
  </w:style>
  <w:style w:type="numbering" w:customStyle="1" w:styleId="NumberedHeadings">
    <w:name w:val="Numbered Headings"/>
    <w:uiPriority w:val="99"/>
    <w:rsid w:val="001E505E"/>
    <w:pPr>
      <w:numPr>
        <w:numId w:val="4"/>
      </w:numPr>
    </w:pPr>
  </w:style>
  <w:style w:type="paragraph" w:customStyle="1" w:styleId="AppendixHeading1">
    <w:name w:val="Appendix Heading 1"/>
    <w:basedOn w:val="Heading1"/>
    <w:uiPriority w:val="11"/>
    <w:qFormat/>
    <w:rsid w:val="001E505E"/>
    <w:pPr>
      <w:keepLines/>
      <w:numPr>
        <w:numId w:val="7"/>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ppendixHeading2">
    <w:name w:val="Appendix Heading 2"/>
    <w:basedOn w:val="Heading2"/>
    <w:uiPriority w:val="11"/>
    <w:rsid w:val="001E505E"/>
    <w:pPr>
      <w:numPr>
        <w:ilvl w:val="1"/>
        <w:numId w:val="7"/>
      </w:numPr>
    </w:pPr>
  </w:style>
  <w:style w:type="paragraph" w:customStyle="1" w:styleId="AttachmentHeading1">
    <w:name w:val="Attachment Heading 1"/>
    <w:basedOn w:val="Heading1"/>
    <w:uiPriority w:val="11"/>
    <w:qFormat/>
    <w:rsid w:val="001E505E"/>
    <w:pPr>
      <w:keepLines/>
      <w:numPr>
        <w:numId w:val="8"/>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ttachmentHeading2">
    <w:name w:val="Attachment Heading 2"/>
    <w:basedOn w:val="Heading2"/>
    <w:uiPriority w:val="11"/>
    <w:rsid w:val="001E505E"/>
    <w:pPr>
      <w:numPr>
        <w:ilvl w:val="1"/>
        <w:numId w:val="8"/>
      </w:numPr>
    </w:pPr>
  </w:style>
  <w:style w:type="numbering" w:customStyle="1" w:styleId="AppendixNumbers">
    <w:name w:val="Appendix Numbers"/>
    <w:uiPriority w:val="99"/>
    <w:rsid w:val="001E505E"/>
    <w:pPr>
      <w:numPr>
        <w:numId w:val="6"/>
      </w:numPr>
    </w:pPr>
  </w:style>
  <w:style w:type="numbering" w:customStyle="1" w:styleId="AttachmentNumbers">
    <w:name w:val="Attachment Numbers"/>
    <w:uiPriority w:val="99"/>
    <w:rsid w:val="001E505E"/>
    <w:pPr>
      <w:numPr>
        <w:numId w:val="8"/>
      </w:numPr>
    </w:pPr>
  </w:style>
  <w:style w:type="paragraph" w:styleId="Quote">
    <w:name w:val="Quote"/>
    <w:basedOn w:val="Normal"/>
    <w:next w:val="Normal"/>
    <w:link w:val="QuoteChar"/>
    <w:uiPriority w:val="29"/>
    <w:qFormat/>
    <w:rsid w:val="001E505E"/>
    <w:pPr>
      <w:pBdr>
        <w:left w:val="single" w:sz="48" w:space="22" w:color="4BB3B5"/>
      </w:pBdr>
      <w:suppressAutoHyphens/>
      <w:spacing w:before="160" w:after="160"/>
      <w:ind w:left="567" w:right="567"/>
    </w:pPr>
    <w:rPr>
      <w:rFonts w:asciiTheme="minorHAnsi" w:eastAsiaTheme="minorHAnsi" w:hAnsiTheme="minorHAnsi" w:cstheme="minorBidi"/>
      <w:b/>
      <w:iCs/>
      <w:color w:val="404040" w:themeColor="text1" w:themeTint="BF"/>
      <w:sz w:val="22"/>
      <w:szCs w:val="22"/>
      <w:lang w:eastAsia="en-US"/>
    </w:rPr>
  </w:style>
  <w:style w:type="character" w:customStyle="1" w:styleId="QuoteChar">
    <w:name w:val="Quote Char"/>
    <w:basedOn w:val="DefaultParagraphFont"/>
    <w:link w:val="Quote"/>
    <w:uiPriority w:val="29"/>
    <w:rsid w:val="001E505E"/>
    <w:rPr>
      <w:b/>
      <w:iCs/>
      <w:color w:val="404040" w:themeColor="text1" w:themeTint="BF"/>
    </w:rPr>
  </w:style>
  <w:style w:type="paragraph" w:styleId="TOC1">
    <w:name w:val="toc 1"/>
    <w:basedOn w:val="Normal"/>
    <w:next w:val="Normal"/>
    <w:autoRedefine/>
    <w:uiPriority w:val="39"/>
    <w:rsid w:val="001E505E"/>
    <w:pPr>
      <w:keepLines/>
      <w:tabs>
        <w:tab w:val="right" w:pos="9854"/>
      </w:tabs>
      <w:suppressAutoHyphens/>
      <w:spacing w:before="160" w:after="80"/>
      <w:ind w:left="567" w:hanging="567"/>
    </w:pPr>
    <w:rPr>
      <w:rFonts w:asciiTheme="minorHAnsi" w:eastAsiaTheme="minorHAnsi" w:hAnsiTheme="minorHAnsi" w:cstheme="minorBidi"/>
      <w:b/>
      <w:color w:val="000000" w:themeColor="text1"/>
      <w:sz w:val="24"/>
      <w:szCs w:val="22"/>
      <w:u w:val="single" w:color="58B6C0" w:themeColor="accent2"/>
      <w:lang w:eastAsia="en-US"/>
    </w:rPr>
  </w:style>
  <w:style w:type="paragraph" w:styleId="TOC2">
    <w:name w:val="toc 2"/>
    <w:basedOn w:val="Normal"/>
    <w:next w:val="Normal"/>
    <w:autoRedefine/>
    <w:uiPriority w:val="39"/>
    <w:rsid w:val="001E505E"/>
    <w:pPr>
      <w:keepLines/>
      <w:suppressAutoHyphens/>
      <w:spacing w:before="80" w:after="80"/>
      <w:ind w:left="567" w:hanging="567"/>
    </w:pPr>
    <w:rPr>
      <w:rFonts w:asciiTheme="minorHAnsi" w:eastAsiaTheme="minorHAnsi" w:hAnsiTheme="minorHAnsi" w:cstheme="minorBidi"/>
      <w:color w:val="000000" w:themeColor="text1"/>
      <w:sz w:val="22"/>
      <w:szCs w:val="22"/>
      <w:lang w:eastAsia="en-US"/>
    </w:rPr>
  </w:style>
  <w:style w:type="paragraph" w:styleId="TOC3">
    <w:name w:val="toc 3"/>
    <w:basedOn w:val="Normal"/>
    <w:next w:val="Normal"/>
    <w:autoRedefine/>
    <w:uiPriority w:val="39"/>
    <w:rsid w:val="001E505E"/>
    <w:pPr>
      <w:suppressAutoHyphens/>
      <w:spacing w:before="80" w:after="80"/>
      <w:ind w:left="1134" w:hanging="567"/>
    </w:pPr>
    <w:rPr>
      <w:rFonts w:asciiTheme="minorHAnsi" w:eastAsiaTheme="minorHAnsi" w:hAnsiTheme="minorHAnsi" w:cstheme="minorBidi"/>
      <w:color w:val="000000" w:themeColor="text1"/>
      <w:sz w:val="22"/>
      <w:szCs w:val="22"/>
      <w:lang w:eastAsia="en-US"/>
    </w:rPr>
  </w:style>
  <w:style w:type="paragraph" w:styleId="TableofFigures">
    <w:name w:val="table of figures"/>
    <w:basedOn w:val="Normal"/>
    <w:next w:val="Normal"/>
    <w:uiPriority w:val="40"/>
    <w:unhideWhenUsed/>
    <w:rsid w:val="001E505E"/>
    <w:pPr>
      <w:suppressAutoHyphens/>
      <w:spacing w:before="80" w:after="80"/>
    </w:pPr>
    <w:rPr>
      <w:rFonts w:asciiTheme="minorHAnsi" w:eastAsiaTheme="minorHAnsi" w:hAnsiTheme="minorHAnsi" w:cstheme="minorBidi"/>
      <w:color w:val="000000" w:themeColor="text1"/>
      <w:sz w:val="22"/>
      <w:szCs w:val="22"/>
      <w:lang w:eastAsia="en-US"/>
    </w:rPr>
  </w:style>
  <w:style w:type="paragraph" w:customStyle="1" w:styleId="AreaHeading">
    <w:name w:val="Area Heading"/>
    <w:basedOn w:val="Normal"/>
    <w:qFormat/>
    <w:rsid w:val="001E505E"/>
    <w:pPr>
      <w:suppressAutoHyphens/>
      <w:spacing w:after="80"/>
      <w:ind w:left="-1020" w:firstLine="1020"/>
    </w:pPr>
    <w:rPr>
      <w:rFonts w:asciiTheme="minorHAnsi" w:eastAsiaTheme="minorHAnsi" w:hAnsiTheme="minorHAnsi" w:cs="Times New Roman (Body CS)"/>
      <w:caps/>
      <w:color w:val="3C4647" w:themeColor="accent4" w:themeShade="80"/>
      <w:sz w:val="22"/>
      <w:szCs w:val="22"/>
      <w:lang w:eastAsia="en-US"/>
    </w:rPr>
  </w:style>
  <w:style w:type="paragraph" w:customStyle="1" w:styleId="Box2Checklist">
    <w:name w:val="Box 2 Checklist"/>
    <w:basedOn w:val="Box2Text"/>
    <w:uiPriority w:val="26"/>
    <w:qFormat/>
    <w:rsid w:val="001E505E"/>
    <w:pPr>
      <w:numPr>
        <w:ilvl w:val="2"/>
        <w:numId w:val="9"/>
      </w:numPr>
    </w:pPr>
    <w:rPr>
      <w:kern w:val="12"/>
      <w:sz w:val="20"/>
      <w:szCs w:val="20"/>
    </w:rPr>
  </w:style>
  <w:style w:type="numbering" w:customStyle="1" w:styleId="BoxedBullets">
    <w:name w:val="Boxed Bullets"/>
    <w:uiPriority w:val="99"/>
    <w:rsid w:val="001E505E"/>
    <w:pPr>
      <w:numPr>
        <w:numId w:val="9"/>
      </w:numPr>
    </w:pPr>
  </w:style>
  <w:style w:type="paragraph" w:styleId="NormalWeb">
    <w:name w:val="Normal (Web)"/>
    <w:basedOn w:val="Normal"/>
    <w:uiPriority w:val="99"/>
    <w:unhideWhenUsed/>
    <w:rsid w:val="001E505E"/>
    <w:pPr>
      <w:spacing w:before="100" w:beforeAutospacing="1" w:after="100" w:afterAutospacing="1"/>
    </w:pPr>
    <w:rPr>
      <w:sz w:val="24"/>
      <w:szCs w:val="24"/>
    </w:rPr>
  </w:style>
  <w:style w:type="character" w:styleId="HTMLCite">
    <w:name w:val="HTML Cite"/>
    <w:basedOn w:val="DefaultParagraphFont"/>
    <w:uiPriority w:val="99"/>
    <w:semiHidden/>
    <w:unhideWhenUsed/>
    <w:rsid w:val="001E505E"/>
    <w:rPr>
      <w:i/>
      <w:iCs/>
    </w:rPr>
  </w:style>
  <w:style w:type="character" w:customStyle="1" w:styleId="dyjrff">
    <w:name w:val="dyjrff"/>
    <w:basedOn w:val="DefaultParagraphFont"/>
    <w:rsid w:val="001E505E"/>
  </w:style>
  <w:style w:type="paragraph" w:customStyle="1" w:styleId="myvuie">
    <w:name w:val="myvuie"/>
    <w:basedOn w:val="Normal"/>
    <w:rsid w:val="001E505E"/>
    <w:pPr>
      <w:spacing w:before="100" w:beforeAutospacing="1" w:after="100" w:afterAutospacing="1"/>
    </w:pPr>
    <w:rPr>
      <w:sz w:val="24"/>
      <w:szCs w:val="24"/>
    </w:rPr>
  </w:style>
  <w:style w:type="character" w:customStyle="1" w:styleId="zgwo7">
    <w:name w:val="zgwo7"/>
    <w:basedOn w:val="DefaultParagraphFont"/>
    <w:rsid w:val="001E505E"/>
  </w:style>
  <w:style w:type="character" w:customStyle="1" w:styleId="UnresolvedMention1">
    <w:name w:val="Unresolved Mention1"/>
    <w:basedOn w:val="DefaultParagraphFont"/>
    <w:uiPriority w:val="99"/>
    <w:semiHidden/>
    <w:unhideWhenUsed/>
    <w:rsid w:val="001E505E"/>
    <w:rPr>
      <w:color w:val="605E5C"/>
      <w:shd w:val="clear" w:color="auto" w:fill="E1DFDD"/>
    </w:rPr>
  </w:style>
  <w:style w:type="character" w:styleId="FollowedHyperlink">
    <w:name w:val="FollowedHyperlink"/>
    <w:basedOn w:val="DefaultParagraphFont"/>
    <w:uiPriority w:val="99"/>
    <w:semiHidden/>
    <w:unhideWhenUsed/>
    <w:rsid w:val="001E505E"/>
    <w:rPr>
      <w:color w:val="9F6715"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rsid w:val="001E505E"/>
    <w:rPr>
      <w:rFonts w:ascii="Times New Roman" w:eastAsia="Times New Roman" w:hAnsi="Times New Roman" w:cs="Times New Roman"/>
      <w:sz w:val="20"/>
      <w:szCs w:val="20"/>
      <w:lang w:eastAsia="en-AU"/>
    </w:rPr>
  </w:style>
  <w:style w:type="character" w:customStyle="1" w:styleId="UnresolvedMention2">
    <w:name w:val="Unresolved Mention2"/>
    <w:basedOn w:val="DefaultParagraphFont"/>
    <w:uiPriority w:val="99"/>
    <w:semiHidden/>
    <w:unhideWhenUsed/>
    <w:rsid w:val="001E505E"/>
    <w:rPr>
      <w:color w:val="605E5C"/>
      <w:shd w:val="clear" w:color="auto" w:fill="E1DFDD"/>
    </w:rPr>
  </w:style>
  <w:style w:type="numbering" w:customStyle="1" w:styleId="NoList1">
    <w:name w:val="No List1"/>
    <w:next w:val="NoList"/>
    <w:uiPriority w:val="99"/>
    <w:semiHidden/>
    <w:unhideWhenUsed/>
    <w:rsid w:val="001E505E"/>
  </w:style>
  <w:style w:type="table" w:customStyle="1" w:styleId="TableGrid1">
    <w:name w:val="Table Grid1"/>
    <w:basedOn w:val="TableNormal"/>
    <w:next w:val="TableGrid"/>
    <w:uiPriority w:val="39"/>
    <w:rsid w:val="001E505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1">
    <w:name w:val="Default Table 11"/>
    <w:basedOn w:val="TableNormal"/>
    <w:uiPriority w:val="99"/>
    <w:rsid w:val="001E505E"/>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IconBoxTable1">
    <w:name w:val="Icon Box Table1"/>
    <w:basedOn w:val="TableNormal"/>
    <w:uiPriority w:val="99"/>
    <w:rsid w:val="001E505E"/>
    <w:pPr>
      <w:spacing w:before="80" w:after="80" w:line="240" w:lineRule="auto"/>
    </w:pPr>
    <w:rPr>
      <w:color w:val="000000"/>
    </w:rPr>
    <w:tblPr>
      <w:tblCellMar>
        <w:top w:w="57" w:type="dxa"/>
        <w:left w:w="170" w:type="dxa"/>
        <w:bottom w:w="57" w:type="dxa"/>
        <w:right w:w="170" w:type="dxa"/>
      </w:tblCellMar>
    </w:tblPr>
    <w:tcPr>
      <w:shd w:val="clear" w:color="auto" w:fill="F2F2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1">
    <w:name w:val="Bullets1"/>
    <w:uiPriority w:val="99"/>
    <w:rsid w:val="001E505E"/>
    <w:pPr>
      <w:numPr>
        <w:numId w:val="10"/>
      </w:numPr>
    </w:pPr>
  </w:style>
  <w:style w:type="numbering" w:customStyle="1" w:styleId="ListLegal1">
    <w:name w:val="List Legal1"/>
    <w:uiPriority w:val="99"/>
    <w:rsid w:val="001E505E"/>
    <w:pPr>
      <w:numPr>
        <w:numId w:val="11"/>
      </w:numPr>
    </w:pPr>
  </w:style>
  <w:style w:type="numbering" w:customStyle="1" w:styleId="ListNumbered10">
    <w:name w:val="List Numbered1"/>
    <w:uiPriority w:val="99"/>
    <w:rsid w:val="001E505E"/>
    <w:pPr>
      <w:numPr>
        <w:numId w:val="12"/>
      </w:numPr>
    </w:pPr>
  </w:style>
  <w:style w:type="numbering" w:customStyle="1" w:styleId="NumberedHeadings1">
    <w:name w:val="Numbered Headings1"/>
    <w:uiPriority w:val="99"/>
    <w:rsid w:val="001E505E"/>
    <w:pPr>
      <w:numPr>
        <w:numId w:val="13"/>
      </w:numPr>
    </w:pPr>
  </w:style>
  <w:style w:type="numbering" w:customStyle="1" w:styleId="AppendixNumbers1">
    <w:name w:val="Appendix Numbers1"/>
    <w:uiPriority w:val="99"/>
    <w:rsid w:val="001E505E"/>
    <w:pPr>
      <w:numPr>
        <w:numId w:val="14"/>
      </w:numPr>
    </w:pPr>
  </w:style>
  <w:style w:type="numbering" w:customStyle="1" w:styleId="AttachmentNumbers1">
    <w:name w:val="Attachment Numbers1"/>
    <w:uiPriority w:val="99"/>
    <w:rsid w:val="001E505E"/>
    <w:pPr>
      <w:numPr>
        <w:numId w:val="15"/>
      </w:numPr>
    </w:pPr>
  </w:style>
  <w:style w:type="numbering" w:customStyle="1" w:styleId="BoxedBullets1">
    <w:name w:val="Boxed Bullets1"/>
    <w:uiPriority w:val="99"/>
    <w:rsid w:val="001E505E"/>
    <w:pPr>
      <w:numPr>
        <w:numId w:val="16"/>
      </w:numPr>
    </w:pPr>
  </w:style>
  <w:style w:type="character" w:customStyle="1" w:styleId="UnresolvedMention3">
    <w:name w:val="Unresolved Mention3"/>
    <w:basedOn w:val="DefaultParagraphFont"/>
    <w:uiPriority w:val="99"/>
    <w:semiHidden/>
    <w:unhideWhenUsed/>
    <w:rsid w:val="009D1A85"/>
    <w:rPr>
      <w:color w:val="605E5C"/>
      <w:shd w:val="clear" w:color="auto" w:fill="E1DFDD"/>
    </w:rPr>
  </w:style>
  <w:style w:type="paragraph" w:customStyle="1" w:styleId="subsection">
    <w:name w:val="subsection"/>
    <w:aliases w:val="ss,Subsection"/>
    <w:basedOn w:val="Normal"/>
    <w:link w:val="subsectionChar"/>
    <w:rsid w:val="003C4BF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3C4BF8"/>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A5AC3"/>
    <w:pPr>
      <w:keepNext/>
      <w:keepLines/>
      <w:spacing w:before="280"/>
      <w:ind w:left="1134" w:hanging="1134"/>
      <w:outlineLvl w:val="4"/>
    </w:pPr>
    <w:rPr>
      <w:b/>
      <w:kern w:val="28"/>
      <w:sz w:val="24"/>
    </w:rPr>
  </w:style>
  <w:style w:type="paragraph" w:customStyle="1" w:styleId="paragraph">
    <w:name w:val="paragraph"/>
    <w:aliases w:val="a"/>
    <w:basedOn w:val="Normal"/>
    <w:link w:val="paragraphChar"/>
    <w:rsid w:val="00750665"/>
    <w:pPr>
      <w:tabs>
        <w:tab w:val="right" w:pos="1531"/>
      </w:tabs>
      <w:spacing w:before="40"/>
      <w:ind w:left="1644" w:hanging="1644"/>
    </w:pPr>
    <w:rPr>
      <w:sz w:val="22"/>
    </w:rPr>
  </w:style>
  <w:style w:type="paragraph" w:customStyle="1" w:styleId="paragraphsub">
    <w:name w:val="paragraph(sub)"/>
    <w:aliases w:val="aa"/>
    <w:basedOn w:val="Normal"/>
    <w:rsid w:val="00B729D0"/>
    <w:pPr>
      <w:tabs>
        <w:tab w:val="right" w:pos="1985"/>
      </w:tabs>
      <w:spacing w:before="40"/>
      <w:ind w:left="2098" w:hanging="2098"/>
    </w:pPr>
    <w:rPr>
      <w:sz w:val="22"/>
    </w:rPr>
  </w:style>
  <w:style w:type="character" w:styleId="UnresolvedMention">
    <w:name w:val="Unresolved Mention"/>
    <w:basedOn w:val="DefaultParagraphFont"/>
    <w:uiPriority w:val="99"/>
    <w:semiHidden/>
    <w:unhideWhenUsed/>
    <w:rsid w:val="000A1001"/>
    <w:rPr>
      <w:color w:val="605E5C"/>
      <w:shd w:val="clear" w:color="auto" w:fill="E1DFDD"/>
    </w:rPr>
  </w:style>
  <w:style w:type="character" w:styleId="Strong">
    <w:name w:val="Strong"/>
    <w:basedOn w:val="DefaultParagraphFont"/>
    <w:uiPriority w:val="22"/>
    <w:qFormat/>
    <w:rsid w:val="00E60E59"/>
    <w:rPr>
      <w:b/>
      <w:bCs/>
    </w:rPr>
  </w:style>
  <w:style w:type="paragraph" w:customStyle="1" w:styleId="notepara">
    <w:name w:val="note(para)"/>
    <w:aliases w:val="na"/>
    <w:basedOn w:val="Normal"/>
    <w:rsid w:val="00D4056E"/>
    <w:pPr>
      <w:spacing w:before="40" w:line="198" w:lineRule="exact"/>
      <w:ind w:left="2354" w:hanging="369"/>
    </w:pPr>
    <w:rPr>
      <w:sz w:val="18"/>
    </w:rPr>
  </w:style>
  <w:style w:type="character" w:customStyle="1" w:styleId="paragraphChar">
    <w:name w:val="paragraph Char"/>
    <w:aliases w:val="a Char"/>
    <w:basedOn w:val="DefaultParagraphFont"/>
    <w:link w:val="paragraph"/>
    <w:locked/>
    <w:rsid w:val="00AF74E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6211">
      <w:bodyDiv w:val="1"/>
      <w:marLeft w:val="0"/>
      <w:marRight w:val="0"/>
      <w:marTop w:val="0"/>
      <w:marBottom w:val="0"/>
      <w:divBdr>
        <w:top w:val="none" w:sz="0" w:space="0" w:color="auto"/>
        <w:left w:val="none" w:sz="0" w:space="0" w:color="auto"/>
        <w:bottom w:val="none" w:sz="0" w:space="0" w:color="auto"/>
        <w:right w:val="none" w:sz="0" w:space="0" w:color="auto"/>
      </w:divBdr>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44601528">
      <w:bodyDiv w:val="1"/>
      <w:marLeft w:val="0"/>
      <w:marRight w:val="0"/>
      <w:marTop w:val="0"/>
      <w:marBottom w:val="0"/>
      <w:divBdr>
        <w:top w:val="none" w:sz="0" w:space="0" w:color="auto"/>
        <w:left w:val="none" w:sz="0" w:space="0" w:color="auto"/>
        <w:bottom w:val="none" w:sz="0" w:space="0" w:color="auto"/>
        <w:right w:val="none" w:sz="0" w:space="0" w:color="auto"/>
      </w:divBdr>
    </w:div>
    <w:div w:id="619532723">
      <w:bodyDiv w:val="1"/>
      <w:marLeft w:val="0"/>
      <w:marRight w:val="0"/>
      <w:marTop w:val="0"/>
      <w:marBottom w:val="0"/>
      <w:divBdr>
        <w:top w:val="none" w:sz="0" w:space="0" w:color="auto"/>
        <w:left w:val="none" w:sz="0" w:space="0" w:color="auto"/>
        <w:bottom w:val="none" w:sz="0" w:space="0" w:color="auto"/>
        <w:right w:val="none" w:sz="0" w:space="0" w:color="auto"/>
      </w:divBdr>
    </w:div>
    <w:div w:id="668288766">
      <w:bodyDiv w:val="1"/>
      <w:marLeft w:val="0"/>
      <w:marRight w:val="0"/>
      <w:marTop w:val="0"/>
      <w:marBottom w:val="0"/>
      <w:divBdr>
        <w:top w:val="none" w:sz="0" w:space="0" w:color="auto"/>
        <w:left w:val="none" w:sz="0" w:space="0" w:color="auto"/>
        <w:bottom w:val="none" w:sz="0" w:space="0" w:color="auto"/>
        <w:right w:val="none" w:sz="0" w:space="0" w:color="auto"/>
      </w:divBdr>
    </w:div>
    <w:div w:id="706106278">
      <w:bodyDiv w:val="1"/>
      <w:marLeft w:val="0"/>
      <w:marRight w:val="0"/>
      <w:marTop w:val="0"/>
      <w:marBottom w:val="0"/>
      <w:divBdr>
        <w:top w:val="none" w:sz="0" w:space="0" w:color="auto"/>
        <w:left w:val="none" w:sz="0" w:space="0" w:color="auto"/>
        <w:bottom w:val="none" w:sz="0" w:space="0" w:color="auto"/>
        <w:right w:val="none" w:sz="0" w:space="0" w:color="auto"/>
      </w:divBdr>
    </w:div>
    <w:div w:id="716006453">
      <w:bodyDiv w:val="1"/>
      <w:marLeft w:val="0"/>
      <w:marRight w:val="0"/>
      <w:marTop w:val="0"/>
      <w:marBottom w:val="0"/>
      <w:divBdr>
        <w:top w:val="none" w:sz="0" w:space="0" w:color="auto"/>
        <w:left w:val="none" w:sz="0" w:space="0" w:color="auto"/>
        <w:bottom w:val="none" w:sz="0" w:space="0" w:color="auto"/>
        <w:right w:val="none" w:sz="0" w:space="0" w:color="auto"/>
      </w:divBdr>
    </w:div>
    <w:div w:id="913585263">
      <w:bodyDiv w:val="1"/>
      <w:marLeft w:val="0"/>
      <w:marRight w:val="0"/>
      <w:marTop w:val="0"/>
      <w:marBottom w:val="0"/>
      <w:divBdr>
        <w:top w:val="none" w:sz="0" w:space="0" w:color="auto"/>
        <w:left w:val="none" w:sz="0" w:space="0" w:color="auto"/>
        <w:bottom w:val="none" w:sz="0" w:space="0" w:color="auto"/>
        <w:right w:val="none" w:sz="0" w:space="0" w:color="auto"/>
      </w:divBdr>
    </w:div>
    <w:div w:id="934174631">
      <w:bodyDiv w:val="1"/>
      <w:marLeft w:val="0"/>
      <w:marRight w:val="0"/>
      <w:marTop w:val="0"/>
      <w:marBottom w:val="0"/>
      <w:divBdr>
        <w:top w:val="none" w:sz="0" w:space="0" w:color="auto"/>
        <w:left w:val="none" w:sz="0" w:space="0" w:color="auto"/>
        <w:bottom w:val="none" w:sz="0" w:space="0" w:color="auto"/>
        <w:right w:val="none" w:sz="0" w:space="0" w:color="auto"/>
      </w:divBdr>
    </w:div>
    <w:div w:id="943533889">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20426196">
      <w:bodyDiv w:val="1"/>
      <w:marLeft w:val="0"/>
      <w:marRight w:val="0"/>
      <w:marTop w:val="0"/>
      <w:marBottom w:val="0"/>
      <w:divBdr>
        <w:top w:val="none" w:sz="0" w:space="0" w:color="auto"/>
        <w:left w:val="none" w:sz="0" w:space="0" w:color="auto"/>
        <w:bottom w:val="none" w:sz="0" w:space="0" w:color="auto"/>
        <w:right w:val="none" w:sz="0" w:space="0" w:color="auto"/>
      </w:divBdr>
    </w:div>
    <w:div w:id="1044908573">
      <w:bodyDiv w:val="1"/>
      <w:marLeft w:val="0"/>
      <w:marRight w:val="0"/>
      <w:marTop w:val="0"/>
      <w:marBottom w:val="0"/>
      <w:divBdr>
        <w:top w:val="none" w:sz="0" w:space="0" w:color="auto"/>
        <w:left w:val="none" w:sz="0" w:space="0" w:color="auto"/>
        <w:bottom w:val="none" w:sz="0" w:space="0" w:color="auto"/>
        <w:right w:val="none" w:sz="0" w:space="0" w:color="auto"/>
      </w:divBdr>
    </w:div>
    <w:div w:id="1046830181">
      <w:bodyDiv w:val="1"/>
      <w:marLeft w:val="0"/>
      <w:marRight w:val="0"/>
      <w:marTop w:val="0"/>
      <w:marBottom w:val="0"/>
      <w:divBdr>
        <w:top w:val="none" w:sz="0" w:space="0" w:color="auto"/>
        <w:left w:val="none" w:sz="0" w:space="0" w:color="auto"/>
        <w:bottom w:val="none" w:sz="0" w:space="0" w:color="auto"/>
        <w:right w:val="none" w:sz="0" w:space="0" w:color="auto"/>
      </w:divBdr>
    </w:div>
    <w:div w:id="1051467522">
      <w:bodyDiv w:val="1"/>
      <w:marLeft w:val="0"/>
      <w:marRight w:val="0"/>
      <w:marTop w:val="0"/>
      <w:marBottom w:val="0"/>
      <w:divBdr>
        <w:top w:val="none" w:sz="0" w:space="0" w:color="auto"/>
        <w:left w:val="none" w:sz="0" w:space="0" w:color="auto"/>
        <w:bottom w:val="none" w:sz="0" w:space="0" w:color="auto"/>
        <w:right w:val="none" w:sz="0" w:space="0" w:color="auto"/>
      </w:divBdr>
    </w:div>
    <w:div w:id="1056275415">
      <w:bodyDiv w:val="1"/>
      <w:marLeft w:val="0"/>
      <w:marRight w:val="0"/>
      <w:marTop w:val="0"/>
      <w:marBottom w:val="0"/>
      <w:divBdr>
        <w:top w:val="none" w:sz="0" w:space="0" w:color="auto"/>
        <w:left w:val="none" w:sz="0" w:space="0" w:color="auto"/>
        <w:bottom w:val="none" w:sz="0" w:space="0" w:color="auto"/>
        <w:right w:val="none" w:sz="0" w:space="0" w:color="auto"/>
      </w:divBdr>
    </w:div>
    <w:div w:id="1081559947">
      <w:bodyDiv w:val="1"/>
      <w:marLeft w:val="0"/>
      <w:marRight w:val="0"/>
      <w:marTop w:val="0"/>
      <w:marBottom w:val="0"/>
      <w:divBdr>
        <w:top w:val="none" w:sz="0" w:space="0" w:color="auto"/>
        <w:left w:val="none" w:sz="0" w:space="0" w:color="auto"/>
        <w:bottom w:val="none" w:sz="0" w:space="0" w:color="auto"/>
        <w:right w:val="none" w:sz="0" w:space="0" w:color="auto"/>
      </w:divBdr>
    </w:div>
    <w:div w:id="1110710096">
      <w:bodyDiv w:val="1"/>
      <w:marLeft w:val="0"/>
      <w:marRight w:val="0"/>
      <w:marTop w:val="0"/>
      <w:marBottom w:val="0"/>
      <w:divBdr>
        <w:top w:val="none" w:sz="0" w:space="0" w:color="auto"/>
        <w:left w:val="none" w:sz="0" w:space="0" w:color="auto"/>
        <w:bottom w:val="none" w:sz="0" w:space="0" w:color="auto"/>
        <w:right w:val="none" w:sz="0" w:space="0" w:color="auto"/>
      </w:divBdr>
    </w:div>
    <w:div w:id="1120761602">
      <w:bodyDiv w:val="1"/>
      <w:marLeft w:val="0"/>
      <w:marRight w:val="0"/>
      <w:marTop w:val="0"/>
      <w:marBottom w:val="0"/>
      <w:divBdr>
        <w:top w:val="none" w:sz="0" w:space="0" w:color="auto"/>
        <w:left w:val="none" w:sz="0" w:space="0" w:color="auto"/>
        <w:bottom w:val="none" w:sz="0" w:space="0" w:color="auto"/>
        <w:right w:val="none" w:sz="0" w:space="0" w:color="auto"/>
      </w:divBdr>
    </w:div>
    <w:div w:id="1468161186">
      <w:bodyDiv w:val="1"/>
      <w:marLeft w:val="0"/>
      <w:marRight w:val="0"/>
      <w:marTop w:val="0"/>
      <w:marBottom w:val="0"/>
      <w:divBdr>
        <w:top w:val="none" w:sz="0" w:space="0" w:color="auto"/>
        <w:left w:val="none" w:sz="0" w:space="0" w:color="auto"/>
        <w:bottom w:val="none" w:sz="0" w:space="0" w:color="auto"/>
        <w:right w:val="none" w:sz="0" w:space="0" w:color="auto"/>
      </w:divBdr>
    </w:div>
    <w:div w:id="1518500320">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614441666">
      <w:bodyDiv w:val="1"/>
      <w:marLeft w:val="0"/>
      <w:marRight w:val="0"/>
      <w:marTop w:val="0"/>
      <w:marBottom w:val="0"/>
      <w:divBdr>
        <w:top w:val="none" w:sz="0" w:space="0" w:color="auto"/>
        <w:left w:val="none" w:sz="0" w:space="0" w:color="auto"/>
        <w:bottom w:val="none" w:sz="0" w:space="0" w:color="auto"/>
        <w:right w:val="none" w:sz="0" w:space="0" w:color="auto"/>
      </w:divBdr>
    </w:div>
    <w:div w:id="1631201305">
      <w:bodyDiv w:val="1"/>
      <w:marLeft w:val="0"/>
      <w:marRight w:val="0"/>
      <w:marTop w:val="0"/>
      <w:marBottom w:val="0"/>
      <w:divBdr>
        <w:top w:val="none" w:sz="0" w:space="0" w:color="auto"/>
        <w:left w:val="none" w:sz="0" w:space="0" w:color="auto"/>
        <w:bottom w:val="none" w:sz="0" w:space="0" w:color="auto"/>
        <w:right w:val="none" w:sz="0" w:space="0" w:color="auto"/>
      </w:divBdr>
    </w:div>
    <w:div w:id="1689670573">
      <w:bodyDiv w:val="1"/>
      <w:marLeft w:val="0"/>
      <w:marRight w:val="0"/>
      <w:marTop w:val="0"/>
      <w:marBottom w:val="0"/>
      <w:divBdr>
        <w:top w:val="none" w:sz="0" w:space="0" w:color="auto"/>
        <w:left w:val="none" w:sz="0" w:space="0" w:color="auto"/>
        <w:bottom w:val="none" w:sz="0" w:space="0" w:color="auto"/>
        <w:right w:val="none" w:sz="0" w:space="0" w:color="auto"/>
      </w:divBdr>
    </w:div>
    <w:div w:id="1754933265">
      <w:bodyDiv w:val="1"/>
      <w:marLeft w:val="0"/>
      <w:marRight w:val="0"/>
      <w:marTop w:val="0"/>
      <w:marBottom w:val="0"/>
      <w:divBdr>
        <w:top w:val="none" w:sz="0" w:space="0" w:color="auto"/>
        <w:left w:val="none" w:sz="0" w:space="0" w:color="auto"/>
        <w:bottom w:val="none" w:sz="0" w:space="0" w:color="auto"/>
        <w:right w:val="none" w:sz="0" w:space="0" w:color="auto"/>
      </w:divBdr>
    </w:div>
    <w:div w:id="1888881828">
      <w:bodyDiv w:val="1"/>
      <w:marLeft w:val="0"/>
      <w:marRight w:val="0"/>
      <w:marTop w:val="0"/>
      <w:marBottom w:val="0"/>
      <w:divBdr>
        <w:top w:val="none" w:sz="0" w:space="0" w:color="auto"/>
        <w:left w:val="none" w:sz="0" w:space="0" w:color="auto"/>
        <w:bottom w:val="none" w:sz="0" w:space="0" w:color="auto"/>
        <w:right w:val="none" w:sz="0" w:space="0" w:color="auto"/>
      </w:divBdr>
    </w:div>
    <w:div w:id="1909339372">
      <w:bodyDiv w:val="1"/>
      <w:marLeft w:val="0"/>
      <w:marRight w:val="0"/>
      <w:marTop w:val="0"/>
      <w:marBottom w:val="0"/>
      <w:divBdr>
        <w:top w:val="none" w:sz="0" w:space="0" w:color="auto"/>
        <w:left w:val="none" w:sz="0" w:space="0" w:color="auto"/>
        <w:bottom w:val="none" w:sz="0" w:space="0" w:color="auto"/>
        <w:right w:val="none" w:sz="0" w:space="0" w:color="auto"/>
      </w:divBdr>
    </w:div>
    <w:div w:id="1936478818">
      <w:bodyDiv w:val="1"/>
      <w:marLeft w:val="0"/>
      <w:marRight w:val="0"/>
      <w:marTop w:val="0"/>
      <w:marBottom w:val="0"/>
      <w:divBdr>
        <w:top w:val="none" w:sz="0" w:space="0" w:color="auto"/>
        <w:left w:val="none" w:sz="0" w:space="0" w:color="auto"/>
        <w:bottom w:val="none" w:sz="0" w:space="0" w:color="auto"/>
        <w:right w:val="none" w:sz="0" w:space="0" w:color="auto"/>
      </w:divBdr>
    </w:div>
    <w:div w:id="1956328656">
      <w:bodyDiv w:val="1"/>
      <w:marLeft w:val="0"/>
      <w:marRight w:val="0"/>
      <w:marTop w:val="0"/>
      <w:marBottom w:val="0"/>
      <w:divBdr>
        <w:top w:val="none" w:sz="0" w:space="0" w:color="auto"/>
        <w:left w:val="none" w:sz="0" w:space="0" w:color="auto"/>
        <w:bottom w:val="none" w:sz="0" w:space="0" w:color="auto"/>
        <w:right w:val="none" w:sz="0" w:space="0" w:color="auto"/>
      </w:divBdr>
    </w:div>
    <w:div w:id="1976330036">
      <w:bodyDiv w:val="1"/>
      <w:marLeft w:val="0"/>
      <w:marRight w:val="0"/>
      <w:marTop w:val="0"/>
      <w:marBottom w:val="0"/>
      <w:divBdr>
        <w:top w:val="none" w:sz="0" w:space="0" w:color="auto"/>
        <w:left w:val="none" w:sz="0" w:space="0" w:color="auto"/>
        <w:bottom w:val="none" w:sz="0" w:space="0" w:color="auto"/>
        <w:right w:val="none" w:sz="0" w:space="0" w:color="auto"/>
      </w:divBdr>
    </w:div>
    <w:div w:id="2124223420">
      <w:bodyDiv w:val="1"/>
      <w:marLeft w:val="0"/>
      <w:marRight w:val="0"/>
      <w:marTop w:val="0"/>
      <w:marBottom w:val="0"/>
      <w:divBdr>
        <w:top w:val="none" w:sz="0" w:space="0" w:color="auto"/>
        <w:left w:val="none" w:sz="0" w:space="0" w:color="auto"/>
        <w:bottom w:val="none" w:sz="0" w:space="0" w:color="auto"/>
        <w:right w:val="none" w:sz="0" w:space="0" w:color="auto"/>
      </w:divBdr>
    </w:div>
    <w:div w:id="21470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3.xml><?xml version="1.0" encoding="utf-8"?>
<ds:datastoreItem xmlns:ds="http://schemas.openxmlformats.org/officeDocument/2006/customXml" ds:itemID="{C6AB45E8-E132-432A-BF36-B0CBE513C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2C832-9A17-4DE8-9EE5-78F12A2A5F24}">
  <ds:schemaRefs>
    <ds:schemaRef ds:uri="http://purl.org/dc/terms/"/>
    <ds:schemaRef ds:uri="http://schemas.openxmlformats.org/package/2006/metadata/core-properties"/>
    <ds:schemaRef ds:uri="http://schemas.microsoft.com/office/2006/documentManagement/types"/>
    <ds:schemaRef ds:uri="DBCC6E8F-A1D7-43D3-B0EE-A8B0BD980C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1BEA97B-7DF8-48C5-9F8C-9CC3B092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bmetschke</dc:creator>
  <cp:lastModifiedBy>MACKENZIE, Tom</cp:lastModifiedBy>
  <cp:revision>3</cp:revision>
  <cp:lastPrinted>2024-11-25T02:49:00Z</cp:lastPrinted>
  <dcterms:created xsi:type="dcterms:W3CDTF">2024-12-05T23:10:00Z</dcterms:created>
  <dcterms:modified xsi:type="dcterms:W3CDTF">2024-12-12T02:49:00Z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y fmtid="{D5CDD505-2E9C-101B-9397-08002B2CF9AE}" pid="3" name="TaxCatchAll">
    <vt:lpwstr>1375;#Metschke, Bernadette [Person - BMETSCHKE] [internal] [23089]|14c4c4ea-7d5b-42a0-88f0-64aed0c65d50;#54;#Legal Practice Unit [Organization] [internal] [39804]|3601d318-3562-4026-bcf3-e3d37a91abed</vt:lpwstr>
  </property>
  <property fmtid="{D5CDD505-2E9C-101B-9397-08002B2CF9AE}" pid="4" name="me786d0e3c9949dc83d6a9826d3f7afb">
    <vt:lpwstr>Legal Practice Unit [Organization] [internal] [39804]|3601d318-3562-4026-bcf3-e3d37a91abed</vt:lpwstr>
  </property>
  <property fmtid="{D5CDD505-2E9C-101B-9397-08002B2CF9AE}" pid="5" name="l7f7762656034748af4098221ba10b64">
    <vt:lpwstr>Metschke, Bernadette [Person - BMETSCHKE] [internal] [23089]|14c4c4ea-7d5b-42a0-88f0-64aed0c65d50</vt:lpwstr>
  </property>
  <property fmtid="{D5CDD505-2E9C-101B-9397-08002B2CF9AE}" pid="6" name="c1aa94c1bcce43cc9138ccb9c7bf6e69">
    <vt:lpwstr/>
  </property>
  <property fmtid="{D5CDD505-2E9C-101B-9397-08002B2CF9AE}" pid="7" name="ie56bdfdc4a44ef997c05b4ed8c67594">
    <vt:lpwstr/>
  </property>
  <property fmtid="{D5CDD505-2E9C-101B-9397-08002B2CF9AE}" pid="8" name="dd9c7627a75f4720a6ccce58a35e4d75">
    <vt:lpwstr/>
  </property>
  <property fmtid="{D5CDD505-2E9C-101B-9397-08002B2CF9AE}" pid="9" name="e74c999a0f514bafbaad1ae53c56eac2">
    <vt:lpwstr/>
  </property>
  <property fmtid="{D5CDD505-2E9C-101B-9397-08002B2CF9AE}" pid="10" name="l30152c64bc5409cb0d6af5fc7998329">
    <vt:lpwstr/>
  </property>
  <property fmtid="{D5CDD505-2E9C-101B-9397-08002B2CF9AE}" pid="11" name="a26f7cb41fae41ebb6c8e377b7c30d71">
    <vt:lpwstr/>
  </property>
  <property fmtid="{D5CDD505-2E9C-101B-9397-08002B2CF9AE}" pid="12" name="hab31d4ae2264d5c8e77fd86c07e7635">
    <vt:lpwstr/>
  </property>
  <property fmtid="{D5CDD505-2E9C-101B-9397-08002B2CF9AE}" pid="13" name="e65fcc6ef396426b9c231bd6b3bc54de">
    <vt:lpwstr/>
  </property>
  <property fmtid="{D5CDD505-2E9C-101B-9397-08002B2CF9AE}" pid="14" name="TrimRevisionNumber">
    <vt:i4>63</vt:i4>
  </property>
  <property fmtid="{D5CDD505-2E9C-101B-9397-08002B2CF9AE}" pid="15" name="trimRootDocClassification">
    <vt:lpwstr/>
  </property>
  <property fmtid="{D5CDD505-2E9C-101B-9397-08002B2CF9AE}" pid="16" name="trimRootDocAssigneeLocation">
    <vt:lpwstr>1375;#Metschke, Bernadette [Person - BMETSCHKE] [internal] [23089]|14c4c4ea-7d5b-42a0-88f0-64aed0c65d50</vt:lpwstr>
  </property>
  <property fmtid="{D5CDD505-2E9C-101B-9397-08002B2CF9AE}" pid="17" name="trimRootDocOwnerLocation">
    <vt:lpwstr>54;#Legal Practice Unit [Organization] [internal] [39804]|3601d318-3562-4026-bcf3-e3d37a91abed</vt:lpwstr>
  </property>
  <property fmtid="{D5CDD505-2E9C-101B-9397-08002B2CF9AE}" pid="18" name="trimRootDocOtherContactLocation">
    <vt:lpwstr/>
  </property>
  <property fmtid="{D5CDD505-2E9C-101B-9397-08002B2CF9AE}" pid="19" name="trimRootDocACLCanUpdateMetadata_List">
    <vt:lpwstr/>
  </property>
  <property fmtid="{D5CDD505-2E9C-101B-9397-08002B2CF9AE}" pid="20" name="trimRootDocACLCanContributeDocuments_List">
    <vt:lpwstr/>
  </property>
  <property fmtid="{D5CDD505-2E9C-101B-9397-08002B2CF9AE}" pid="21" name="trimRootDocACLCanModifyAccess_List">
    <vt:lpwstr/>
  </property>
  <property fmtid="{D5CDD505-2E9C-101B-9397-08002B2CF9AE}" pid="22" name="trimRootDocACLCanUpdateDocument_List">
    <vt:lpwstr/>
  </property>
  <property fmtid="{D5CDD505-2E9C-101B-9397-08002B2CF9AE}" pid="23" name="trimRootDocACLCanViewMetadata_List">
    <vt:lpwstr/>
  </property>
  <property fmtid="{D5CDD505-2E9C-101B-9397-08002B2CF9AE}" pid="24" name="uri">
    <vt:lpwstr>2948986</vt:lpwstr>
  </property>
  <property fmtid="{D5CDD505-2E9C-101B-9397-08002B2CF9AE}" pid="25" name="trimRootDocACLCanViewDocument_List">
    <vt:lpwstr/>
  </property>
</Properties>
</file>