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DFFF" w14:textId="77777777" w:rsidR="0048364F" w:rsidRPr="0084114C" w:rsidRDefault="00193461" w:rsidP="0020300C">
      <w:pPr>
        <w:rPr>
          <w:sz w:val="28"/>
        </w:rPr>
      </w:pPr>
      <w:r w:rsidRPr="0084114C">
        <w:rPr>
          <w:noProof/>
          <w:lang w:eastAsia="en-AU"/>
        </w:rPr>
        <w:drawing>
          <wp:inline distT="0" distB="0" distL="0" distR="0" wp14:anchorId="6A95ED13" wp14:editId="36C85AB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02D102D" w14:textId="77777777" w:rsidR="0048364F" w:rsidRPr="0084114C" w:rsidRDefault="0048364F" w:rsidP="0048364F">
      <w:pPr>
        <w:rPr>
          <w:sz w:val="19"/>
        </w:rPr>
      </w:pPr>
    </w:p>
    <w:p w14:paraId="0BD286B0" w14:textId="77777777" w:rsidR="0048364F" w:rsidRPr="0084114C" w:rsidRDefault="00793BAE" w:rsidP="0048364F">
      <w:pPr>
        <w:pStyle w:val="ShortT"/>
      </w:pPr>
      <w:bookmarkStart w:id="0" w:name="_Hlk181026860"/>
      <w:r w:rsidRPr="0084114C">
        <w:t xml:space="preserve">Corporations (Fees) Amendment (Takeovers) </w:t>
      </w:r>
      <w:r w:rsidR="005B4F39">
        <w:t>Regulations 2</w:t>
      </w:r>
      <w:r w:rsidRPr="0084114C">
        <w:t>024</w:t>
      </w:r>
      <w:bookmarkEnd w:id="0"/>
    </w:p>
    <w:p w14:paraId="2685B6A0" w14:textId="77777777" w:rsidR="00210B9C" w:rsidRPr="0084114C" w:rsidRDefault="00210B9C" w:rsidP="001419A8">
      <w:pPr>
        <w:pStyle w:val="SignCoverPageStart"/>
        <w:spacing w:before="240"/>
        <w:rPr>
          <w:szCs w:val="22"/>
        </w:rPr>
      </w:pPr>
      <w:r w:rsidRPr="0084114C">
        <w:rPr>
          <w:szCs w:val="22"/>
        </w:rPr>
        <w:t>I, the Honourable Sam Mostyn AC, Governor</w:t>
      </w:r>
      <w:r w:rsidR="005B4F39">
        <w:rPr>
          <w:szCs w:val="22"/>
        </w:rPr>
        <w:noBreakHyphen/>
      </w:r>
      <w:r w:rsidRPr="0084114C">
        <w:rPr>
          <w:szCs w:val="22"/>
        </w:rPr>
        <w:t>General of the Commonwealth of Australia, acting with the advice of the Federal Executive Council, make the following regulations.</w:t>
      </w:r>
    </w:p>
    <w:p w14:paraId="72BBE3CD" w14:textId="59BE8751" w:rsidR="00210B9C" w:rsidRPr="0084114C" w:rsidRDefault="00210B9C" w:rsidP="001419A8">
      <w:pPr>
        <w:keepNext/>
        <w:spacing w:before="720" w:line="240" w:lineRule="atLeast"/>
        <w:ind w:right="397"/>
        <w:jc w:val="both"/>
        <w:rPr>
          <w:szCs w:val="22"/>
        </w:rPr>
      </w:pPr>
      <w:r w:rsidRPr="0084114C">
        <w:rPr>
          <w:szCs w:val="22"/>
        </w:rPr>
        <w:t xml:space="preserve">Dated </w:t>
      </w:r>
      <w:r w:rsidRPr="0084114C">
        <w:rPr>
          <w:szCs w:val="22"/>
        </w:rPr>
        <w:tab/>
      </w:r>
      <w:r w:rsidRPr="0084114C">
        <w:rPr>
          <w:szCs w:val="22"/>
        </w:rPr>
        <w:tab/>
      </w:r>
      <w:r w:rsidRPr="0084114C">
        <w:rPr>
          <w:szCs w:val="22"/>
        </w:rPr>
        <w:tab/>
      </w:r>
      <w:r w:rsidRPr="0084114C">
        <w:rPr>
          <w:szCs w:val="22"/>
        </w:rPr>
        <w:tab/>
      </w:r>
      <w:r w:rsidR="00EB6D08">
        <w:rPr>
          <w:szCs w:val="22"/>
        </w:rPr>
        <w:t xml:space="preserve">12 December </w:t>
      </w:r>
      <w:r w:rsidRPr="0084114C">
        <w:rPr>
          <w:szCs w:val="22"/>
        </w:rPr>
        <w:fldChar w:fldCharType="begin"/>
      </w:r>
      <w:r w:rsidRPr="0084114C">
        <w:rPr>
          <w:szCs w:val="22"/>
        </w:rPr>
        <w:instrText xml:space="preserve"> DOCPROPERTY  DateMade </w:instrText>
      </w:r>
      <w:r w:rsidRPr="0084114C">
        <w:rPr>
          <w:szCs w:val="22"/>
        </w:rPr>
        <w:fldChar w:fldCharType="separate"/>
      </w:r>
      <w:r w:rsidR="0024571E">
        <w:rPr>
          <w:szCs w:val="22"/>
        </w:rPr>
        <w:t>2024</w:t>
      </w:r>
      <w:r w:rsidRPr="0084114C">
        <w:rPr>
          <w:szCs w:val="22"/>
        </w:rPr>
        <w:fldChar w:fldCharType="end"/>
      </w:r>
    </w:p>
    <w:p w14:paraId="2D1F1AD9" w14:textId="77777777" w:rsidR="00210B9C" w:rsidRPr="0084114C" w:rsidRDefault="00210B9C" w:rsidP="001419A8">
      <w:pPr>
        <w:keepNext/>
        <w:tabs>
          <w:tab w:val="left" w:pos="3402"/>
        </w:tabs>
        <w:spacing w:before="1080" w:line="300" w:lineRule="atLeast"/>
        <w:ind w:left="397" w:right="397"/>
        <w:jc w:val="right"/>
        <w:rPr>
          <w:szCs w:val="22"/>
        </w:rPr>
      </w:pPr>
      <w:r w:rsidRPr="0084114C">
        <w:rPr>
          <w:szCs w:val="22"/>
        </w:rPr>
        <w:t>Sam Mostyn AC</w:t>
      </w:r>
    </w:p>
    <w:p w14:paraId="1D55B58D" w14:textId="77777777" w:rsidR="00210B9C" w:rsidRPr="0084114C" w:rsidRDefault="00210B9C" w:rsidP="001419A8">
      <w:pPr>
        <w:keepNext/>
        <w:tabs>
          <w:tab w:val="left" w:pos="3402"/>
        </w:tabs>
        <w:spacing w:line="300" w:lineRule="atLeast"/>
        <w:ind w:left="397" w:right="397"/>
        <w:jc w:val="right"/>
        <w:rPr>
          <w:szCs w:val="22"/>
        </w:rPr>
      </w:pPr>
      <w:r w:rsidRPr="0084114C">
        <w:rPr>
          <w:szCs w:val="22"/>
        </w:rPr>
        <w:t>Governor</w:t>
      </w:r>
      <w:r w:rsidR="005B4F39">
        <w:rPr>
          <w:szCs w:val="22"/>
        </w:rPr>
        <w:noBreakHyphen/>
      </w:r>
      <w:r w:rsidRPr="0084114C">
        <w:rPr>
          <w:szCs w:val="22"/>
        </w:rPr>
        <w:t>General</w:t>
      </w:r>
    </w:p>
    <w:p w14:paraId="7C2296F8" w14:textId="77777777" w:rsidR="00210B9C" w:rsidRPr="0084114C" w:rsidRDefault="00210B9C" w:rsidP="001419A8">
      <w:pPr>
        <w:keepNext/>
        <w:tabs>
          <w:tab w:val="left" w:pos="3402"/>
        </w:tabs>
        <w:spacing w:before="840" w:after="1080" w:line="300" w:lineRule="atLeast"/>
        <w:ind w:right="397"/>
        <w:rPr>
          <w:szCs w:val="22"/>
        </w:rPr>
      </w:pPr>
      <w:r w:rsidRPr="0084114C">
        <w:rPr>
          <w:szCs w:val="22"/>
        </w:rPr>
        <w:t>By H</w:t>
      </w:r>
      <w:r w:rsidRPr="0084114C">
        <w:t>er</w:t>
      </w:r>
      <w:r w:rsidRPr="0084114C">
        <w:rPr>
          <w:szCs w:val="22"/>
        </w:rPr>
        <w:t xml:space="preserve"> Excellency’s Command</w:t>
      </w:r>
    </w:p>
    <w:p w14:paraId="5606A380" w14:textId="77777777" w:rsidR="00210B9C" w:rsidRPr="0084114C" w:rsidRDefault="00210B9C" w:rsidP="001419A8">
      <w:pPr>
        <w:keepNext/>
        <w:tabs>
          <w:tab w:val="left" w:pos="3402"/>
        </w:tabs>
        <w:spacing w:before="480" w:line="300" w:lineRule="atLeast"/>
        <w:ind w:right="397"/>
        <w:rPr>
          <w:szCs w:val="22"/>
        </w:rPr>
      </w:pPr>
      <w:r w:rsidRPr="0084114C">
        <w:rPr>
          <w:szCs w:val="22"/>
        </w:rPr>
        <w:t>Dr Jim Chalmers</w:t>
      </w:r>
    </w:p>
    <w:p w14:paraId="57BB45A2" w14:textId="77777777" w:rsidR="00210B9C" w:rsidRPr="0084114C" w:rsidRDefault="00210B9C" w:rsidP="001419A8">
      <w:pPr>
        <w:pStyle w:val="SignCoverPageEnd"/>
        <w:rPr>
          <w:szCs w:val="22"/>
        </w:rPr>
      </w:pPr>
      <w:r w:rsidRPr="0084114C">
        <w:rPr>
          <w:szCs w:val="22"/>
        </w:rPr>
        <w:t>Treasurer</w:t>
      </w:r>
    </w:p>
    <w:p w14:paraId="466B336A" w14:textId="77777777" w:rsidR="00210B9C" w:rsidRPr="0084114C" w:rsidRDefault="00210B9C" w:rsidP="001419A8"/>
    <w:p w14:paraId="19A04200" w14:textId="77777777" w:rsidR="00210B9C" w:rsidRPr="0084114C" w:rsidRDefault="00210B9C" w:rsidP="001419A8"/>
    <w:p w14:paraId="3410C155" w14:textId="77777777" w:rsidR="00210B9C" w:rsidRPr="0084114C" w:rsidRDefault="00210B9C" w:rsidP="001419A8"/>
    <w:p w14:paraId="01D5B0BA" w14:textId="77777777" w:rsidR="0048364F" w:rsidRPr="00DE06C2" w:rsidRDefault="0048364F" w:rsidP="0048364F">
      <w:pPr>
        <w:pStyle w:val="Header"/>
        <w:tabs>
          <w:tab w:val="clear" w:pos="4150"/>
          <w:tab w:val="clear" w:pos="8307"/>
        </w:tabs>
      </w:pPr>
      <w:r w:rsidRPr="00DE06C2">
        <w:rPr>
          <w:rStyle w:val="CharAmSchNo"/>
        </w:rPr>
        <w:t xml:space="preserve"> </w:t>
      </w:r>
      <w:r w:rsidRPr="00DE06C2">
        <w:rPr>
          <w:rStyle w:val="CharAmSchText"/>
        </w:rPr>
        <w:t xml:space="preserve"> </w:t>
      </w:r>
    </w:p>
    <w:p w14:paraId="7DE970AF" w14:textId="77777777" w:rsidR="0048364F" w:rsidRPr="00DE06C2" w:rsidRDefault="0048364F" w:rsidP="0048364F">
      <w:pPr>
        <w:pStyle w:val="Header"/>
        <w:tabs>
          <w:tab w:val="clear" w:pos="4150"/>
          <w:tab w:val="clear" w:pos="8307"/>
        </w:tabs>
      </w:pPr>
      <w:r w:rsidRPr="00DE06C2">
        <w:rPr>
          <w:rStyle w:val="CharAmPartNo"/>
        </w:rPr>
        <w:t xml:space="preserve"> </w:t>
      </w:r>
      <w:r w:rsidRPr="00DE06C2">
        <w:rPr>
          <w:rStyle w:val="CharAmPartText"/>
        </w:rPr>
        <w:t xml:space="preserve"> </w:t>
      </w:r>
    </w:p>
    <w:p w14:paraId="7F94F4B7" w14:textId="77777777" w:rsidR="0048364F" w:rsidRPr="0084114C" w:rsidRDefault="0048364F" w:rsidP="0048364F">
      <w:pPr>
        <w:sectPr w:rsidR="0048364F" w:rsidRPr="0084114C" w:rsidSect="003266DA">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107D0D17" w14:textId="77777777" w:rsidR="00220A0C" w:rsidRPr="0084114C" w:rsidRDefault="0048364F" w:rsidP="0048364F">
      <w:pPr>
        <w:outlineLvl w:val="0"/>
        <w:rPr>
          <w:sz w:val="36"/>
        </w:rPr>
      </w:pPr>
      <w:r w:rsidRPr="0084114C">
        <w:rPr>
          <w:sz w:val="36"/>
        </w:rPr>
        <w:lastRenderedPageBreak/>
        <w:t>Contents</w:t>
      </w:r>
    </w:p>
    <w:p w14:paraId="286BE188" w14:textId="5604D44A" w:rsidR="000E7385" w:rsidRPr="0084114C" w:rsidRDefault="000E7385">
      <w:pPr>
        <w:pStyle w:val="TOC5"/>
        <w:rPr>
          <w:rFonts w:asciiTheme="minorHAnsi" w:eastAsiaTheme="minorEastAsia" w:hAnsiTheme="minorHAnsi" w:cstheme="minorBidi"/>
          <w:noProof/>
          <w:kern w:val="0"/>
          <w:sz w:val="22"/>
          <w:szCs w:val="22"/>
        </w:rPr>
      </w:pPr>
      <w:r w:rsidRPr="0084114C">
        <w:fldChar w:fldCharType="begin"/>
      </w:r>
      <w:r w:rsidRPr="0084114C">
        <w:instrText xml:space="preserve"> TOC \o "1-9" </w:instrText>
      </w:r>
      <w:r w:rsidRPr="0084114C">
        <w:fldChar w:fldCharType="separate"/>
      </w:r>
      <w:r w:rsidRPr="0084114C">
        <w:rPr>
          <w:noProof/>
        </w:rPr>
        <w:t>1</w:t>
      </w:r>
      <w:r w:rsidRPr="0084114C">
        <w:rPr>
          <w:noProof/>
        </w:rPr>
        <w:tab/>
        <w:t>Name</w:t>
      </w:r>
      <w:r w:rsidRPr="0084114C">
        <w:rPr>
          <w:noProof/>
        </w:rPr>
        <w:tab/>
      </w:r>
      <w:r w:rsidRPr="0084114C">
        <w:rPr>
          <w:noProof/>
        </w:rPr>
        <w:fldChar w:fldCharType="begin"/>
      </w:r>
      <w:r w:rsidRPr="0084114C">
        <w:rPr>
          <w:noProof/>
        </w:rPr>
        <w:instrText xml:space="preserve"> PAGEREF _Toc182829527 \h </w:instrText>
      </w:r>
      <w:r w:rsidRPr="0084114C">
        <w:rPr>
          <w:noProof/>
        </w:rPr>
      </w:r>
      <w:r w:rsidRPr="0084114C">
        <w:rPr>
          <w:noProof/>
        </w:rPr>
        <w:fldChar w:fldCharType="separate"/>
      </w:r>
      <w:r w:rsidR="0024571E">
        <w:rPr>
          <w:noProof/>
        </w:rPr>
        <w:t>1</w:t>
      </w:r>
      <w:r w:rsidRPr="0084114C">
        <w:rPr>
          <w:noProof/>
        </w:rPr>
        <w:fldChar w:fldCharType="end"/>
      </w:r>
    </w:p>
    <w:p w14:paraId="4DB7DE65" w14:textId="4886BAD5" w:rsidR="000E7385" w:rsidRPr="0084114C" w:rsidRDefault="000E7385">
      <w:pPr>
        <w:pStyle w:val="TOC5"/>
        <w:rPr>
          <w:rFonts w:asciiTheme="minorHAnsi" w:eastAsiaTheme="minorEastAsia" w:hAnsiTheme="minorHAnsi" w:cstheme="minorBidi"/>
          <w:noProof/>
          <w:kern w:val="0"/>
          <w:sz w:val="22"/>
          <w:szCs w:val="22"/>
        </w:rPr>
      </w:pPr>
      <w:r w:rsidRPr="0084114C">
        <w:rPr>
          <w:noProof/>
        </w:rPr>
        <w:t>2</w:t>
      </w:r>
      <w:r w:rsidRPr="0084114C">
        <w:rPr>
          <w:noProof/>
        </w:rPr>
        <w:tab/>
        <w:t>Commencement</w:t>
      </w:r>
      <w:r w:rsidRPr="0084114C">
        <w:rPr>
          <w:noProof/>
        </w:rPr>
        <w:tab/>
      </w:r>
      <w:r w:rsidRPr="0084114C">
        <w:rPr>
          <w:noProof/>
        </w:rPr>
        <w:fldChar w:fldCharType="begin"/>
      </w:r>
      <w:r w:rsidRPr="0084114C">
        <w:rPr>
          <w:noProof/>
        </w:rPr>
        <w:instrText xml:space="preserve"> PAGEREF _Toc182829528 \h </w:instrText>
      </w:r>
      <w:r w:rsidRPr="0084114C">
        <w:rPr>
          <w:noProof/>
        </w:rPr>
      </w:r>
      <w:r w:rsidRPr="0084114C">
        <w:rPr>
          <w:noProof/>
        </w:rPr>
        <w:fldChar w:fldCharType="separate"/>
      </w:r>
      <w:r w:rsidR="0024571E">
        <w:rPr>
          <w:noProof/>
        </w:rPr>
        <w:t>1</w:t>
      </w:r>
      <w:r w:rsidRPr="0084114C">
        <w:rPr>
          <w:noProof/>
        </w:rPr>
        <w:fldChar w:fldCharType="end"/>
      </w:r>
    </w:p>
    <w:p w14:paraId="21DBA72E" w14:textId="50A21AA4" w:rsidR="000E7385" w:rsidRPr="0084114C" w:rsidRDefault="000E7385">
      <w:pPr>
        <w:pStyle w:val="TOC5"/>
        <w:rPr>
          <w:rFonts w:asciiTheme="minorHAnsi" w:eastAsiaTheme="minorEastAsia" w:hAnsiTheme="minorHAnsi" w:cstheme="minorBidi"/>
          <w:noProof/>
          <w:kern w:val="0"/>
          <w:sz w:val="22"/>
          <w:szCs w:val="22"/>
        </w:rPr>
      </w:pPr>
      <w:r w:rsidRPr="0084114C">
        <w:rPr>
          <w:noProof/>
        </w:rPr>
        <w:t>3</w:t>
      </w:r>
      <w:r w:rsidRPr="0084114C">
        <w:rPr>
          <w:noProof/>
        </w:rPr>
        <w:tab/>
        <w:t>Authority</w:t>
      </w:r>
      <w:r w:rsidRPr="0084114C">
        <w:rPr>
          <w:noProof/>
        </w:rPr>
        <w:tab/>
      </w:r>
      <w:r w:rsidRPr="0084114C">
        <w:rPr>
          <w:noProof/>
        </w:rPr>
        <w:fldChar w:fldCharType="begin"/>
      </w:r>
      <w:r w:rsidRPr="0084114C">
        <w:rPr>
          <w:noProof/>
        </w:rPr>
        <w:instrText xml:space="preserve"> PAGEREF _Toc182829529 \h </w:instrText>
      </w:r>
      <w:r w:rsidRPr="0084114C">
        <w:rPr>
          <w:noProof/>
        </w:rPr>
      </w:r>
      <w:r w:rsidRPr="0084114C">
        <w:rPr>
          <w:noProof/>
        </w:rPr>
        <w:fldChar w:fldCharType="separate"/>
      </w:r>
      <w:r w:rsidR="0024571E">
        <w:rPr>
          <w:noProof/>
        </w:rPr>
        <w:t>1</w:t>
      </w:r>
      <w:r w:rsidRPr="0084114C">
        <w:rPr>
          <w:noProof/>
        </w:rPr>
        <w:fldChar w:fldCharType="end"/>
      </w:r>
    </w:p>
    <w:p w14:paraId="02A94510" w14:textId="6AB1C2A4" w:rsidR="000E7385" w:rsidRPr="0084114C" w:rsidRDefault="000E7385">
      <w:pPr>
        <w:pStyle w:val="TOC5"/>
        <w:rPr>
          <w:rFonts w:asciiTheme="minorHAnsi" w:eastAsiaTheme="minorEastAsia" w:hAnsiTheme="minorHAnsi" w:cstheme="minorBidi"/>
          <w:noProof/>
          <w:kern w:val="0"/>
          <w:sz w:val="22"/>
          <w:szCs w:val="22"/>
        </w:rPr>
      </w:pPr>
      <w:r w:rsidRPr="0084114C">
        <w:rPr>
          <w:noProof/>
        </w:rPr>
        <w:t>4</w:t>
      </w:r>
      <w:r w:rsidRPr="0084114C">
        <w:rPr>
          <w:noProof/>
        </w:rPr>
        <w:tab/>
        <w:t>Schedules</w:t>
      </w:r>
      <w:r w:rsidRPr="0084114C">
        <w:rPr>
          <w:noProof/>
        </w:rPr>
        <w:tab/>
      </w:r>
      <w:r w:rsidRPr="0084114C">
        <w:rPr>
          <w:noProof/>
        </w:rPr>
        <w:fldChar w:fldCharType="begin"/>
      </w:r>
      <w:r w:rsidRPr="0084114C">
        <w:rPr>
          <w:noProof/>
        </w:rPr>
        <w:instrText xml:space="preserve"> PAGEREF _Toc182829530 \h </w:instrText>
      </w:r>
      <w:r w:rsidRPr="0084114C">
        <w:rPr>
          <w:noProof/>
        </w:rPr>
      </w:r>
      <w:r w:rsidRPr="0084114C">
        <w:rPr>
          <w:noProof/>
        </w:rPr>
        <w:fldChar w:fldCharType="separate"/>
      </w:r>
      <w:r w:rsidR="0024571E">
        <w:rPr>
          <w:noProof/>
        </w:rPr>
        <w:t>1</w:t>
      </w:r>
      <w:r w:rsidRPr="0084114C">
        <w:rPr>
          <w:noProof/>
        </w:rPr>
        <w:fldChar w:fldCharType="end"/>
      </w:r>
    </w:p>
    <w:p w14:paraId="32CB36E1" w14:textId="49691A9B" w:rsidR="000E7385" w:rsidRPr="0084114C" w:rsidRDefault="000E7385">
      <w:pPr>
        <w:pStyle w:val="TOC6"/>
        <w:rPr>
          <w:rFonts w:asciiTheme="minorHAnsi" w:eastAsiaTheme="minorEastAsia" w:hAnsiTheme="minorHAnsi" w:cstheme="minorBidi"/>
          <w:b w:val="0"/>
          <w:noProof/>
          <w:kern w:val="0"/>
          <w:sz w:val="22"/>
          <w:szCs w:val="22"/>
        </w:rPr>
      </w:pPr>
      <w:r w:rsidRPr="0084114C">
        <w:rPr>
          <w:noProof/>
        </w:rPr>
        <w:t>Schedule 1—Amendments</w:t>
      </w:r>
      <w:r w:rsidRPr="0084114C">
        <w:rPr>
          <w:b w:val="0"/>
          <w:noProof/>
          <w:sz w:val="18"/>
        </w:rPr>
        <w:tab/>
      </w:r>
      <w:r w:rsidRPr="0084114C">
        <w:rPr>
          <w:b w:val="0"/>
          <w:noProof/>
          <w:sz w:val="18"/>
        </w:rPr>
        <w:fldChar w:fldCharType="begin"/>
      </w:r>
      <w:r w:rsidRPr="0084114C">
        <w:rPr>
          <w:b w:val="0"/>
          <w:noProof/>
          <w:sz w:val="18"/>
        </w:rPr>
        <w:instrText xml:space="preserve"> PAGEREF _Toc182829531 \h </w:instrText>
      </w:r>
      <w:r w:rsidRPr="0084114C">
        <w:rPr>
          <w:b w:val="0"/>
          <w:noProof/>
          <w:sz w:val="18"/>
        </w:rPr>
      </w:r>
      <w:r w:rsidRPr="0084114C">
        <w:rPr>
          <w:b w:val="0"/>
          <w:noProof/>
          <w:sz w:val="18"/>
        </w:rPr>
        <w:fldChar w:fldCharType="separate"/>
      </w:r>
      <w:r w:rsidR="0024571E">
        <w:rPr>
          <w:b w:val="0"/>
          <w:noProof/>
          <w:sz w:val="18"/>
        </w:rPr>
        <w:t>2</w:t>
      </w:r>
      <w:r w:rsidRPr="0084114C">
        <w:rPr>
          <w:b w:val="0"/>
          <w:noProof/>
          <w:sz w:val="18"/>
        </w:rPr>
        <w:fldChar w:fldCharType="end"/>
      </w:r>
    </w:p>
    <w:p w14:paraId="390514D5" w14:textId="75BA5C01" w:rsidR="000E7385" w:rsidRPr="0084114C" w:rsidRDefault="000E7385">
      <w:pPr>
        <w:pStyle w:val="TOC9"/>
        <w:rPr>
          <w:rFonts w:asciiTheme="minorHAnsi" w:eastAsiaTheme="minorEastAsia" w:hAnsiTheme="minorHAnsi" w:cstheme="minorBidi"/>
          <w:i w:val="0"/>
          <w:noProof/>
          <w:kern w:val="0"/>
          <w:sz w:val="22"/>
          <w:szCs w:val="22"/>
        </w:rPr>
      </w:pPr>
      <w:r w:rsidRPr="0084114C">
        <w:rPr>
          <w:noProof/>
        </w:rPr>
        <w:t xml:space="preserve">Corporations (Fees) </w:t>
      </w:r>
      <w:r w:rsidR="005B4F39">
        <w:rPr>
          <w:noProof/>
        </w:rPr>
        <w:t>Regulations 2</w:t>
      </w:r>
      <w:r w:rsidRPr="0084114C">
        <w:rPr>
          <w:noProof/>
        </w:rPr>
        <w:t>001</w:t>
      </w:r>
      <w:r w:rsidRPr="0084114C">
        <w:rPr>
          <w:i w:val="0"/>
          <w:noProof/>
          <w:sz w:val="18"/>
        </w:rPr>
        <w:tab/>
      </w:r>
      <w:r w:rsidRPr="0084114C">
        <w:rPr>
          <w:i w:val="0"/>
          <w:noProof/>
          <w:sz w:val="18"/>
        </w:rPr>
        <w:fldChar w:fldCharType="begin"/>
      </w:r>
      <w:r w:rsidRPr="0084114C">
        <w:rPr>
          <w:i w:val="0"/>
          <w:noProof/>
          <w:sz w:val="18"/>
        </w:rPr>
        <w:instrText xml:space="preserve"> PAGEREF _Toc182829532 \h </w:instrText>
      </w:r>
      <w:r w:rsidRPr="0084114C">
        <w:rPr>
          <w:i w:val="0"/>
          <w:noProof/>
          <w:sz w:val="18"/>
        </w:rPr>
      </w:r>
      <w:r w:rsidRPr="0084114C">
        <w:rPr>
          <w:i w:val="0"/>
          <w:noProof/>
          <w:sz w:val="18"/>
        </w:rPr>
        <w:fldChar w:fldCharType="separate"/>
      </w:r>
      <w:r w:rsidR="0024571E">
        <w:rPr>
          <w:i w:val="0"/>
          <w:noProof/>
          <w:sz w:val="18"/>
        </w:rPr>
        <w:t>2</w:t>
      </w:r>
      <w:r w:rsidRPr="0084114C">
        <w:rPr>
          <w:i w:val="0"/>
          <w:noProof/>
          <w:sz w:val="18"/>
        </w:rPr>
        <w:fldChar w:fldCharType="end"/>
      </w:r>
    </w:p>
    <w:p w14:paraId="12FCF79D" w14:textId="77777777" w:rsidR="0048364F" w:rsidRPr="0084114C" w:rsidRDefault="000E7385" w:rsidP="0048364F">
      <w:r w:rsidRPr="0084114C">
        <w:fldChar w:fldCharType="end"/>
      </w:r>
    </w:p>
    <w:p w14:paraId="0DB3F969" w14:textId="77777777" w:rsidR="0048364F" w:rsidRPr="0084114C" w:rsidRDefault="0048364F" w:rsidP="0048364F">
      <w:pPr>
        <w:sectPr w:rsidR="0048364F" w:rsidRPr="0084114C" w:rsidSect="003266DA">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4C73ED89" w14:textId="77777777" w:rsidR="0048364F" w:rsidRPr="0084114C" w:rsidRDefault="0048364F" w:rsidP="0048364F">
      <w:pPr>
        <w:pStyle w:val="ActHead5"/>
      </w:pPr>
      <w:bookmarkStart w:id="1" w:name="_Toc182829527"/>
      <w:proofErr w:type="gramStart"/>
      <w:r w:rsidRPr="00DE06C2">
        <w:rPr>
          <w:rStyle w:val="CharSectno"/>
        </w:rPr>
        <w:lastRenderedPageBreak/>
        <w:t>1</w:t>
      </w:r>
      <w:r w:rsidRPr="0084114C">
        <w:t xml:space="preserve">  </w:t>
      </w:r>
      <w:r w:rsidR="004F676E" w:rsidRPr="0084114C">
        <w:t>Name</w:t>
      </w:r>
      <w:bookmarkEnd w:id="1"/>
      <w:proofErr w:type="gramEnd"/>
    </w:p>
    <w:p w14:paraId="166C8A0C" w14:textId="77777777" w:rsidR="0048364F" w:rsidRPr="0084114C" w:rsidRDefault="0048364F" w:rsidP="0048364F">
      <w:pPr>
        <w:pStyle w:val="subsection"/>
      </w:pPr>
      <w:r w:rsidRPr="0084114C">
        <w:tab/>
      </w:r>
      <w:r w:rsidRPr="0084114C">
        <w:tab/>
      </w:r>
      <w:r w:rsidR="00793BAE" w:rsidRPr="0084114C">
        <w:t>This instrument is</w:t>
      </w:r>
      <w:r w:rsidRPr="0084114C">
        <w:t xml:space="preserve"> the </w:t>
      </w:r>
      <w:r w:rsidR="005B4F39">
        <w:rPr>
          <w:i/>
          <w:noProof/>
        </w:rPr>
        <w:t>Corporations (Fees) Amendment (Takeovers) Regulations 2024</w:t>
      </w:r>
      <w:r w:rsidRPr="0084114C">
        <w:t>.</w:t>
      </w:r>
    </w:p>
    <w:p w14:paraId="5CF8A9B3" w14:textId="77777777" w:rsidR="004F676E" w:rsidRPr="0084114C" w:rsidRDefault="0048364F" w:rsidP="005452CC">
      <w:pPr>
        <w:pStyle w:val="ActHead5"/>
      </w:pPr>
      <w:bookmarkStart w:id="2" w:name="_Toc182829528"/>
      <w:proofErr w:type="gramStart"/>
      <w:r w:rsidRPr="00DE06C2">
        <w:rPr>
          <w:rStyle w:val="CharSectno"/>
        </w:rPr>
        <w:t>2</w:t>
      </w:r>
      <w:r w:rsidRPr="0084114C">
        <w:t xml:space="preserve">  Commencement</w:t>
      </w:r>
      <w:bookmarkEnd w:id="2"/>
      <w:proofErr w:type="gramEnd"/>
    </w:p>
    <w:p w14:paraId="4A9332D6" w14:textId="77777777" w:rsidR="005452CC" w:rsidRPr="0084114C" w:rsidRDefault="005452CC" w:rsidP="00325576">
      <w:pPr>
        <w:pStyle w:val="subsection"/>
      </w:pPr>
      <w:r w:rsidRPr="0084114C">
        <w:tab/>
        <w:t>(1)</w:t>
      </w:r>
      <w:r w:rsidRPr="0084114C">
        <w:tab/>
        <w:t xml:space="preserve">Each provision of </w:t>
      </w:r>
      <w:r w:rsidR="00793BAE" w:rsidRPr="0084114C">
        <w:t>this instrument</w:t>
      </w:r>
      <w:r w:rsidRPr="0084114C">
        <w:t xml:space="preserve"> specified in column 1 of the table commences, or is taken to have commenced, in accordance with column 2 of the table. Any other statement in column 2 has effect according to its terms.</w:t>
      </w:r>
    </w:p>
    <w:p w14:paraId="0C120A6C" w14:textId="77777777" w:rsidR="005452CC" w:rsidRPr="0084114C" w:rsidRDefault="005452CC" w:rsidP="0032557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84114C" w14:paraId="7E25DE26" w14:textId="77777777" w:rsidTr="00AD7252">
        <w:trPr>
          <w:tblHeader/>
        </w:trPr>
        <w:tc>
          <w:tcPr>
            <w:tcW w:w="8364" w:type="dxa"/>
            <w:gridSpan w:val="3"/>
            <w:tcBorders>
              <w:top w:val="single" w:sz="12" w:space="0" w:color="auto"/>
              <w:bottom w:val="single" w:sz="6" w:space="0" w:color="auto"/>
            </w:tcBorders>
            <w:shd w:val="clear" w:color="auto" w:fill="auto"/>
            <w:hideMark/>
          </w:tcPr>
          <w:p w14:paraId="2B267A12" w14:textId="77777777" w:rsidR="005452CC" w:rsidRPr="0084114C" w:rsidRDefault="005452CC" w:rsidP="00325576">
            <w:pPr>
              <w:pStyle w:val="TableHeading"/>
            </w:pPr>
            <w:r w:rsidRPr="0084114C">
              <w:t>Commencement information</w:t>
            </w:r>
          </w:p>
        </w:tc>
      </w:tr>
      <w:tr w:rsidR="005452CC" w:rsidRPr="0084114C" w14:paraId="48BBC6AC" w14:textId="77777777" w:rsidTr="00AD7252">
        <w:trPr>
          <w:tblHeader/>
        </w:trPr>
        <w:tc>
          <w:tcPr>
            <w:tcW w:w="2127" w:type="dxa"/>
            <w:tcBorders>
              <w:top w:val="single" w:sz="6" w:space="0" w:color="auto"/>
              <w:bottom w:val="single" w:sz="6" w:space="0" w:color="auto"/>
            </w:tcBorders>
            <w:shd w:val="clear" w:color="auto" w:fill="auto"/>
            <w:hideMark/>
          </w:tcPr>
          <w:p w14:paraId="0DC8614D" w14:textId="77777777" w:rsidR="005452CC" w:rsidRPr="0084114C" w:rsidRDefault="005452CC" w:rsidP="00325576">
            <w:pPr>
              <w:pStyle w:val="TableHeading"/>
            </w:pPr>
            <w:r w:rsidRPr="0084114C">
              <w:t>Column 1</w:t>
            </w:r>
          </w:p>
        </w:tc>
        <w:tc>
          <w:tcPr>
            <w:tcW w:w="4394" w:type="dxa"/>
            <w:tcBorders>
              <w:top w:val="single" w:sz="6" w:space="0" w:color="auto"/>
              <w:bottom w:val="single" w:sz="6" w:space="0" w:color="auto"/>
            </w:tcBorders>
            <w:shd w:val="clear" w:color="auto" w:fill="auto"/>
            <w:hideMark/>
          </w:tcPr>
          <w:p w14:paraId="5B498670" w14:textId="77777777" w:rsidR="005452CC" w:rsidRPr="0084114C" w:rsidRDefault="005452CC" w:rsidP="00325576">
            <w:pPr>
              <w:pStyle w:val="TableHeading"/>
            </w:pPr>
            <w:r w:rsidRPr="0084114C">
              <w:t>Column 2</w:t>
            </w:r>
          </w:p>
        </w:tc>
        <w:tc>
          <w:tcPr>
            <w:tcW w:w="1843" w:type="dxa"/>
            <w:tcBorders>
              <w:top w:val="single" w:sz="6" w:space="0" w:color="auto"/>
              <w:bottom w:val="single" w:sz="6" w:space="0" w:color="auto"/>
            </w:tcBorders>
            <w:shd w:val="clear" w:color="auto" w:fill="auto"/>
            <w:hideMark/>
          </w:tcPr>
          <w:p w14:paraId="2EB74AC2" w14:textId="77777777" w:rsidR="005452CC" w:rsidRPr="0084114C" w:rsidRDefault="005452CC" w:rsidP="00325576">
            <w:pPr>
              <w:pStyle w:val="TableHeading"/>
            </w:pPr>
            <w:r w:rsidRPr="0084114C">
              <w:t>Column 3</w:t>
            </w:r>
          </w:p>
        </w:tc>
      </w:tr>
      <w:tr w:rsidR="005452CC" w:rsidRPr="0084114C" w14:paraId="78348630" w14:textId="77777777" w:rsidTr="00AD7252">
        <w:trPr>
          <w:tblHeader/>
        </w:trPr>
        <w:tc>
          <w:tcPr>
            <w:tcW w:w="2127" w:type="dxa"/>
            <w:tcBorders>
              <w:top w:val="single" w:sz="6" w:space="0" w:color="auto"/>
              <w:bottom w:val="single" w:sz="12" w:space="0" w:color="auto"/>
            </w:tcBorders>
            <w:shd w:val="clear" w:color="auto" w:fill="auto"/>
            <w:hideMark/>
          </w:tcPr>
          <w:p w14:paraId="66C19849" w14:textId="77777777" w:rsidR="005452CC" w:rsidRPr="0084114C" w:rsidRDefault="005452CC" w:rsidP="00325576">
            <w:pPr>
              <w:pStyle w:val="TableHeading"/>
            </w:pPr>
            <w:r w:rsidRPr="0084114C">
              <w:t>Provisions</w:t>
            </w:r>
          </w:p>
        </w:tc>
        <w:tc>
          <w:tcPr>
            <w:tcW w:w="4394" w:type="dxa"/>
            <w:tcBorders>
              <w:top w:val="single" w:sz="6" w:space="0" w:color="auto"/>
              <w:bottom w:val="single" w:sz="12" w:space="0" w:color="auto"/>
            </w:tcBorders>
            <w:shd w:val="clear" w:color="auto" w:fill="auto"/>
            <w:hideMark/>
          </w:tcPr>
          <w:p w14:paraId="2BFC26A0" w14:textId="77777777" w:rsidR="005452CC" w:rsidRPr="0084114C" w:rsidRDefault="005452CC" w:rsidP="00325576">
            <w:pPr>
              <w:pStyle w:val="TableHeading"/>
            </w:pPr>
            <w:r w:rsidRPr="0084114C">
              <w:t>Commencement</w:t>
            </w:r>
          </w:p>
        </w:tc>
        <w:tc>
          <w:tcPr>
            <w:tcW w:w="1843" w:type="dxa"/>
            <w:tcBorders>
              <w:top w:val="single" w:sz="6" w:space="0" w:color="auto"/>
              <w:bottom w:val="single" w:sz="12" w:space="0" w:color="auto"/>
            </w:tcBorders>
            <w:shd w:val="clear" w:color="auto" w:fill="auto"/>
            <w:hideMark/>
          </w:tcPr>
          <w:p w14:paraId="03629681" w14:textId="77777777" w:rsidR="005452CC" w:rsidRPr="0084114C" w:rsidRDefault="005452CC" w:rsidP="00325576">
            <w:pPr>
              <w:pStyle w:val="TableHeading"/>
            </w:pPr>
            <w:r w:rsidRPr="0084114C">
              <w:t>Date/Details</w:t>
            </w:r>
          </w:p>
        </w:tc>
      </w:tr>
      <w:tr w:rsidR="005452CC" w:rsidRPr="0084114C" w14:paraId="76614DFC" w14:textId="77777777" w:rsidTr="00AD7252">
        <w:tc>
          <w:tcPr>
            <w:tcW w:w="2127" w:type="dxa"/>
            <w:tcBorders>
              <w:top w:val="single" w:sz="12" w:space="0" w:color="auto"/>
              <w:bottom w:val="single" w:sz="12" w:space="0" w:color="auto"/>
            </w:tcBorders>
            <w:shd w:val="clear" w:color="auto" w:fill="auto"/>
            <w:hideMark/>
          </w:tcPr>
          <w:p w14:paraId="120CC98A" w14:textId="77777777" w:rsidR="005452CC" w:rsidRPr="0084114C" w:rsidRDefault="005452CC" w:rsidP="00AD7252">
            <w:pPr>
              <w:pStyle w:val="Tabletext"/>
            </w:pPr>
            <w:r w:rsidRPr="0084114C">
              <w:t xml:space="preserve">1.  </w:t>
            </w:r>
            <w:r w:rsidR="00AD7252" w:rsidRPr="0084114C">
              <w:t xml:space="preserve">The whole of </w:t>
            </w:r>
            <w:r w:rsidR="00793BAE" w:rsidRPr="0084114C">
              <w:t>this instrument</w:t>
            </w:r>
          </w:p>
        </w:tc>
        <w:tc>
          <w:tcPr>
            <w:tcW w:w="4394" w:type="dxa"/>
            <w:tcBorders>
              <w:top w:val="single" w:sz="12" w:space="0" w:color="auto"/>
              <w:bottom w:val="single" w:sz="12" w:space="0" w:color="auto"/>
            </w:tcBorders>
            <w:shd w:val="clear" w:color="auto" w:fill="auto"/>
            <w:hideMark/>
          </w:tcPr>
          <w:p w14:paraId="0F9C6E68" w14:textId="77777777" w:rsidR="005452CC" w:rsidRPr="0084114C" w:rsidRDefault="00212560" w:rsidP="005452CC">
            <w:pPr>
              <w:pStyle w:val="Tabletext"/>
            </w:pPr>
            <w:r w:rsidRPr="0084114C">
              <w:t>1 January</w:t>
            </w:r>
            <w:r w:rsidR="00793BAE" w:rsidRPr="0084114C">
              <w:t xml:space="preserve"> 2025.</w:t>
            </w:r>
          </w:p>
        </w:tc>
        <w:tc>
          <w:tcPr>
            <w:tcW w:w="1843" w:type="dxa"/>
            <w:tcBorders>
              <w:top w:val="single" w:sz="12" w:space="0" w:color="auto"/>
              <w:bottom w:val="single" w:sz="12" w:space="0" w:color="auto"/>
            </w:tcBorders>
            <w:shd w:val="clear" w:color="auto" w:fill="auto"/>
          </w:tcPr>
          <w:p w14:paraId="7F4432E4" w14:textId="77777777" w:rsidR="005452CC" w:rsidRPr="0084114C" w:rsidRDefault="00212560">
            <w:pPr>
              <w:pStyle w:val="Tabletext"/>
            </w:pPr>
            <w:r w:rsidRPr="0084114C">
              <w:t>1 January</w:t>
            </w:r>
            <w:r w:rsidR="00793BAE" w:rsidRPr="0084114C">
              <w:t xml:space="preserve"> 2025</w:t>
            </w:r>
          </w:p>
        </w:tc>
      </w:tr>
    </w:tbl>
    <w:p w14:paraId="0DF9B1D0" w14:textId="77777777" w:rsidR="005452CC" w:rsidRPr="0084114C" w:rsidRDefault="005452CC" w:rsidP="00325576">
      <w:pPr>
        <w:pStyle w:val="notetext"/>
      </w:pPr>
      <w:r w:rsidRPr="0084114C">
        <w:rPr>
          <w:snapToGrid w:val="0"/>
          <w:lang w:eastAsia="en-US"/>
        </w:rPr>
        <w:t>Note:</w:t>
      </w:r>
      <w:r w:rsidRPr="0084114C">
        <w:rPr>
          <w:snapToGrid w:val="0"/>
          <w:lang w:eastAsia="en-US"/>
        </w:rPr>
        <w:tab/>
        <w:t xml:space="preserve">This table relates only to the provisions of </w:t>
      </w:r>
      <w:r w:rsidR="00793BAE" w:rsidRPr="0084114C">
        <w:rPr>
          <w:snapToGrid w:val="0"/>
          <w:lang w:eastAsia="en-US"/>
        </w:rPr>
        <w:t>this instrument</w:t>
      </w:r>
      <w:r w:rsidRPr="0084114C">
        <w:t xml:space="preserve"> </w:t>
      </w:r>
      <w:r w:rsidRPr="0084114C">
        <w:rPr>
          <w:snapToGrid w:val="0"/>
          <w:lang w:eastAsia="en-US"/>
        </w:rPr>
        <w:t xml:space="preserve">as originally made. It will not be amended to deal with any later amendments of </w:t>
      </w:r>
      <w:r w:rsidR="00793BAE" w:rsidRPr="0084114C">
        <w:rPr>
          <w:snapToGrid w:val="0"/>
          <w:lang w:eastAsia="en-US"/>
        </w:rPr>
        <w:t>this instrument</w:t>
      </w:r>
      <w:r w:rsidRPr="0084114C">
        <w:rPr>
          <w:snapToGrid w:val="0"/>
          <w:lang w:eastAsia="en-US"/>
        </w:rPr>
        <w:t>.</w:t>
      </w:r>
    </w:p>
    <w:p w14:paraId="3F273661" w14:textId="77777777" w:rsidR="005452CC" w:rsidRPr="0084114C" w:rsidRDefault="005452CC" w:rsidP="004F676E">
      <w:pPr>
        <w:pStyle w:val="subsection"/>
      </w:pPr>
      <w:r w:rsidRPr="0084114C">
        <w:tab/>
        <w:t>(2)</w:t>
      </w:r>
      <w:r w:rsidRPr="0084114C">
        <w:tab/>
        <w:t xml:space="preserve">Any information in column 3 of the table is not part of </w:t>
      </w:r>
      <w:r w:rsidR="00793BAE" w:rsidRPr="0084114C">
        <w:t>this instrument</w:t>
      </w:r>
      <w:r w:rsidRPr="0084114C">
        <w:t xml:space="preserve">. Information may be inserted in this column, or information in it may be edited, in any published version of </w:t>
      </w:r>
      <w:r w:rsidR="00793BAE" w:rsidRPr="0084114C">
        <w:t>this instrument</w:t>
      </w:r>
      <w:r w:rsidRPr="0084114C">
        <w:t>.</w:t>
      </w:r>
    </w:p>
    <w:p w14:paraId="5E5DFB75" w14:textId="77777777" w:rsidR="00BF6650" w:rsidRPr="0084114C" w:rsidRDefault="00BF6650" w:rsidP="00BF6650">
      <w:pPr>
        <w:pStyle w:val="ActHead5"/>
      </w:pPr>
      <w:bookmarkStart w:id="3" w:name="_Toc182829529"/>
      <w:proofErr w:type="gramStart"/>
      <w:r w:rsidRPr="00DE06C2">
        <w:rPr>
          <w:rStyle w:val="CharSectno"/>
        </w:rPr>
        <w:t>3</w:t>
      </w:r>
      <w:r w:rsidRPr="0084114C">
        <w:t xml:space="preserve">  Authority</w:t>
      </w:r>
      <w:bookmarkEnd w:id="3"/>
      <w:proofErr w:type="gramEnd"/>
    </w:p>
    <w:p w14:paraId="568497A3" w14:textId="77777777" w:rsidR="00BF6650" w:rsidRPr="0084114C" w:rsidRDefault="00BF6650" w:rsidP="00BF6650">
      <w:pPr>
        <w:pStyle w:val="subsection"/>
      </w:pPr>
      <w:r w:rsidRPr="0084114C">
        <w:tab/>
      </w:r>
      <w:r w:rsidRPr="0084114C">
        <w:tab/>
      </w:r>
      <w:r w:rsidR="00793BAE" w:rsidRPr="0084114C">
        <w:t>This instrument is</w:t>
      </w:r>
      <w:r w:rsidRPr="0084114C">
        <w:t xml:space="preserve"> made under the</w:t>
      </w:r>
      <w:r w:rsidR="00793BAE" w:rsidRPr="0084114C">
        <w:t xml:space="preserve"> </w:t>
      </w:r>
      <w:r w:rsidR="00793BAE" w:rsidRPr="0084114C">
        <w:rPr>
          <w:i/>
        </w:rPr>
        <w:t>Corporations (Fees) Act 2001</w:t>
      </w:r>
      <w:r w:rsidR="00546FA3" w:rsidRPr="0084114C">
        <w:t>.</w:t>
      </w:r>
    </w:p>
    <w:p w14:paraId="37BA23C7" w14:textId="77777777" w:rsidR="00557C7A" w:rsidRPr="0084114C" w:rsidRDefault="00BF6650" w:rsidP="00557C7A">
      <w:pPr>
        <w:pStyle w:val="ActHead5"/>
      </w:pPr>
      <w:bookmarkStart w:id="4" w:name="_Toc182829530"/>
      <w:proofErr w:type="gramStart"/>
      <w:r w:rsidRPr="00DE06C2">
        <w:rPr>
          <w:rStyle w:val="CharSectno"/>
        </w:rPr>
        <w:t>4</w:t>
      </w:r>
      <w:r w:rsidR="00557C7A" w:rsidRPr="0084114C">
        <w:t xml:space="preserve">  </w:t>
      </w:r>
      <w:r w:rsidR="00083F48" w:rsidRPr="0084114C">
        <w:t>Schedules</w:t>
      </w:r>
      <w:bookmarkEnd w:id="4"/>
      <w:proofErr w:type="gramEnd"/>
    </w:p>
    <w:p w14:paraId="7AFB61C8" w14:textId="77777777" w:rsidR="00557C7A" w:rsidRPr="0084114C" w:rsidRDefault="00557C7A" w:rsidP="00557C7A">
      <w:pPr>
        <w:pStyle w:val="subsection"/>
      </w:pPr>
      <w:r w:rsidRPr="0084114C">
        <w:tab/>
      </w:r>
      <w:r w:rsidRPr="0084114C">
        <w:tab/>
      </w:r>
      <w:r w:rsidR="00083F48" w:rsidRPr="0084114C">
        <w:t xml:space="preserve">Each </w:t>
      </w:r>
      <w:r w:rsidR="00160BD7" w:rsidRPr="0084114C">
        <w:t>instrument</w:t>
      </w:r>
      <w:r w:rsidR="00083F48" w:rsidRPr="0084114C">
        <w:t xml:space="preserve"> that is specified in a Schedule to </w:t>
      </w:r>
      <w:r w:rsidR="00793BAE" w:rsidRPr="0084114C">
        <w:t>this instrument</w:t>
      </w:r>
      <w:r w:rsidR="00083F48" w:rsidRPr="0084114C">
        <w:t xml:space="preserve"> is amended or repealed as set out in the applicable items in the Schedule concerned, and any other item in a Schedule to </w:t>
      </w:r>
      <w:r w:rsidR="00793BAE" w:rsidRPr="0084114C">
        <w:t>this instrument</w:t>
      </w:r>
      <w:r w:rsidR="00083F48" w:rsidRPr="0084114C">
        <w:t xml:space="preserve"> has effect according to its terms.</w:t>
      </w:r>
    </w:p>
    <w:p w14:paraId="18E3235B" w14:textId="77777777" w:rsidR="00685188" w:rsidRPr="0084114C" w:rsidRDefault="00212560" w:rsidP="00685188">
      <w:pPr>
        <w:pStyle w:val="ActHead6"/>
        <w:pageBreakBefore/>
      </w:pPr>
      <w:bookmarkStart w:id="5" w:name="_Toc182829531"/>
      <w:r w:rsidRPr="00DE06C2">
        <w:rPr>
          <w:rStyle w:val="CharAmSchNo"/>
        </w:rPr>
        <w:lastRenderedPageBreak/>
        <w:t>Schedule 1</w:t>
      </w:r>
      <w:r w:rsidR="00685188" w:rsidRPr="0084114C">
        <w:t>—</w:t>
      </w:r>
      <w:r w:rsidR="00685188" w:rsidRPr="00DE06C2">
        <w:rPr>
          <w:rStyle w:val="CharAmSchText"/>
        </w:rPr>
        <w:t>Amendments</w:t>
      </w:r>
      <w:bookmarkEnd w:id="5"/>
    </w:p>
    <w:p w14:paraId="5CD00A89" w14:textId="77777777" w:rsidR="00685188" w:rsidRPr="00DE06C2" w:rsidRDefault="00685188" w:rsidP="00685188">
      <w:pPr>
        <w:pStyle w:val="Header"/>
      </w:pPr>
      <w:r w:rsidRPr="00DE06C2">
        <w:rPr>
          <w:rStyle w:val="CharAmPartNo"/>
        </w:rPr>
        <w:t xml:space="preserve"> </w:t>
      </w:r>
      <w:r w:rsidRPr="00DE06C2">
        <w:rPr>
          <w:rStyle w:val="CharAmPartText"/>
        </w:rPr>
        <w:t xml:space="preserve"> </w:t>
      </w:r>
    </w:p>
    <w:p w14:paraId="3431179E" w14:textId="77777777" w:rsidR="00685188" w:rsidRPr="0084114C" w:rsidRDefault="00685188" w:rsidP="00685188">
      <w:pPr>
        <w:pStyle w:val="ActHead9"/>
      </w:pPr>
      <w:bookmarkStart w:id="6" w:name="_Toc182829532"/>
      <w:bookmarkStart w:id="7" w:name="_Hlk181026886"/>
      <w:r w:rsidRPr="0084114C">
        <w:t xml:space="preserve">Corporations (Fees) </w:t>
      </w:r>
      <w:r w:rsidR="005B4F39">
        <w:t>Regulations 2</w:t>
      </w:r>
      <w:r w:rsidRPr="0084114C">
        <w:t>001</w:t>
      </w:r>
      <w:bookmarkEnd w:id="6"/>
    </w:p>
    <w:bookmarkEnd w:id="7"/>
    <w:p w14:paraId="5A63C6D0" w14:textId="77777777" w:rsidR="00685188" w:rsidRPr="0084114C" w:rsidRDefault="00685188" w:rsidP="00685188">
      <w:pPr>
        <w:pStyle w:val="ItemHead"/>
      </w:pPr>
      <w:proofErr w:type="gramStart"/>
      <w:r w:rsidRPr="0084114C">
        <w:t>1  Regulation</w:t>
      </w:r>
      <w:proofErr w:type="gramEnd"/>
      <w:r w:rsidRPr="0084114C">
        <w:t> 1B</w:t>
      </w:r>
    </w:p>
    <w:p w14:paraId="40CEFF2A" w14:textId="77777777" w:rsidR="00685188" w:rsidRPr="0084114C" w:rsidRDefault="00685188" w:rsidP="00685188">
      <w:pPr>
        <w:pStyle w:val="Item"/>
      </w:pPr>
      <w:r w:rsidRPr="0084114C">
        <w:t>Insert:</w:t>
      </w:r>
    </w:p>
    <w:p w14:paraId="601FD3C9" w14:textId="77777777" w:rsidR="008365EF" w:rsidRPr="0084114C" w:rsidRDefault="00685188" w:rsidP="00685188">
      <w:pPr>
        <w:pStyle w:val="Definition"/>
      </w:pPr>
      <w:r w:rsidRPr="0084114C">
        <w:rPr>
          <w:b/>
          <w:i/>
        </w:rPr>
        <w:t>control transaction</w:t>
      </w:r>
      <w:r w:rsidR="006521C5" w:rsidRPr="0084114C">
        <w:t xml:space="preserve"> has the meaning given by </w:t>
      </w:r>
      <w:r w:rsidR="001419A8" w:rsidRPr="0084114C">
        <w:t>regulation 4</w:t>
      </w:r>
      <w:r w:rsidR="006521C5" w:rsidRPr="0084114C">
        <w:t>B.</w:t>
      </w:r>
    </w:p>
    <w:p w14:paraId="400CA494" w14:textId="77777777" w:rsidR="00685188" w:rsidRPr="0084114C" w:rsidRDefault="001419A8" w:rsidP="00685188">
      <w:pPr>
        <w:pStyle w:val="Definition"/>
        <w:rPr>
          <w:b/>
          <w:i/>
        </w:rPr>
      </w:pPr>
      <w:r w:rsidRPr="0084114C">
        <w:rPr>
          <w:b/>
          <w:i/>
        </w:rPr>
        <w:t>Part 5</w:t>
      </w:r>
      <w:r w:rsidR="00685188" w:rsidRPr="0084114C">
        <w:rPr>
          <w:b/>
          <w:i/>
        </w:rPr>
        <w:t>.1 arrangement</w:t>
      </w:r>
      <w:r w:rsidR="00685188" w:rsidRPr="0084114C">
        <w:t xml:space="preserve"> has the meaning given by </w:t>
      </w:r>
      <w:proofErr w:type="spellStart"/>
      <w:r w:rsidR="001F6DAD" w:rsidRPr="0084114C">
        <w:t>sub</w:t>
      </w:r>
      <w:r w:rsidRPr="0084114C">
        <w:t>regulation</w:t>
      </w:r>
      <w:proofErr w:type="spellEnd"/>
      <w:r w:rsidRPr="0084114C">
        <w:t> 4</w:t>
      </w:r>
      <w:r w:rsidR="00685188" w:rsidRPr="0084114C">
        <w:t>(2).</w:t>
      </w:r>
    </w:p>
    <w:p w14:paraId="4012A472" w14:textId="77777777" w:rsidR="00341DCF" w:rsidRPr="0084114C" w:rsidRDefault="001419A8" w:rsidP="00341DCF">
      <w:pPr>
        <w:pStyle w:val="Definition"/>
      </w:pPr>
      <w:r w:rsidRPr="0084114C">
        <w:rPr>
          <w:b/>
          <w:i/>
        </w:rPr>
        <w:t>regulation 4</w:t>
      </w:r>
      <w:r w:rsidR="00D758FE" w:rsidRPr="0084114C">
        <w:rPr>
          <w:b/>
          <w:i/>
        </w:rPr>
        <w:t xml:space="preserve"> body</w:t>
      </w:r>
      <w:r w:rsidR="00341DCF" w:rsidRPr="0084114C">
        <w:t xml:space="preserve"> has the meaning given by </w:t>
      </w:r>
      <w:proofErr w:type="spellStart"/>
      <w:r w:rsidR="001F6DAD" w:rsidRPr="0084114C">
        <w:t>sub</w:t>
      </w:r>
      <w:r w:rsidRPr="0084114C">
        <w:t>regulation</w:t>
      </w:r>
      <w:proofErr w:type="spellEnd"/>
      <w:r w:rsidRPr="0084114C">
        <w:t> 4</w:t>
      </w:r>
      <w:r w:rsidR="00341DCF" w:rsidRPr="0084114C">
        <w:t>(</w:t>
      </w:r>
      <w:r w:rsidR="0021702C" w:rsidRPr="0084114C">
        <w:t>3</w:t>
      </w:r>
      <w:r w:rsidR="00341DCF" w:rsidRPr="0084114C">
        <w:t>).</w:t>
      </w:r>
    </w:p>
    <w:p w14:paraId="263B8BB9" w14:textId="77777777" w:rsidR="00685188" w:rsidRPr="0084114C" w:rsidRDefault="00685188" w:rsidP="00685188">
      <w:pPr>
        <w:pStyle w:val="Definition"/>
      </w:pPr>
      <w:r w:rsidRPr="0084114C">
        <w:rPr>
          <w:b/>
          <w:i/>
        </w:rPr>
        <w:t>threshold value</w:t>
      </w:r>
      <w:r w:rsidRPr="0084114C">
        <w:t>:</w:t>
      </w:r>
    </w:p>
    <w:p w14:paraId="556BF7AC" w14:textId="77777777" w:rsidR="00685188" w:rsidRPr="0084114C" w:rsidRDefault="00685188" w:rsidP="00685188">
      <w:pPr>
        <w:pStyle w:val="paragraph"/>
      </w:pPr>
      <w:r w:rsidRPr="0084114C">
        <w:tab/>
        <w:t>(a)</w:t>
      </w:r>
      <w:r w:rsidRPr="0084114C">
        <w:tab/>
      </w:r>
      <w:r w:rsidR="0098259E" w:rsidRPr="0084114C">
        <w:t xml:space="preserve">for a lodgement </w:t>
      </w:r>
      <w:r w:rsidR="00116FD4" w:rsidRPr="0084114C">
        <w:t xml:space="preserve">under </w:t>
      </w:r>
      <w:r w:rsidR="001419A8" w:rsidRPr="0084114C">
        <w:t>subsection 4</w:t>
      </w:r>
      <w:r w:rsidR="00116FD4" w:rsidRPr="0084114C">
        <w:t xml:space="preserve">11(10) </w:t>
      </w:r>
      <w:r w:rsidR="00C11CC8" w:rsidRPr="0084114C">
        <w:t>or 601</w:t>
      </w:r>
      <w:proofErr w:type="gramStart"/>
      <w:r w:rsidR="00C11CC8" w:rsidRPr="0084114C">
        <w:t>GC(</w:t>
      </w:r>
      <w:proofErr w:type="gramEnd"/>
      <w:r w:rsidR="00C11CC8" w:rsidRPr="0084114C">
        <w:t xml:space="preserve">2) </w:t>
      </w:r>
      <w:r w:rsidR="00116FD4" w:rsidRPr="0084114C">
        <w:t>of the Corporations Act</w:t>
      </w:r>
      <w:r w:rsidRPr="0084114C">
        <w:t xml:space="preserve">—has the meaning given by </w:t>
      </w:r>
      <w:r w:rsidR="001419A8" w:rsidRPr="0084114C">
        <w:t>regulation 4</w:t>
      </w:r>
      <w:r w:rsidR="00466F71" w:rsidRPr="0084114C">
        <w:t>C</w:t>
      </w:r>
      <w:r w:rsidR="00B12F15" w:rsidRPr="0084114C">
        <w:t xml:space="preserve"> of these Regulations</w:t>
      </w:r>
      <w:r w:rsidRPr="0084114C">
        <w:t>; and</w:t>
      </w:r>
    </w:p>
    <w:p w14:paraId="2A09558E" w14:textId="77777777" w:rsidR="00685188" w:rsidRPr="0084114C" w:rsidRDefault="00685188" w:rsidP="00730C2B">
      <w:pPr>
        <w:pStyle w:val="paragraph"/>
      </w:pPr>
      <w:r w:rsidRPr="0084114C">
        <w:tab/>
        <w:t>(</w:t>
      </w:r>
      <w:r w:rsidR="00C11CC8" w:rsidRPr="0084114C">
        <w:t>b</w:t>
      </w:r>
      <w:r w:rsidRPr="0084114C">
        <w:t>)</w:t>
      </w:r>
      <w:r w:rsidRPr="0084114C">
        <w:tab/>
      </w:r>
      <w:r w:rsidR="0098259E" w:rsidRPr="0084114C">
        <w:t xml:space="preserve">for a lodgement </w:t>
      </w:r>
      <w:r w:rsidR="00730C2B" w:rsidRPr="0084114C">
        <w:t>under paragraph 661B(1)(b) or 662B(1)(b) of the Corporations Act</w:t>
      </w:r>
      <w:r w:rsidRPr="0084114C">
        <w:t xml:space="preserve">—has the meaning given by </w:t>
      </w:r>
      <w:r w:rsidR="001419A8" w:rsidRPr="0084114C">
        <w:t>regulation 4</w:t>
      </w:r>
      <w:r w:rsidR="00090798" w:rsidRPr="0084114C">
        <w:t>F</w:t>
      </w:r>
      <w:r w:rsidR="00B12F15" w:rsidRPr="0084114C">
        <w:t xml:space="preserve"> of these Regulations</w:t>
      </w:r>
      <w:r w:rsidRPr="0084114C">
        <w:t>.</w:t>
      </w:r>
    </w:p>
    <w:p w14:paraId="4323FAC8" w14:textId="77777777" w:rsidR="00685188" w:rsidRPr="0084114C" w:rsidRDefault="00685188" w:rsidP="00685188">
      <w:pPr>
        <w:pStyle w:val="ItemHead"/>
      </w:pPr>
      <w:proofErr w:type="gramStart"/>
      <w:r w:rsidRPr="0084114C">
        <w:t>2  Before</w:t>
      </w:r>
      <w:proofErr w:type="gramEnd"/>
      <w:r w:rsidRPr="0084114C">
        <w:t xml:space="preserve"> regulation 3</w:t>
      </w:r>
    </w:p>
    <w:p w14:paraId="5658AE76" w14:textId="77777777" w:rsidR="00685188" w:rsidRPr="0084114C" w:rsidRDefault="00685188" w:rsidP="00685188">
      <w:pPr>
        <w:pStyle w:val="Item"/>
      </w:pPr>
      <w:r w:rsidRPr="0084114C">
        <w:t>Insert:</w:t>
      </w:r>
    </w:p>
    <w:p w14:paraId="2329BC9C" w14:textId="77777777" w:rsidR="00685188" w:rsidRPr="0084114C" w:rsidRDefault="001F6DAD" w:rsidP="00685188">
      <w:pPr>
        <w:pStyle w:val="ActHead3"/>
      </w:pPr>
      <w:bookmarkStart w:id="8" w:name="_Toc182829533"/>
      <w:r w:rsidRPr="00DE06C2">
        <w:rPr>
          <w:rStyle w:val="CharDivNo"/>
        </w:rPr>
        <w:t>Division 1</w:t>
      </w:r>
      <w:r w:rsidR="00685188" w:rsidRPr="0084114C">
        <w:t>—</w:t>
      </w:r>
      <w:r w:rsidR="00685188" w:rsidRPr="00DE06C2">
        <w:rPr>
          <w:rStyle w:val="CharDivText"/>
        </w:rPr>
        <w:t>Schedules 1 and 2</w:t>
      </w:r>
      <w:bookmarkEnd w:id="8"/>
    </w:p>
    <w:p w14:paraId="13357B0D" w14:textId="77777777" w:rsidR="00685188" w:rsidRPr="0084114C" w:rsidRDefault="00685188" w:rsidP="00685188">
      <w:pPr>
        <w:pStyle w:val="ItemHead"/>
      </w:pPr>
      <w:proofErr w:type="gramStart"/>
      <w:r w:rsidRPr="0084114C">
        <w:t>3  Regulation</w:t>
      </w:r>
      <w:proofErr w:type="gramEnd"/>
      <w:r w:rsidRPr="0084114C">
        <w:t> 3 (heading)</w:t>
      </w:r>
    </w:p>
    <w:p w14:paraId="05BE550D" w14:textId="77777777" w:rsidR="00685188" w:rsidRPr="0084114C" w:rsidRDefault="00685188" w:rsidP="00685188">
      <w:pPr>
        <w:pStyle w:val="Item"/>
      </w:pPr>
      <w:r w:rsidRPr="0084114C">
        <w:t xml:space="preserve">Omit </w:t>
      </w:r>
      <w:r w:rsidR="00CC34B5" w:rsidRPr="0084114C">
        <w:t>“</w:t>
      </w:r>
      <w:r w:rsidRPr="0084114C">
        <w:rPr>
          <w:b/>
        </w:rPr>
        <w:t>Prescribed fees—</w:t>
      </w:r>
      <w:r w:rsidR="00CC34B5" w:rsidRPr="0084114C">
        <w:t>”</w:t>
      </w:r>
      <w:r w:rsidRPr="0084114C">
        <w:t>.</w:t>
      </w:r>
    </w:p>
    <w:p w14:paraId="71D19775" w14:textId="77777777" w:rsidR="00685188" w:rsidRPr="0084114C" w:rsidRDefault="00685188" w:rsidP="00685188">
      <w:pPr>
        <w:pStyle w:val="ItemHead"/>
      </w:pPr>
      <w:proofErr w:type="gramStart"/>
      <w:r w:rsidRPr="0084114C">
        <w:t xml:space="preserve">4  </w:t>
      </w:r>
      <w:proofErr w:type="spellStart"/>
      <w:r w:rsidRPr="0084114C">
        <w:t>Subregulation</w:t>
      </w:r>
      <w:proofErr w:type="spellEnd"/>
      <w:proofErr w:type="gramEnd"/>
      <w:r w:rsidRPr="0084114C">
        <w:t> 3(1) (note)</w:t>
      </w:r>
    </w:p>
    <w:p w14:paraId="10AC4524" w14:textId="77777777" w:rsidR="00685188" w:rsidRPr="0084114C" w:rsidRDefault="00685188" w:rsidP="00685188">
      <w:pPr>
        <w:pStyle w:val="Item"/>
      </w:pPr>
      <w:r w:rsidRPr="0084114C">
        <w:t xml:space="preserve">Omit </w:t>
      </w:r>
      <w:r w:rsidR="00CC34B5" w:rsidRPr="0084114C">
        <w:t>“</w:t>
      </w:r>
      <w:r w:rsidRPr="0084114C">
        <w:t>regulations 5, 6, 9A and 9B</w:t>
      </w:r>
      <w:r w:rsidR="00CC34B5" w:rsidRPr="0084114C">
        <w:t>”</w:t>
      </w:r>
      <w:r w:rsidRPr="0084114C">
        <w:t xml:space="preserve">, substitute </w:t>
      </w:r>
      <w:r w:rsidR="00CC34B5" w:rsidRPr="0084114C">
        <w:t>“</w:t>
      </w:r>
      <w:r w:rsidRPr="0084114C">
        <w:t>Divisions 2 and 3 of this Part</w:t>
      </w:r>
      <w:r w:rsidR="00CC34B5" w:rsidRPr="0084114C">
        <w:t>”</w:t>
      </w:r>
      <w:r w:rsidRPr="0084114C">
        <w:t>.</w:t>
      </w:r>
    </w:p>
    <w:p w14:paraId="3BE51D44" w14:textId="77777777" w:rsidR="00685188" w:rsidRPr="0084114C" w:rsidRDefault="00685188" w:rsidP="00685188">
      <w:pPr>
        <w:pStyle w:val="ItemHead"/>
      </w:pPr>
      <w:proofErr w:type="gramStart"/>
      <w:r w:rsidRPr="0084114C">
        <w:t>5  After</w:t>
      </w:r>
      <w:proofErr w:type="gramEnd"/>
      <w:r w:rsidRPr="0084114C">
        <w:t xml:space="preserve"> regulation 3</w:t>
      </w:r>
    </w:p>
    <w:p w14:paraId="5FA09377" w14:textId="77777777" w:rsidR="00685188" w:rsidRPr="0084114C" w:rsidRDefault="00685188" w:rsidP="00685188">
      <w:pPr>
        <w:pStyle w:val="Item"/>
      </w:pPr>
      <w:r w:rsidRPr="0084114C">
        <w:t>Insert:</w:t>
      </w:r>
    </w:p>
    <w:p w14:paraId="2E462D4C" w14:textId="77777777" w:rsidR="00685188" w:rsidRPr="0084114C" w:rsidRDefault="00685188" w:rsidP="00685188">
      <w:pPr>
        <w:pStyle w:val="ActHead3"/>
      </w:pPr>
      <w:bookmarkStart w:id="9" w:name="_Toc182829534"/>
      <w:r w:rsidRPr="00DE06C2">
        <w:rPr>
          <w:rStyle w:val="CharDivNo"/>
        </w:rPr>
        <w:t>Division 2</w:t>
      </w:r>
      <w:r w:rsidRPr="0084114C">
        <w:t>—</w:t>
      </w:r>
      <w:r w:rsidRPr="00DE06C2">
        <w:rPr>
          <w:rStyle w:val="CharDivText"/>
        </w:rPr>
        <w:t xml:space="preserve">Fees relating to certain </w:t>
      </w:r>
      <w:r w:rsidR="001419A8" w:rsidRPr="00DE06C2">
        <w:rPr>
          <w:rStyle w:val="CharDivText"/>
        </w:rPr>
        <w:t>Part 5</w:t>
      </w:r>
      <w:r w:rsidRPr="00DE06C2">
        <w:rPr>
          <w:rStyle w:val="CharDivText"/>
        </w:rPr>
        <w:t xml:space="preserve">.1 arrangements, trust schemes and takeover </w:t>
      </w:r>
      <w:proofErr w:type="gramStart"/>
      <w:r w:rsidRPr="00DE06C2">
        <w:rPr>
          <w:rStyle w:val="CharDivText"/>
        </w:rPr>
        <w:t>bids</w:t>
      </w:r>
      <w:bookmarkEnd w:id="9"/>
      <w:proofErr w:type="gramEnd"/>
    </w:p>
    <w:p w14:paraId="55449A1E" w14:textId="77777777" w:rsidR="00685188" w:rsidRPr="0084114C" w:rsidRDefault="00685188" w:rsidP="00685188">
      <w:pPr>
        <w:pStyle w:val="ActHead4"/>
      </w:pPr>
      <w:bookmarkStart w:id="10" w:name="_Toc182829535"/>
      <w:r w:rsidRPr="00DE06C2">
        <w:rPr>
          <w:rStyle w:val="CharSubdNo"/>
        </w:rPr>
        <w:t>Subdivision A</w:t>
      </w:r>
      <w:r w:rsidRPr="0084114C">
        <w:t>—</w:t>
      </w:r>
      <w:r w:rsidR="001419A8" w:rsidRPr="00DE06C2">
        <w:rPr>
          <w:rStyle w:val="CharSubdText"/>
        </w:rPr>
        <w:t>Part 5</w:t>
      </w:r>
      <w:r w:rsidRPr="00DE06C2">
        <w:rPr>
          <w:rStyle w:val="CharSubdText"/>
        </w:rPr>
        <w:t>.1 arrangements</w:t>
      </w:r>
      <w:bookmarkEnd w:id="10"/>
    </w:p>
    <w:p w14:paraId="43D9651D" w14:textId="77777777" w:rsidR="004C2E3A" w:rsidRPr="0084114C" w:rsidRDefault="004C2E3A" w:rsidP="004C2E3A">
      <w:pPr>
        <w:pStyle w:val="ActHead5"/>
      </w:pPr>
      <w:proofErr w:type="gramStart"/>
      <w:r w:rsidRPr="00DE06C2">
        <w:rPr>
          <w:rStyle w:val="CharSectno"/>
        </w:rPr>
        <w:t>4</w:t>
      </w:r>
      <w:r w:rsidRPr="0084114C">
        <w:t xml:space="preserve">  </w:t>
      </w:r>
      <w:r w:rsidR="00EA08B1" w:rsidRPr="0084114C">
        <w:t>Fee</w:t>
      </w:r>
      <w:proofErr w:type="gramEnd"/>
      <w:r w:rsidR="001705A7" w:rsidRPr="0084114C">
        <w:t>—</w:t>
      </w:r>
      <w:r w:rsidR="001419A8" w:rsidRPr="0084114C">
        <w:t>Part 5</w:t>
      </w:r>
      <w:r w:rsidR="001705A7" w:rsidRPr="0084114C">
        <w:t>.1 arrangements</w:t>
      </w:r>
    </w:p>
    <w:p w14:paraId="0608D8D0" w14:textId="77777777" w:rsidR="004C2E3A" w:rsidRPr="0084114C" w:rsidRDefault="004C2E3A" w:rsidP="004C2E3A">
      <w:pPr>
        <w:pStyle w:val="subsection"/>
      </w:pPr>
      <w:r w:rsidRPr="0084114C">
        <w:tab/>
        <w:t>(1)</w:t>
      </w:r>
      <w:r w:rsidRPr="0084114C">
        <w:tab/>
        <w:t xml:space="preserve">For the purposes of section 5 of the Act, and subject to </w:t>
      </w:r>
      <w:r w:rsidR="001419A8" w:rsidRPr="0084114C">
        <w:t>regulation 4</w:t>
      </w:r>
      <w:r w:rsidR="00090798" w:rsidRPr="0084114C">
        <w:t>H</w:t>
      </w:r>
      <w:r w:rsidRPr="0084114C">
        <w:t xml:space="preserve"> of these Regulations, the fee set out in </w:t>
      </w:r>
      <w:proofErr w:type="spellStart"/>
      <w:r w:rsidRPr="0084114C">
        <w:t>subregulation</w:t>
      </w:r>
      <w:proofErr w:type="spellEnd"/>
      <w:r w:rsidRPr="0084114C">
        <w:t xml:space="preserve"> (4) of this regulation is prescribed for lodging under </w:t>
      </w:r>
      <w:r w:rsidR="001419A8" w:rsidRPr="0084114C">
        <w:t>subsection 4</w:t>
      </w:r>
      <w:r w:rsidRPr="0084114C">
        <w:t xml:space="preserve">11(10) of the Corporations Act a copy of an order of approval of a </w:t>
      </w:r>
      <w:r w:rsidR="001419A8" w:rsidRPr="0084114C">
        <w:t>Part 5</w:t>
      </w:r>
      <w:r w:rsidRPr="0084114C">
        <w:t xml:space="preserve">.1 arrangement in relation to a </w:t>
      </w:r>
      <w:r w:rsidR="001419A8" w:rsidRPr="0084114C">
        <w:t>regulation 4</w:t>
      </w:r>
      <w:r w:rsidRPr="0084114C">
        <w:t xml:space="preserve"> body, if:</w:t>
      </w:r>
    </w:p>
    <w:p w14:paraId="1C725DC9" w14:textId="77777777" w:rsidR="004C2E3A" w:rsidRPr="0084114C" w:rsidRDefault="004C2E3A" w:rsidP="004C2E3A">
      <w:pPr>
        <w:pStyle w:val="paragraph"/>
      </w:pPr>
      <w:r w:rsidRPr="0084114C">
        <w:tab/>
        <w:t>(a)</w:t>
      </w:r>
      <w:r w:rsidRPr="0084114C">
        <w:tab/>
        <w:t xml:space="preserve">the </w:t>
      </w:r>
      <w:r w:rsidR="001419A8" w:rsidRPr="0084114C">
        <w:t>Part 5</w:t>
      </w:r>
      <w:r w:rsidRPr="0084114C">
        <w:t xml:space="preserve">.1 arrangement is, or is part of, a control transaction in relation to the </w:t>
      </w:r>
      <w:r w:rsidR="001419A8" w:rsidRPr="0084114C">
        <w:t>regulation 4</w:t>
      </w:r>
      <w:r w:rsidRPr="0084114C">
        <w:t xml:space="preserve"> body; and</w:t>
      </w:r>
    </w:p>
    <w:p w14:paraId="6A84A0AA" w14:textId="77777777" w:rsidR="004C2E3A" w:rsidRPr="0084114C" w:rsidRDefault="004C2E3A" w:rsidP="004C2E3A">
      <w:pPr>
        <w:pStyle w:val="paragraph"/>
      </w:pPr>
      <w:r w:rsidRPr="0084114C">
        <w:tab/>
        <w:t>(b)</w:t>
      </w:r>
      <w:r w:rsidRPr="0084114C">
        <w:tab/>
        <w:t>the threshold value for the lodgement is equal to or greater than $10</w:t>
      </w:r>
      <w:r w:rsidR="00AF2AF9">
        <w:t> </w:t>
      </w:r>
      <w:r w:rsidRPr="0084114C">
        <w:t>million; and</w:t>
      </w:r>
    </w:p>
    <w:p w14:paraId="7D147FE2" w14:textId="77777777" w:rsidR="004C2E3A" w:rsidRPr="0084114C" w:rsidRDefault="004C2E3A" w:rsidP="004C2E3A">
      <w:pPr>
        <w:pStyle w:val="paragraph"/>
      </w:pPr>
      <w:r w:rsidRPr="0084114C">
        <w:tab/>
        <w:t>(c)</w:t>
      </w:r>
      <w:r w:rsidRPr="0084114C">
        <w:tab/>
        <w:t>the lodgement occurs between 1 January 2025 and 31 December 2027.</w:t>
      </w:r>
    </w:p>
    <w:p w14:paraId="167AF10C" w14:textId="77777777" w:rsidR="004C2E3A" w:rsidRPr="0084114C" w:rsidRDefault="004C2E3A" w:rsidP="004C2E3A">
      <w:pPr>
        <w:pStyle w:val="subsection"/>
      </w:pPr>
      <w:r w:rsidRPr="0084114C">
        <w:lastRenderedPageBreak/>
        <w:tab/>
        <w:t>(2)</w:t>
      </w:r>
      <w:r w:rsidRPr="0084114C">
        <w:tab/>
        <w:t xml:space="preserve">A </w:t>
      </w:r>
      <w:r w:rsidR="001419A8" w:rsidRPr="0084114C">
        <w:rPr>
          <w:b/>
          <w:i/>
        </w:rPr>
        <w:t>Part 5</w:t>
      </w:r>
      <w:r w:rsidRPr="0084114C">
        <w:rPr>
          <w:b/>
          <w:i/>
        </w:rPr>
        <w:t>.1 arrangement</w:t>
      </w:r>
      <w:r w:rsidRPr="0084114C">
        <w:t xml:space="preserve"> in relation to a </w:t>
      </w:r>
      <w:r w:rsidR="001419A8" w:rsidRPr="0084114C">
        <w:t>regulation 4</w:t>
      </w:r>
      <w:r w:rsidRPr="0084114C">
        <w:t xml:space="preserve"> body is a compromise or arrangement under </w:t>
      </w:r>
      <w:r w:rsidR="001419A8" w:rsidRPr="0084114C">
        <w:t>Part 5</w:t>
      </w:r>
      <w:r w:rsidRPr="0084114C">
        <w:t xml:space="preserve">.1 of the Corporations Act between the </w:t>
      </w:r>
      <w:r w:rsidR="001419A8" w:rsidRPr="0084114C">
        <w:t>regulation 4</w:t>
      </w:r>
      <w:r w:rsidRPr="0084114C">
        <w:t xml:space="preserve"> body and its members, or a class of its members.</w:t>
      </w:r>
    </w:p>
    <w:p w14:paraId="057E1B3A" w14:textId="77777777" w:rsidR="004C2E3A" w:rsidRPr="0084114C" w:rsidRDefault="004C2E3A" w:rsidP="004C2E3A">
      <w:pPr>
        <w:pStyle w:val="subsection"/>
      </w:pPr>
      <w:r w:rsidRPr="0084114C">
        <w:tab/>
        <w:t>(3)</w:t>
      </w:r>
      <w:r w:rsidRPr="0084114C">
        <w:tab/>
        <w:t xml:space="preserve">A </w:t>
      </w:r>
      <w:r w:rsidR="001419A8" w:rsidRPr="0084114C">
        <w:rPr>
          <w:b/>
          <w:i/>
        </w:rPr>
        <w:t>regulation 4</w:t>
      </w:r>
      <w:r w:rsidRPr="0084114C">
        <w:rPr>
          <w:b/>
          <w:i/>
        </w:rPr>
        <w:t xml:space="preserve"> body</w:t>
      </w:r>
      <w:r w:rsidRPr="0084114C">
        <w:t xml:space="preserve"> is:</w:t>
      </w:r>
    </w:p>
    <w:p w14:paraId="51E72695" w14:textId="77777777" w:rsidR="004C2E3A" w:rsidRPr="0084114C" w:rsidRDefault="004C2E3A" w:rsidP="004C2E3A">
      <w:pPr>
        <w:pStyle w:val="paragraph"/>
      </w:pPr>
      <w:r w:rsidRPr="0084114C">
        <w:tab/>
        <w:t>(a)</w:t>
      </w:r>
      <w:r w:rsidRPr="0084114C">
        <w:tab/>
        <w:t>a listed company; or</w:t>
      </w:r>
    </w:p>
    <w:p w14:paraId="2BC009E8" w14:textId="77777777" w:rsidR="004C2E3A" w:rsidRPr="0084114C" w:rsidRDefault="004C2E3A" w:rsidP="004C2E3A">
      <w:pPr>
        <w:pStyle w:val="paragraph"/>
      </w:pPr>
      <w:r w:rsidRPr="0084114C">
        <w:tab/>
        <w:t>(b)</w:t>
      </w:r>
      <w:r w:rsidRPr="0084114C">
        <w:tab/>
        <w:t>an unlisted company with more than 50 members; or</w:t>
      </w:r>
    </w:p>
    <w:p w14:paraId="0148D2B7" w14:textId="77777777" w:rsidR="004C2E3A" w:rsidRPr="0084114C" w:rsidRDefault="004C2E3A" w:rsidP="004C2E3A">
      <w:pPr>
        <w:pStyle w:val="paragraph"/>
      </w:pPr>
      <w:r w:rsidRPr="0084114C">
        <w:tab/>
        <w:t>(c)</w:t>
      </w:r>
      <w:r w:rsidRPr="0084114C">
        <w:tab/>
        <w:t xml:space="preserve">a listed registrable Australian body that is registered under Division 1 of </w:t>
      </w:r>
      <w:r w:rsidR="001419A8" w:rsidRPr="0084114C">
        <w:t>Part 5</w:t>
      </w:r>
      <w:r w:rsidRPr="0084114C">
        <w:t>B.2 of the Corporations Act.</w:t>
      </w:r>
    </w:p>
    <w:p w14:paraId="61C86A41" w14:textId="77777777" w:rsidR="004C2E3A" w:rsidRPr="0084114C" w:rsidRDefault="004C2E3A" w:rsidP="004C2E3A">
      <w:pPr>
        <w:pStyle w:val="subsection"/>
      </w:pPr>
      <w:r w:rsidRPr="0084114C">
        <w:tab/>
        <w:t>(4)</w:t>
      </w:r>
      <w:r w:rsidRPr="0084114C">
        <w:tab/>
        <w:t xml:space="preserve">For the purposes of </w:t>
      </w:r>
      <w:proofErr w:type="spellStart"/>
      <w:r w:rsidRPr="0084114C">
        <w:t>subregulation</w:t>
      </w:r>
      <w:proofErr w:type="spellEnd"/>
      <w:r w:rsidRPr="0084114C">
        <w:t xml:space="preserve"> (1), the fee is the fee worked out using the following table:</w:t>
      </w:r>
    </w:p>
    <w:p w14:paraId="60A12D28" w14:textId="77777777" w:rsidR="004C2E3A" w:rsidRPr="0084114C" w:rsidRDefault="004C2E3A" w:rsidP="004C2E3A">
      <w:pPr>
        <w:pStyle w:val="Tabletext"/>
      </w:pPr>
    </w:p>
    <w:tbl>
      <w:tblPr>
        <w:tblW w:w="737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1848"/>
      </w:tblGrid>
      <w:tr w:rsidR="004C2E3A" w:rsidRPr="0084114C" w14:paraId="31B6C269" w14:textId="77777777" w:rsidTr="00767299">
        <w:trPr>
          <w:tblHeader/>
        </w:trPr>
        <w:tc>
          <w:tcPr>
            <w:tcW w:w="7372" w:type="dxa"/>
            <w:gridSpan w:val="3"/>
            <w:tcBorders>
              <w:top w:val="single" w:sz="12" w:space="0" w:color="auto"/>
              <w:bottom w:val="single" w:sz="6" w:space="0" w:color="auto"/>
            </w:tcBorders>
            <w:shd w:val="clear" w:color="auto" w:fill="auto"/>
          </w:tcPr>
          <w:p w14:paraId="224E5244" w14:textId="77777777" w:rsidR="004C2E3A" w:rsidRPr="0084114C" w:rsidRDefault="004C2E3A" w:rsidP="00767299">
            <w:pPr>
              <w:pStyle w:val="TableHeading"/>
            </w:pPr>
            <w:r w:rsidRPr="0084114C">
              <w:t>Fee</w:t>
            </w:r>
          </w:p>
        </w:tc>
      </w:tr>
      <w:tr w:rsidR="004C2E3A" w:rsidRPr="0084114C" w14:paraId="69F81470" w14:textId="77777777" w:rsidTr="004C2E3A">
        <w:trPr>
          <w:tblHeader/>
        </w:trPr>
        <w:tc>
          <w:tcPr>
            <w:tcW w:w="714" w:type="dxa"/>
            <w:tcBorders>
              <w:top w:val="single" w:sz="6" w:space="0" w:color="auto"/>
              <w:bottom w:val="single" w:sz="12" w:space="0" w:color="auto"/>
            </w:tcBorders>
            <w:shd w:val="clear" w:color="auto" w:fill="auto"/>
          </w:tcPr>
          <w:p w14:paraId="4B4D0977" w14:textId="77777777" w:rsidR="004C2E3A" w:rsidRPr="0084114C" w:rsidRDefault="004C2E3A" w:rsidP="00767299">
            <w:pPr>
              <w:pStyle w:val="TableHeading"/>
            </w:pPr>
            <w:r w:rsidRPr="0084114C">
              <w:t>Item</w:t>
            </w:r>
          </w:p>
        </w:tc>
        <w:tc>
          <w:tcPr>
            <w:tcW w:w="4810" w:type="dxa"/>
            <w:tcBorders>
              <w:top w:val="single" w:sz="6" w:space="0" w:color="auto"/>
              <w:bottom w:val="single" w:sz="12" w:space="0" w:color="auto"/>
            </w:tcBorders>
            <w:shd w:val="clear" w:color="auto" w:fill="auto"/>
          </w:tcPr>
          <w:p w14:paraId="6570F378" w14:textId="77777777" w:rsidR="004C2E3A" w:rsidRPr="0084114C" w:rsidRDefault="004C2E3A" w:rsidP="00767299">
            <w:pPr>
              <w:pStyle w:val="TableHeading"/>
            </w:pPr>
            <w:r w:rsidRPr="0084114C">
              <w:t>Column 1</w:t>
            </w:r>
          </w:p>
          <w:p w14:paraId="3939293F" w14:textId="77777777" w:rsidR="004C2E3A" w:rsidRPr="0084114C" w:rsidRDefault="004C2E3A" w:rsidP="00767299">
            <w:pPr>
              <w:pStyle w:val="TableHeading"/>
            </w:pPr>
            <w:r w:rsidRPr="0084114C">
              <w:t>If the threshold value for the lodgement is …</w:t>
            </w:r>
          </w:p>
        </w:tc>
        <w:tc>
          <w:tcPr>
            <w:tcW w:w="1848" w:type="dxa"/>
            <w:tcBorders>
              <w:top w:val="single" w:sz="6" w:space="0" w:color="auto"/>
              <w:bottom w:val="single" w:sz="12" w:space="0" w:color="auto"/>
            </w:tcBorders>
            <w:shd w:val="clear" w:color="auto" w:fill="auto"/>
          </w:tcPr>
          <w:p w14:paraId="60F029E1" w14:textId="77777777" w:rsidR="004C2E3A" w:rsidRPr="0084114C" w:rsidRDefault="004C2E3A" w:rsidP="00767299">
            <w:pPr>
              <w:pStyle w:val="TableHeading"/>
            </w:pPr>
            <w:r w:rsidRPr="0084114C">
              <w:t>Column 2</w:t>
            </w:r>
          </w:p>
          <w:p w14:paraId="78838E54" w14:textId="77777777" w:rsidR="004C2E3A" w:rsidRPr="0084114C" w:rsidRDefault="004C2E3A" w:rsidP="00767299">
            <w:pPr>
              <w:pStyle w:val="TableHeading"/>
            </w:pPr>
            <w:r w:rsidRPr="0084114C">
              <w:t>then the fee is …</w:t>
            </w:r>
          </w:p>
        </w:tc>
      </w:tr>
      <w:tr w:rsidR="004C2E3A" w:rsidRPr="0084114C" w14:paraId="50B0554E" w14:textId="77777777" w:rsidTr="004C2E3A">
        <w:tc>
          <w:tcPr>
            <w:tcW w:w="714" w:type="dxa"/>
            <w:tcBorders>
              <w:top w:val="single" w:sz="12" w:space="0" w:color="auto"/>
            </w:tcBorders>
            <w:shd w:val="clear" w:color="auto" w:fill="auto"/>
          </w:tcPr>
          <w:p w14:paraId="6D350A7D" w14:textId="77777777" w:rsidR="004C2E3A" w:rsidRPr="0084114C" w:rsidRDefault="004C2E3A" w:rsidP="00767299">
            <w:pPr>
              <w:pStyle w:val="Tabletext"/>
            </w:pPr>
            <w:r w:rsidRPr="0084114C">
              <w:t>1</w:t>
            </w:r>
          </w:p>
        </w:tc>
        <w:tc>
          <w:tcPr>
            <w:tcW w:w="4810" w:type="dxa"/>
            <w:tcBorders>
              <w:top w:val="single" w:sz="12" w:space="0" w:color="auto"/>
            </w:tcBorders>
            <w:shd w:val="clear" w:color="auto" w:fill="auto"/>
          </w:tcPr>
          <w:p w14:paraId="26E05CA4" w14:textId="77777777" w:rsidR="004C2E3A" w:rsidRPr="0084114C" w:rsidRDefault="004C2E3A" w:rsidP="00767299">
            <w:pPr>
              <w:pStyle w:val="Tabletext"/>
            </w:pPr>
            <w:r w:rsidRPr="0084114C">
              <w:t>greater than $500 million</w:t>
            </w:r>
          </w:p>
        </w:tc>
        <w:tc>
          <w:tcPr>
            <w:tcW w:w="1848" w:type="dxa"/>
            <w:tcBorders>
              <w:top w:val="single" w:sz="12" w:space="0" w:color="auto"/>
            </w:tcBorders>
            <w:shd w:val="clear" w:color="auto" w:fill="auto"/>
          </w:tcPr>
          <w:p w14:paraId="084EC38B" w14:textId="77777777" w:rsidR="004C2E3A" w:rsidRPr="0084114C" w:rsidRDefault="004C2E3A" w:rsidP="00AF2AF9">
            <w:pPr>
              <w:pStyle w:val="Tabletext"/>
              <w:tabs>
                <w:tab w:val="decimal" w:pos="985"/>
              </w:tabs>
            </w:pPr>
            <w:r w:rsidRPr="0084114C">
              <w:t>$195,000.</w:t>
            </w:r>
          </w:p>
        </w:tc>
      </w:tr>
      <w:tr w:rsidR="004C2E3A" w:rsidRPr="0084114C" w14:paraId="611906BE" w14:textId="77777777" w:rsidTr="004C2E3A">
        <w:tc>
          <w:tcPr>
            <w:tcW w:w="714" w:type="dxa"/>
            <w:shd w:val="clear" w:color="auto" w:fill="auto"/>
          </w:tcPr>
          <w:p w14:paraId="17C578D1" w14:textId="77777777" w:rsidR="004C2E3A" w:rsidRPr="0084114C" w:rsidRDefault="004C2E3A" w:rsidP="00767299">
            <w:pPr>
              <w:pStyle w:val="Tabletext"/>
            </w:pPr>
            <w:r w:rsidRPr="0084114C">
              <w:t>2</w:t>
            </w:r>
          </w:p>
        </w:tc>
        <w:tc>
          <w:tcPr>
            <w:tcW w:w="4810" w:type="dxa"/>
            <w:shd w:val="clear" w:color="auto" w:fill="auto"/>
          </w:tcPr>
          <w:p w14:paraId="0DB8977C" w14:textId="77777777" w:rsidR="004C2E3A" w:rsidRPr="0084114C" w:rsidRDefault="004C2E3A" w:rsidP="00767299">
            <w:pPr>
              <w:pStyle w:val="Tablea"/>
            </w:pPr>
            <w:r w:rsidRPr="0084114C">
              <w:t>(a) less than or equal to $500 million; and</w:t>
            </w:r>
          </w:p>
          <w:p w14:paraId="7D98344E" w14:textId="77777777" w:rsidR="004C2E3A" w:rsidRPr="0084114C" w:rsidRDefault="004C2E3A" w:rsidP="00767299">
            <w:pPr>
              <w:pStyle w:val="Tablea"/>
            </w:pPr>
            <w:r w:rsidRPr="0084114C">
              <w:t>(b) equal to or greater than $100 million</w:t>
            </w:r>
          </w:p>
        </w:tc>
        <w:tc>
          <w:tcPr>
            <w:tcW w:w="1848" w:type="dxa"/>
            <w:shd w:val="clear" w:color="auto" w:fill="auto"/>
          </w:tcPr>
          <w:p w14:paraId="531B8062" w14:textId="77777777" w:rsidR="004C2E3A" w:rsidRPr="0084114C" w:rsidRDefault="004C2E3A" w:rsidP="00AF2AF9">
            <w:pPr>
              <w:pStyle w:val="Tabletext"/>
              <w:tabs>
                <w:tab w:val="decimal" w:pos="985"/>
              </w:tabs>
            </w:pPr>
            <w:r w:rsidRPr="0084114C">
              <w:t>$145,000.</w:t>
            </w:r>
          </w:p>
        </w:tc>
      </w:tr>
      <w:tr w:rsidR="004C2E3A" w:rsidRPr="0084114C" w14:paraId="11E545FD" w14:textId="77777777" w:rsidTr="004C2E3A">
        <w:tc>
          <w:tcPr>
            <w:tcW w:w="714" w:type="dxa"/>
            <w:tcBorders>
              <w:bottom w:val="single" w:sz="2" w:space="0" w:color="auto"/>
            </w:tcBorders>
            <w:shd w:val="clear" w:color="auto" w:fill="auto"/>
          </w:tcPr>
          <w:p w14:paraId="18248A62" w14:textId="77777777" w:rsidR="004C2E3A" w:rsidRPr="0084114C" w:rsidRDefault="004C2E3A" w:rsidP="00767299">
            <w:pPr>
              <w:pStyle w:val="Tabletext"/>
            </w:pPr>
            <w:r w:rsidRPr="0084114C">
              <w:t>3</w:t>
            </w:r>
          </w:p>
        </w:tc>
        <w:tc>
          <w:tcPr>
            <w:tcW w:w="4810" w:type="dxa"/>
            <w:tcBorders>
              <w:bottom w:val="single" w:sz="2" w:space="0" w:color="auto"/>
            </w:tcBorders>
            <w:shd w:val="clear" w:color="auto" w:fill="auto"/>
          </w:tcPr>
          <w:p w14:paraId="4CDD7F88" w14:textId="77777777" w:rsidR="004C2E3A" w:rsidRPr="0084114C" w:rsidRDefault="004C2E3A" w:rsidP="00767299">
            <w:pPr>
              <w:pStyle w:val="Tablea"/>
            </w:pPr>
            <w:r w:rsidRPr="0084114C">
              <w:t>(a) less than $100 million; and</w:t>
            </w:r>
          </w:p>
          <w:p w14:paraId="68726B81" w14:textId="77777777" w:rsidR="004C2E3A" w:rsidRPr="0084114C" w:rsidRDefault="004C2E3A" w:rsidP="00767299">
            <w:pPr>
              <w:pStyle w:val="Tablea"/>
            </w:pPr>
            <w:r w:rsidRPr="0084114C">
              <w:t>(b) equal to or greater than $35 million</w:t>
            </w:r>
          </w:p>
        </w:tc>
        <w:tc>
          <w:tcPr>
            <w:tcW w:w="1848" w:type="dxa"/>
            <w:tcBorders>
              <w:bottom w:val="single" w:sz="2" w:space="0" w:color="auto"/>
            </w:tcBorders>
            <w:shd w:val="clear" w:color="auto" w:fill="auto"/>
          </w:tcPr>
          <w:p w14:paraId="089331AC" w14:textId="77777777" w:rsidR="004C2E3A" w:rsidRPr="0084114C" w:rsidRDefault="004C2E3A" w:rsidP="00AF2AF9">
            <w:pPr>
              <w:pStyle w:val="Tabletext"/>
              <w:tabs>
                <w:tab w:val="decimal" w:pos="985"/>
              </w:tabs>
            </w:pPr>
            <w:r w:rsidRPr="0084114C">
              <w:t>$50,000.</w:t>
            </w:r>
          </w:p>
        </w:tc>
      </w:tr>
      <w:tr w:rsidR="004C2E3A" w:rsidRPr="0084114C" w14:paraId="52BDE8F6" w14:textId="77777777" w:rsidTr="004C2E3A">
        <w:tc>
          <w:tcPr>
            <w:tcW w:w="714" w:type="dxa"/>
            <w:tcBorders>
              <w:top w:val="single" w:sz="2" w:space="0" w:color="auto"/>
              <w:bottom w:val="single" w:sz="12" w:space="0" w:color="auto"/>
            </w:tcBorders>
            <w:shd w:val="clear" w:color="auto" w:fill="auto"/>
          </w:tcPr>
          <w:p w14:paraId="23BABEB9" w14:textId="77777777" w:rsidR="004C2E3A" w:rsidRPr="0084114C" w:rsidRDefault="004C2E3A" w:rsidP="00767299">
            <w:pPr>
              <w:pStyle w:val="Tabletext"/>
            </w:pPr>
            <w:r w:rsidRPr="0084114C">
              <w:t>4</w:t>
            </w:r>
          </w:p>
        </w:tc>
        <w:tc>
          <w:tcPr>
            <w:tcW w:w="4810" w:type="dxa"/>
            <w:tcBorders>
              <w:top w:val="single" w:sz="2" w:space="0" w:color="auto"/>
              <w:bottom w:val="single" w:sz="12" w:space="0" w:color="auto"/>
            </w:tcBorders>
            <w:shd w:val="clear" w:color="auto" w:fill="auto"/>
          </w:tcPr>
          <w:p w14:paraId="4E338171" w14:textId="77777777" w:rsidR="004C2E3A" w:rsidRPr="0084114C" w:rsidRDefault="004C2E3A" w:rsidP="00767299">
            <w:pPr>
              <w:pStyle w:val="Tablea"/>
            </w:pPr>
            <w:r w:rsidRPr="0084114C">
              <w:t>(a) less than $35 million; and</w:t>
            </w:r>
          </w:p>
          <w:p w14:paraId="28F9BBC5" w14:textId="77777777" w:rsidR="004C2E3A" w:rsidRPr="0084114C" w:rsidRDefault="004C2E3A" w:rsidP="00767299">
            <w:pPr>
              <w:pStyle w:val="Tablea"/>
            </w:pPr>
            <w:r w:rsidRPr="0084114C">
              <w:t>(b) equal to or greater than $10 million</w:t>
            </w:r>
          </w:p>
        </w:tc>
        <w:tc>
          <w:tcPr>
            <w:tcW w:w="1848" w:type="dxa"/>
            <w:tcBorders>
              <w:top w:val="single" w:sz="2" w:space="0" w:color="auto"/>
              <w:bottom w:val="single" w:sz="12" w:space="0" w:color="auto"/>
            </w:tcBorders>
            <w:shd w:val="clear" w:color="auto" w:fill="auto"/>
          </w:tcPr>
          <w:p w14:paraId="0FA547BD" w14:textId="77777777" w:rsidR="004C2E3A" w:rsidRPr="0084114C" w:rsidRDefault="004C2E3A" w:rsidP="00AF2AF9">
            <w:pPr>
              <w:pStyle w:val="Tabletext"/>
              <w:tabs>
                <w:tab w:val="decimal" w:pos="985"/>
              </w:tabs>
            </w:pPr>
            <w:r w:rsidRPr="0084114C">
              <w:t>$10,000.</w:t>
            </w:r>
          </w:p>
        </w:tc>
      </w:tr>
    </w:tbl>
    <w:p w14:paraId="5A9F1442" w14:textId="77777777" w:rsidR="001705A7" w:rsidRPr="0084114C" w:rsidRDefault="001705A7" w:rsidP="001705A7">
      <w:pPr>
        <w:pStyle w:val="ActHead5"/>
      </w:pPr>
      <w:bookmarkStart w:id="11" w:name="_Toc182829536"/>
      <w:r w:rsidRPr="00DE06C2">
        <w:rPr>
          <w:rStyle w:val="CharSectno"/>
        </w:rPr>
        <w:t>4</w:t>
      </w:r>
      <w:proofErr w:type="gramStart"/>
      <w:r w:rsidRPr="00DE06C2">
        <w:rPr>
          <w:rStyle w:val="CharSectno"/>
        </w:rPr>
        <w:t>A</w:t>
      </w:r>
      <w:r w:rsidRPr="0084114C">
        <w:t xml:space="preserve">  </w:t>
      </w:r>
      <w:bookmarkEnd w:id="11"/>
      <w:r w:rsidRPr="0084114C">
        <w:t>Fee</w:t>
      </w:r>
      <w:proofErr w:type="gramEnd"/>
      <w:r w:rsidRPr="0084114C">
        <w:t>—trust schemes</w:t>
      </w:r>
    </w:p>
    <w:p w14:paraId="23D92196" w14:textId="77777777" w:rsidR="001705A7" w:rsidRPr="0084114C" w:rsidRDefault="001705A7" w:rsidP="001705A7">
      <w:pPr>
        <w:pStyle w:val="subsection"/>
      </w:pPr>
      <w:r w:rsidRPr="0084114C">
        <w:tab/>
        <w:t>(1)</w:t>
      </w:r>
      <w:r w:rsidRPr="0084114C">
        <w:tab/>
        <w:t xml:space="preserve">For the purposes of section 5 of the Act, and subject to </w:t>
      </w:r>
      <w:r w:rsidR="001419A8" w:rsidRPr="0084114C">
        <w:t>regulation 4</w:t>
      </w:r>
      <w:r w:rsidR="00090798" w:rsidRPr="0084114C">
        <w:t>H</w:t>
      </w:r>
      <w:r w:rsidRPr="0084114C">
        <w:t xml:space="preserve"> of these Regulations, the fee set out in </w:t>
      </w:r>
      <w:proofErr w:type="spellStart"/>
      <w:r w:rsidRPr="0084114C">
        <w:t>subregulation</w:t>
      </w:r>
      <w:proofErr w:type="spellEnd"/>
      <w:r w:rsidRPr="0084114C">
        <w:t xml:space="preserve"> (2) of this regulation is prescribed for lodging under </w:t>
      </w:r>
      <w:r w:rsidR="001419A8" w:rsidRPr="0084114C">
        <w:t>subsection 6</w:t>
      </w:r>
      <w:r w:rsidRPr="0084114C">
        <w:t>01</w:t>
      </w:r>
      <w:proofErr w:type="gramStart"/>
      <w:r w:rsidRPr="0084114C">
        <w:t>GC(</w:t>
      </w:r>
      <w:proofErr w:type="gramEnd"/>
      <w:r w:rsidRPr="0084114C">
        <w:t>2) of the Corporations Act a copy of a modification of the constitution of a listed registered scheme or a new constitution of a listed registered scheme, if:</w:t>
      </w:r>
    </w:p>
    <w:p w14:paraId="5BEA49C3" w14:textId="77777777" w:rsidR="001705A7" w:rsidRPr="0084114C" w:rsidRDefault="001705A7" w:rsidP="001705A7">
      <w:pPr>
        <w:pStyle w:val="paragraph"/>
      </w:pPr>
      <w:r w:rsidRPr="0084114C">
        <w:tab/>
        <w:t>(a)</w:t>
      </w:r>
      <w:r w:rsidRPr="0084114C">
        <w:tab/>
        <w:t>the modification, or the repeal and replacement, of the constitution of the registered scheme is part of a control transaction in relation to the scheme; and</w:t>
      </w:r>
    </w:p>
    <w:p w14:paraId="461CA89D" w14:textId="77777777" w:rsidR="001705A7" w:rsidRPr="0084114C" w:rsidRDefault="001705A7" w:rsidP="001705A7">
      <w:pPr>
        <w:pStyle w:val="paragraph"/>
      </w:pPr>
      <w:r w:rsidRPr="0084114C">
        <w:tab/>
        <w:t>(b)</w:t>
      </w:r>
      <w:r w:rsidRPr="0084114C">
        <w:tab/>
        <w:t>the threshold value for the lodgement is equal to or greater than $10</w:t>
      </w:r>
      <w:r w:rsidR="00AF2AF9">
        <w:t> </w:t>
      </w:r>
      <w:r w:rsidRPr="0084114C">
        <w:t>million; and</w:t>
      </w:r>
    </w:p>
    <w:p w14:paraId="547D62A7" w14:textId="77777777" w:rsidR="001705A7" w:rsidRPr="0084114C" w:rsidRDefault="001705A7" w:rsidP="001705A7">
      <w:pPr>
        <w:pStyle w:val="paragraph"/>
      </w:pPr>
      <w:r w:rsidRPr="0084114C">
        <w:tab/>
        <w:t>(c)</w:t>
      </w:r>
      <w:r w:rsidRPr="0084114C">
        <w:tab/>
        <w:t>the lodgement occurs between 1 January 2025 and 31 December 2027.</w:t>
      </w:r>
    </w:p>
    <w:p w14:paraId="693E95C7" w14:textId="77777777" w:rsidR="001705A7" w:rsidRPr="0084114C" w:rsidRDefault="001705A7" w:rsidP="001705A7">
      <w:pPr>
        <w:pStyle w:val="subsection"/>
      </w:pPr>
      <w:r w:rsidRPr="0084114C">
        <w:tab/>
        <w:t>(2)</w:t>
      </w:r>
      <w:r w:rsidRPr="0084114C">
        <w:tab/>
        <w:t xml:space="preserve">For the purposes of </w:t>
      </w:r>
      <w:proofErr w:type="spellStart"/>
      <w:r w:rsidRPr="0084114C">
        <w:t>subregulation</w:t>
      </w:r>
      <w:proofErr w:type="spellEnd"/>
      <w:r w:rsidRPr="0084114C">
        <w:t xml:space="preserve"> (1), the fee is the fee worked out using the following table:</w:t>
      </w:r>
    </w:p>
    <w:p w14:paraId="2104EFD3" w14:textId="77777777" w:rsidR="001705A7" w:rsidRPr="0084114C" w:rsidRDefault="001705A7" w:rsidP="001705A7">
      <w:pPr>
        <w:pStyle w:val="Tabletext"/>
      </w:pPr>
    </w:p>
    <w:tbl>
      <w:tblPr>
        <w:tblW w:w="737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1848"/>
      </w:tblGrid>
      <w:tr w:rsidR="001705A7" w:rsidRPr="0084114C" w14:paraId="75C339F1" w14:textId="77777777" w:rsidTr="001419A8">
        <w:trPr>
          <w:tblHeader/>
        </w:trPr>
        <w:tc>
          <w:tcPr>
            <w:tcW w:w="7372" w:type="dxa"/>
            <w:gridSpan w:val="3"/>
            <w:tcBorders>
              <w:top w:val="single" w:sz="12" w:space="0" w:color="auto"/>
              <w:bottom w:val="single" w:sz="6" w:space="0" w:color="auto"/>
            </w:tcBorders>
            <w:shd w:val="clear" w:color="auto" w:fill="auto"/>
          </w:tcPr>
          <w:p w14:paraId="55714725" w14:textId="77777777" w:rsidR="001705A7" w:rsidRPr="0084114C" w:rsidRDefault="001705A7" w:rsidP="001419A8">
            <w:pPr>
              <w:pStyle w:val="TableHeading"/>
            </w:pPr>
            <w:r w:rsidRPr="0084114C">
              <w:t>Fee</w:t>
            </w:r>
          </w:p>
        </w:tc>
      </w:tr>
      <w:tr w:rsidR="001705A7" w:rsidRPr="0084114C" w14:paraId="449DCA84" w14:textId="77777777" w:rsidTr="001419A8">
        <w:trPr>
          <w:tblHeader/>
        </w:trPr>
        <w:tc>
          <w:tcPr>
            <w:tcW w:w="714" w:type="dxa"/>
            <w:tcBorders>
              <w:top w:val="single" w:sz="6" w:space="0" w:color="auto"/>
              <w:bottom w:val="single" w:sz="12" w:space="0" w:color="auto"/>
            </w:tcBorders>
            <w:shd w:val="clear" w:color="auto" w:fill="auto"/>
          </w:tcPr>
          <w:p w14:paraId="5D92DB25" w14:textId="77777777" w:rsidR="001705A7" w:rsidRPr="0084114C" w:rsidRDefault="001705A7" w:rsidP="001419A8">
            <w:pPr>
              <w:pStyle w:val="TableHeading"/>
            </w:pPr>
            <w:r w:rsidRPr="0084114C">
              <w:t>Item</w:t>
            </w:r>
          </w:p>
        </w:tc>
        <w:tc>
          <w:tcPr>
            <w:tcW w:w="4810" w:type="dxa"/>
            <w:tcBorders>
              <w:top w:val="single" w:sz="6" w:space="0" w:color="auto"/>
              <w:bottom w:val="single" w:sz="12" w:space="0" w:color="auto"/>
            </w:tcBorders>
            <w:shd w:val="clear" w:color="auto" w:fill="auto"/>
          </w:tcPr>
          <w:p w14:paraId="65EDF960" w14:textId="77777777" w:rsidR="001705A7" w:rsidRPr="0084114C" w:rsidRDefault="001705A7" w:rsidP="001419A8">
            <w:pPr>
              <w:pStyle w:val="TableHeading"/>
            </w:pPr>
            <w:r w:rsidRPr="0084114C">
              <w:t>Column 1</w:t>
            </w:r>
          </w:p>
          <w:p w14:paraId="7584B708" w14:textId="77777777" w:rsidR="001705A7" w:rsidRPr="0084114C" w:rsidRDefault="001705A7" w:rsidP="001419A8">
            <w:pPr>
              <w:pStyle w:val="TableHeading"/>
            </w:pPr>
            <w:r w:rsidRPr="0084114C">
              <w:t>If the threshold value for the lodgement is …</w:t>
            </w:r>
          </w:p>
        </w:tc>
        <w:tc>
          <w:tcPr>
            <w:tcW w:w="1843" w:type="dxa"/>
            <w:tcBorders>
              <w:top w:val="single" w:sz="6" w:space="0" w:color="auto"/>
              <w:bottom w:val="single" w:sz="12" w:space="0" w:color="auto"/>
            </w:tcBorders>
            <w:shd w:val="clear" w:color="auto" w:fill="auto"/>
          </w:tcPr>
          <w:p w14:paraId="7F6EA1F7" w14:textId="77777777" w:rsidR="001705A7" w:rsidRPr="0084114C" w:rsidRDefault="001705A7" w:rsidP="001419A8">
            <w:pPr>
              <w:pStyle w:val="TableHeading"/>
            </w:pPr>
            <w:r w:rsidRPr="0084114C">
              <w:t>Column 2</w:t>
            </w:r>
          </w:p>
          <w:p w14:paraId="52488EDE" w14:textId="77777777" w:rsidR="001705A7" w:rsidRPr="0084114C" w:rsidRDefault="001705A7" w:rsidP="001419A8">
            <w:pPr>
              <w:pStyle w:val="TableHeading"/>
            </w:pPr>
            <w:r w:rsidRPr="0084114C">
              <w:t>then the fee is …</w:t>
            </w:r>
          </w:p>
        </w:tc>
      </w:tr>
      <w:tr w:rsidR="001705A7" w:rsidRPr="0084114C" w14:paraId="3B8D2A1B" w14:textId="77777777" w:rsidTr="001419A8">
        <w:tc>
          <w:tcPr>
            <w:tcW w:w="714" w:type="dxa"/>
            <w:tcBorders>
              <w:top w:val="single" w:sz="12" w:space="0" w:color="auto"/>
            </w:tcBorders>
            <w:shd w:val="clear" w:color="auto" w:fill="auto"/>
          </w:tcPr>
          <w:p w14:paraId="746F0B0F" w14:textId="77777777" w:rsidR="001705A7" w:rsidRPr="0084114C" w:rsidRDefault="001705A7" w:rsidP="001419A8">
            <w:pPr>
              <w:pStyle w:val="Tabletext"/>
            </w:pPr>
            <w:r w:rsidRPr="0084114C">
              <w:t>1</w:t>
            </w:r>
          </w:p>
        </w:tc>
        <w:tc>
          <w:tcPr>
            <w:tcW w:w="4810" w:type="dxa"/>
            <w:tcBorders>
              <w:top w:val="single" w:sz="12" w:space="0" w:color="auto"/>
            </w:tcBorders>
            <w:shd w:val="clear" w:color="auto" w:fill="auto"/>
          </w:tcPr>
          <w:p w14:paraId="630827DF" w14:textId="77777777" w:rsidR="001705A7" w:rsidRPr="0084114C" w:rsidRDefault="001705A7" w:rsidP="001419A8">
            <w:pPr>
              <w:pStyle w:val="Tabletext"/>
            </w:pPr>
            <w:r w:rsidRPr="0084114C">
              <w:t>greater than $500 million</w:t>
            </w:r>
          </w:p>
        </w:tc>
        <w:tc>
          <w:tcPr>
            <w:tcW w:w="1843" w:type="dxa"/>
            <w:tcBorders>
              <w:top w:val="single" w:sz="12" w:space="0" w:color="auto"/>
            </w:tcBorders>
            <w:shd w:val="clear" w:color="auto" w:fill="auto"/>
          </w:tcPr>
          <w:p w14:paraId="4AEE85BB" w14:textId="77777777" w:rsidR="001705A7" w:rsidRPr="0084114C" w:rsidRDefault="001705A7" w:rsidP="00AF2AF9">
            <w:pPr>
              <w:pStyle w:val="Tabletext"/>
              <w:tabs>
                <w:tab w:val="decimal" w:pos="985"/>
              </w:tabs>
            </w:pPr>
            <w:r w:rsidRPr="0084114C">
              <w:t>$195,000.</w:t>
            </w:r>
          </w:p>
        </w:tc>
      </w:tr>
      <w:tr w:rsidR="001705A7" w:rsidRPr="0084114C" w14:paraId="6FEA41A2" w14:textId="77777777" w:rsidTr="001419A8">
        <w:tc>
          <w:tcPr>
            <w:tcW w:w="714" w:type="dxa"/>
            <w:shd w:val="clear" w:color="auto" w:fill="auto"/>
          </w:tcPr>
          <w:p w14:paraId="3195191D" w14:textId="77777777" w:rsidR="001705A7" w:rsidRPr="0084114C" w:rsidRDefault="001705A7" w:rsidP="001419A8">
            <w:pPr>
              <w:pStyle w:val="Tabletext"/>
            </w:pPr>
            <w:r w:rsidRPr="0084114C">
              <w:t>2</w:t>
            </w:r>
          </w:p>
        </w:tc>
        <w:tc>
          <w:tcPr>
            <w:tcW w:w="4810" w:type="dxa"/>
            <w:shd w:val="clear" w:color="auto" w:fill="auto"/>
          </w:tcPr>
          <w:p w14:paraId="3FF13611" w14:textId="77777777" w:rsidR="001705A7" w:rsidRPr="0084114C" w:rsidRDefault="001705A7" w:rsidP="001419A8">
            <w:pPr>
              <w:pStyle w:val="Tablea"/>
            </w:pPr>
            <w:r w:rsidRPr="0084114C">
              <w:t>(a) less than or equal to $500 million; and</w:t>
            </w:r>
          </w:p>
          <w:p w14:paraId="23B3FD6C" w14:textId="77777777" w:rsidR="001705A7" w:rsidRPr="0084114C" w:rsidRDefault="001705A7" w:rsidP="001419A8">
            <w:pPr>
              <w:pStyle w:val="Tablea"/>
            </w:pPr>
            <w:r w:rsidRPr="0084114C">
              <w:t>(b) equal to or greater than $100 million</w:t>
            </w:r>
          </w:p>
        </w:tc>
        <w:tc>
          <w:tcPr>
            <w:tcW w:w="1843" w:type="dxa"/>
            <w:shd w:val="clear" w:color="auto" w:fill="auto"/>
          </w:tcPr>
          <w:p w14:paraId="4B0DEA81" w14:textId="77777777" w:rsidR="001705A7" w:rsidRPr="0084114C" w:rsidRDefault="001705A7" w:rsidP="00AF2AF9">
            <w:pPr>
              <w:pStyle w:val="Tabletext"/>
              <w:tabs>
                <w:tab w:val="decimal" w:pos="985"/>
              </w:tabs>
            </w:pPr>
            <w:r w:rsidRPr="0084114C">
              <w:t>$145,000.</w:t>
            </w:r>
          </w:p>
        </w:tc>
      </w:tr>
      <w:tr w:rsidR="001705A7" w:rsidRPr="0084114C" w14:paraId="2D8E4C94" w14:textId="77777777" w:rsidTr="001419A8">
        <w:tc>
          <w:tcPr>
            <w:tcW w:w="714" w:type="dxa"/>
            <w:tcBorders>
              <w:bottom w:val="single" w:sz="2" w:space="0" w:color="auto"/>
            </w:tcBorders>
            <w:shd w:val="clear" w:color="auto" w:fill="auto"/>
          </w:tcPr>
          <w:p w14:paraId="08E4DDD7" w14:textId="77777777" w:rsidR="001705A7" w:rsidRPr="0084114C" w:rsidRDefault="001705A7" w:rsidP="001419A8">
            <w:pPr>
              <w:pStyle w:val="Tabletext"/>
            </w:pPr>
            <w:r w:rsidRPr="0084114C">
              <w:t>3</w:t>
            </w:r>
          </w:p>
        </w:tc>
        <w:tc>
          <w:tcPr>
            <w:tcW w:w="4810" w:type="dxa"/>
            <w:tcBorders>
              <w:bottom w:val="single" w:sz="2" w:space="0" w:color="auto"/>
            </w:tcBorders>
            <w:shd w:val="clear" w:color="auto" w:fill="auto"/>
          </w:tcPr>
          <w:p w14:paraId="4F1F297E" w14:textId="77777777" w:rsidR="001705A7" w:rsidRPr="0084114C" w:rsidRDefault="001705A7" w:rsidP="001419A8">
            <w:pPr>
              <w:pStyle w:val="Tablea"/>
            </w:pPr>
            <w:r w:rsidRPr="0084114C">
              <w:t>(a) less than $100 million; and</w:t>
            </w:r>
          </w:p>
          <w:p w14:paraId="79879CF0" w14:textId="77777777" w:rsidR="001705A7" w:rsidRPr="0084114C" w:rsidRDefault="001705A7" w:rsidP="001419A8">
            <w:pPr>
              <w:pStyle w:val="Tablea"/>
            </w:pPr>
            <w:r w:rsidRPr="0084114C">
              <w:t>(b) equal to or greater than $35 million</w:t>
            </w:r>
          </w:p>
        </w:tc>
        <w:tc>
          <w:tcPr>
            <w:tcW w:w="1843" w:type="dxa"/>
            <w:tcBorders>
              <w:bottom w:val="single" w:sz="2" w:space="0" w:color="auto"/>
            </w:tcBorders>
            <w:shd w:val="clear" w:color="auto" w:fill="auto"/>
          </w:tcPr>
          <w:p w14:paraId="629C9F0B" w14:textId="77777777" w:rsidR="001705A7" w:rsidRPr="0084114C" w:rsidRDefault="001705A7" w:rsidP="00AF2AF9">
            <w:pPr>
              <w:pStyle w:val="Tabletext"/>
              <w:tabs>
                <w:tab w:val="decimal" w:pos="985"/>
              </w:tabs>
            </w:pPr>
            <w:r w:rsidRPr="0084114C">
              <w:t>$50,000.</w:t>
            </w:r>
          </w:p>
        </w:tc>
      </w:tr>
      <w:tr w:rsidR="001705A7" w:rsidRPr="0084114C" w14:paraId="0A86F6F6" w14:textId="77777777" w:rsidTr="001419A8">
        <w:tc>
          <w:tcPr>
            <w:tcW w:w="714" w:type="dxa"/>
            <w:tcBorders>
              <w:top w:val="single" w:sz="2" w:space="0" w:color="auto"/>
              <w:bottom w:val="single" w:sz="12" w:space="0" w:color="auto"/>
            </w:tcBorders>
            <w:shd w:val="clear" w:color="auto" w:fill="auto"/>
          </w:tcPr>
          <w:p w14:paraId="471C8C9A" w14:textId="77777777" w:rsidR="001705A7" w:rsidRPr="0084114C" w:rsidRDefault="001705A7" w:rsidP="001419A8">
            <w:pPr>
              <w:pStyle w:val="Tabletext"/>
            </w:pPr>
            <w:r w:rsidRPr="0084114C">
              <w:lastRenderedPageBreak/>
              <w:t>4</w:t>
            </w:r>
          </w:p>
        </w:tc>
        <w:tc>
          <w:tcPr>
            <w:tcW w:w="4810" w:type="dxa"/>
            <w:tcBorders>
              <w:top w:val="single" w:sz="2" w:space="0" w:color="auto"/>
              <w:bottom w:val="single" w:sz="12" w:space="0" w:color="auto"/>
            </w:tcBorders>
            <w:shd w:val="clear" w:color="auto" w:fill="auto"/>
          </w:tcPr>
          <w:p w14:paraId="2D4ACAAF" w14:textId="77777777" w:rsidR="001705A7" w:rsidRPr="0084114C" w:rsidRDefault="001705A7" w:rsidP="001419A8">
            <w:pPr>
              <w:pStyle w:val="Tablea"/>
            </w:pPr>
            <w:r w:rsidRPr="0084114C">
              <w:t>(a) less than $35 million; and</w:t>
            </w:r>
          </w:p>
          <w:p w14:paraId="294E7424" w14:textId="77777777" w:rsidR="001705A7" w:rsidRPr="0084114C" w:rsidRDefault="001705A7" w:rsidP="001419A8">
            <w:pPr>
              <w:pStyle w:val="Tablea"/>
            </w:pPr>
            <w:r w:rsidRPr="0084114C">
              <w:t>(b) equal to or greater than $10 million</w:t>
            </w:r>
          </w:p>
        </w:tc>
        <w:tc>
          <w:tcPr>
            <w:tcW w:w="1843" w:type="dxa"/>
            <w:tcBorders>
              <w:top w:val="single" w:sz="2" w:space="0" w:color="auto"/>
              <w:bottom w:val="single" w:sz="12" w:space="0" w:color="auto"/>
            </w:tcBorders>
            <w:shd w:val="clear" w:color="auto" w:fill="auto"/>
          </w:tcPr>
          <w:p w14:paraId="41CA5761" w14:textId="77777777" w:rsidR="001705A7" w:rsidRPr="0084114C" w:rsidRDefault="001705A7" w:rsidP="00AF2AF9">
            <w:pPr>
              <w:pStyle w:val="Tabletext"/>
              <w:tabs>
                <w:tab w:val="decimal" w:pos="985"/>
              </w:tabs>
            </w:pPr>
            <w:r w:rsidRPr="0084114C">
              <w:t>$10,000.</w:t>
            </w:r>
          </w:p>
        </w:tc>
      </w:tr>
    </w:tbl>
    <w:p w14:paraId="76BD0338" w14:textId="77777777" w:rsidR="004C2E3A" w:rsidRPr="0084114C" w:rsidRDefault="004C2E3A" w:rsidP="004C2E3A">
      <w:pPr>
        <w:pStyle w:val="ActHead5"/>
      </w:pPr>
      <w:r w:rsidRPr="00DE06C2">
        <w:rPr>
          <w:rStyle w:val="CharSectno"/>
        </w:rPr>
        <w:t>4</w:t>
      </w:r>
      <w:proofErr w:type="gramStart"/>
      <w:r w:rsidR="006521C5" w:rsidRPr="00DE06C2">
        <w:rPr>
          <w:rStyle w:val="CharSectno"/>
        </w:rPr>
        <w:t>B</w:t>
      </w:r>
      <w:r w:rsidRPr="0084114C">
        <w:t xml:space="preserve">  Meaning</w:t>
      </w:r>
      <w:proofErr w:type="gramEnd"/>
      <w:r w:rsidRPr="0084114C">
        <w:t xml:space="preserve"> of </w:t>
      </w:r>
      <w:r w:rsidRPr="0084114C">
        <w:rPr>
          <w:i/>
        </w:rPr>
        <w:t>control transaction</w:t>
      </w:r>
    </w:p>
    <w:p w14:paraId="4C3182F7" w14:textId="77777777" w:rsidR="006521C5" w:rsidRPr="0084114C" w:rsidRDefault="001419A8" w:rsidP="006521C5">
      <w:pPr>
        <w:pStyle w:val="SubsectionHead"/>
      </w:pPr>
      <w:r w:rsidRPr="0084114C">
        <w:t>Regulation 4</w:t>
      </w:r>
      <w:r w:rsidR="006521C5" w:rsidRPr="0084114C">
        <w:t xml:space="preserve"> bodies</w:t>
      </w:r>
    </w:p>
    <w:p w14:paraId="227A0EE1" w14:textId="77777777" w:rsidR="004C2E3A" w:rsidRPr="0084114C" w:rsidRDefault="004C2E3A" w:rsidP="004C2E3A">
      <w:pPr>
        <w:pStyle w:val="subsection"/>
      </w:pPr>
      <w:r w:rsidRPr="0084114C">
        <w:tab/>
        <w:t>(1)</w:t>
      </w:r>
      <w:r w:rsidRPr="0084114C">
        <w:tab/>
        <w:t xml:space="preserve">One or more </w:t>
      </w:r>
      <w:r w:rsidR="001419A8" w:rsidRPr="0084114C">
        <w:t>Part 5</w:t>
      </w:r>
      <w:r w:rsidRPr="0084114C">
        <w:t xml:space="preserve">.1 arrangements in relation to a </w:t>
      </w:r>
      <w:r w:rsidR="001419A8" w:rsidRPr="0084114C">
        <w:t>regulation 4</w:t>
      </w:r>
      <w:r w:rsidRPr="0084114C">
        <w:t xml:space="preserve"> body constitute a </w:t>
      </w:r>
      <w:r w:rsidRPr="0084114C">
        <w:rPr>
          <w:b/>
          <w:i/>
        </w:rPr>
        <w:t>control transaction</w:t>
      </w:r>
      <w:r w:rsidRPr="0084114C">
        <w:t xml:space="preserve"> in relation to the </w:t>
      </w:r>
      <w:r w:rsidR="001419A8" w:rsidRPr="0084114C">
        <w:t>regulation 4</w:t>
      </w:r>
      <w:r w:rsidRPr="0084114C">
        <w:t xml:space="preserve"> body if the </w:t>
      </w:r>
      <w:r w:rsidR="001419A8" w:rsidRPr="0084114C">
        <w:t>Part 5</w:t>
      </w:r>
      <w:r w:rsidRPr="0084114C">
        <w:t>.1 arrangement or arrangements result in:</w:t>
      </w:r>
    </w:p>
    <w:p w14:paraId="3F999CB7" w14:textId="77777777" w:rsidR="004C2E3A" w:rsidRPr="0084114C" w:rsidRDefault="004C2E3A" w:rsidP="004C2E3A">
      <w:pPr>
        <w:pStyle w:val="paragraph"/>
      </w:pPr>
      <w:r w:rsidRPr="0084114C">
        <w:tab/>
        <w:t>(a)</w:t>
      </w:r>
      <w:r w:rsidRPr="0084114C">
        <w:tab/>
        <w:t xml:space="preserve">a person beginning to control the </w:t>
      </w:r>
      <w:r w:rsidR="001419A8" w:rsidRPr="0084114C">
        <w:t>regulation 4</w:t>
      </w:r>
      <w:r w:rsidRPr="0084114C">
        <w:t xml:space="preserve"> </w:t>
      </w:r>
      <w:proofErr w:type="gramStart"/>
      <w:r w:rsidRPr="0084114C">
        <w:t>body;</w:t>
      </w:r>
      <w:proofErr w:type="gramEnd"/>
      <w:r w:rsidRPr="0084114C">
        <w:t xml:space="preserve"> or</w:t>
      </w:r>
    </w:p>
    <w:p w14:paraId="031DDD32" w14:textId="77777777" w:rsidR="004C2E3A" w:rsidRPr="0084114C" w:rsidRDefault="004C2E3A" w:rsidP="004C2E3A">
      <w:pPr>
        <w:pStyle w:val="paragraph"/>
      </w:pPr>
      <w:r w:rsidRPr="0084114C">
        <w:tab/>
        <w:t>(b)</w:t>
      </w:r>
      <w:r w:rsidRPr="0084114C">
        <w:tab/>
        <w:t xml:space="preserve">the voting power of a person in the </w:t>
      </w:r>
      <w:r w:rsidR="001419A8" w:rsidRPr="0084114C">
        <w:t>regulation 4</w:t>
      </w:r>
      <w:r w:rsidRPr="0084114C">
        <w:t xml:space="preserve"> body increasing:</w:t>
      </w:r>
    </w:p>
    <w:p w14:paraId="2BBB69EF" w14:textId="77777777" w:rsidR="004C2E3A" w:rsidRPr="0084114C" w:rsidRDefault="004C2E3A" w:rsidP="004C2E3A">
      <w:pPr>
        <w:pStyle w:val="paragraphsub"/>
      </w:pPr>
      <w:r w:rsidRPr="0084114C">
        <w:tab/>
        <w:t>(</w:t>
      </w:r>
      <w:proofErr w:type="spellStart"/>
      <w:r w:rsidRPr="0084114C">
        <w:t>i</w:t>
      </w:r>
      <w:proofErr w:type="spellEnd"/>
      <w:r w:rsidRPr="0084114C">
        <w:t>)</w:t>
      </w:r>
      <w:r w:rsidRPr="0084114C">
        <w:tab/>
        <w:t>from 50% or below to more than 50%; or</w:t>
      </w:r>
    </w:p>
    <w:p w14:paraId="4FDBB417" w14:textId="77777777" w:rsidR="004C2E3A" w:rsidRPr="0084114C" w:rsidRDefault="004C2E3A" w:rsidP="004C2E3A">
      <w:pPr>
        <w:pStyle w:val="paragraphsub"/>
      </w:pPr>
      <w:r w:rsidRPr="0084114C">
        <w:tab/>
        <w:t>(ii)</w:t>
      </w:r>
      <w:r w:rsidRPr="0084114C">
        <w:tab/>
        <w:t>from a starting point that is above 50%.</w:t>
      </w:r>
    </w:p>
    <w:p w14:paraId="3A98C506" w14:textId="77777777" w:rsidR="004C2E3A" w:rsidRPr="0084114C" w:rsidRDefault="004C2E3A" w:rsidP="004C2E3A">
      <w:pPr>
        <w:pStyle w:val="subsection"/>
      </w:pPr>
      <w:r w:rsidRPr="0084114C">
        <w:tab/>
        <w:t>(2)</w:t>
      </w:r>
      <w:r w:rsidRPr="0084114C">
        <w:tab/>
        <w:t xml:space="preserve">However, one or more </w:t>
      </w:r>
      <w:r w:rsidR="001419A8" w:rsidRPr="0084114C">
        <w:t>Part 5</w:t>
      </w:r>
      <w:r w:rsidRPr="0084114C">
        <w:t xml:space="preserve">.1 arrangements are not a </w:t>
      </w:r>
      <w:r w:rsidRPr="0084114C">
        <w:rPr>
          <w:b/>
          <w:i/>
        </w:rPr>
        <w:t>control transaction</w:t>
      </w:r>
      <w:r w:rsidRPr="0084114C">
        <w:t xml:space="preserve"> if:</w:t>
      </w:r>
    </w:p>
    <w:p w14:paraId="11CB5BE3" w14:textId="77777777" w:rsidR="004C2E3A" w:rsidRPr="0084114C" w:rsidRDefault="004C2E3A" w:rsidP="004C2E3A">
      <w:pPr>
        <w:pStyle w:val="paragraph"/>
      </w:pPr>
      <w:r w:rsidRPr="0084114C">
        <w:tab/>
        <w:t>(a)</w:t>
      </w:r>
      <w:r w:rsidRPr="0084114C">
        <w:tab/>
        <w:t xml:space="preserve">their sole object is to exchange securities in the </w:t>
      </w:r>
      <w:r w:rsidR="001419A8" w:rsidRPr="0084114C">
        <w:t>regulation 4</w:t>
      </w:r>
      <w:r w:rsidRPr="0084114C">
        <w:t xml:space="preserve"> body for securities in a body or managed investment scheme (the </w:t>
      </w:r>
      <w:r w:rsidRPr="0084114C">
        <w:rPr>
          <w:b/>
          <w:i/>
        </w:rPr>
        <w:t>new body</w:t>
      </w:r>
      <w:r w:rsidRPr="0084114C">
        <w:t xml:space="preserve">) in such a way that </w:t>
      </w:r>
      <w:proofErr w:type="spellStart"/>
      <w:r w:rsidRPr="0084114C">
        <w:t>subregulation</w:t>
      </w:r>
      <w:proofErr w:type="spellEnd"/>
      <w:r w:rsidRPr="0084114C">
        <w:t xml:space="preserve"> (3) applies; or</w:t>
      </w:r>
    </w:p>
    <w:p w14:paraId="4190CBBC" w14:textId="77777777" w:rsidR="004C2E3A" w:rsidRPr="0084114C" w:rsidRDefault="004C2E3A" w:rsidP="004C2E3A">
      <w:pPr>
        <w:pStyle w:val="paragraph"/>
      </w:pPr>
      <w:r w:rsidRPr="0084114C">
        <w:tab/>
        <w:t>(b)</w:t>
      </w:r>
      <w:r w:rsidRPr="0084114C">
        <w:tab/>
        <w:t>they are, or are part of, an internal restructure or reorganisation of a group of persons who are:</w:t>
      </w:r>
    </w:p>
    <w:p w14:paraId="6AE4D4F2" w14:textId="77777777" w:rsidR="004C2E3A" w:rsidRPr="0084114C" w:rsidRDefault="004C2E3A" w:rsidP="004C2E3A">
      <w:pPr>
        <w:pStyle w:val="paragraphsub"/>
      </w:pPr>
      <w:r w:rsidRPr="0084114C">
        <w:tab/>
        <w:t>(</w:t>
      </w:r>
      <w:proofErr w:type="spellStart"/>
      <w:r w:rsidRPr="0084114C">
        <w:t>i</w:t>
      </w:r>
      <w:proofErr w:type="spellEnd"/>
      <w:r w:rsidRPr="0084114C">
        <w:t>)</w:t>
      </w:r>
      <w:r w:rsidRPr="0084114C">
        <w:tab/>
        <w:t>related bodies corporate; or</w:t>
      </w:r>
    </w:p>
    <w:p w14:paraId="67CA2619" w14:textId="77777777" w:rsidR="004C2E3A" w:rsidRPr="0084114C" w:rsidRDefault="004C2E3A" w:rsidP="004C2E3A">
      <w:pPr>
        <w:pStyle w:val="paragraphsub"/>
      </w:pPr>
      <w:r w:rsidRPr="0084114C">
        <w:tab/>
        <w:t>(ii)</w:t>
      </w:r>
      <w:r w:rsidRPr="0084114C">
        <w:tab/>
        <w:t>related by means of trust or partnership.</w:t>
      </w:r>
    </w:p>
    <w:p w14:paraId="5124735C" w14:textId="77777777" w:rsidR="004C2E3A" w:rsidRPr="0084114C" w:rsidRDefault="004C2E3A" w:rsidP="004C2E3A">
      <w:pPr>
        <w:pStyle w:val="subsection"/>
      </w:pPr>
      <w:r w:rsidRPr="0084114C">
        <w:tab/>
        <w:t>(3)</w:t>
      </w:r>
      <w:r w:rsidRPr="0084114C">
        <w:tab/>
        <w:t xml:space="preserve">This </w:t>
      </w:r>
      <w:proofErr w:type="spellStart"/>
      <w:r w:rsidRPr="0084114C">
        <w:t>subregulation</w:t>
      </w:r>
      <w:proofErr w:type="spellEnd"/>
      <w:r w:rsidRPr="0084114C">
        <w:t xml:space="preserve"> applies if, immediately after the exchange, the voting power in the new body of each person who was:</w:t>
      </w:r>
    </w:p>
    <w:p w14:paraId="7E6A67EF" w14:textId="77777777" w:rsidR="004C2E3A" w:rsidRPr="0084114C" w:rsidRDefault="004C2E3A" w:rsidP="004C2E3A">
      <w:pPr>
        <w:pStyle w:val="paragraph"/>
      </w:pPr>
      <w:r w:rsidRPr="0084114C">
        <w:tab/>
        <w:t>(a)</w:t>
      </w:r>
      <w:r w:rsidRPr="0084114C">
        <w:tab/>
        <w:t xml:space="preserve">if the </w:t>
      </w:r>
      <w:r w:rsidR="001419A8" w:rsidRPr="0084114C">
        <w:t>Part 5</w:t>
      </w:r>
      <w:r w:rsidRPr="0084114C">
        <w:t xml:space="preserve">.1 arrangement, or any of the </w:t>
      </w:r>
      <w:r w:rsidR="001419A8" w:rsidRPr="0084114C">
        <w:t>Part 5</w:t>
      </w:r>
      <w:r w:rsidRPr="0084114C">
        <w:t xml:space="preserve">.1 arrangements, are with all of the members of the </w:t>
      </w:r>
      <w:r w:rsidR="001419A8" w:rsidRPr="0084114C">
        <w:t>regulation 4</w:t>
      </w:r>
      <w:r w:rsidRPr="0084114C">
        <w:t xml:space="preserve"> body—a member of the </w:t>
      </w:r>
      <w:r w:rsidR="001419A8" w:rsidRPr="0084114C">
        <w:t>regulation 4</w:t>
      </w:r>
      <w:r w:rsidRPr="0084114C">
        <w:t xml:space="preserve"> body immediately before the </w:t>
      </w:r>
      <w:proofErr w:type="gramStart"/>
      <w:r w:rsidRPr="0084114C">
        <w:t>exchange;</w:t>
      </w:r>
      <w:proofErr w:type="gramEnd"/>
      <w:r w:rsidRPr="0084114C">
        <w:t xml:space="preserve"> or</w:t>
      </w:r>
    </w:p>
    <w:p w14:paraId="53224205" w14:textId="77777777" w:rsidR="004C2E3A" w:rsidRPr="0084114C" w:rsidRDefault="004C2E3A" w:rsidP="004C2E3A">
      <w:pPr>
        <w:pStyle w:val="paragraph"/>
      </w:pPr>
      <w:r w:rsidRPr="0084114C">
        <w:tab/>
        <w:t>(b)</w:t>
      </w:r>
      <w:r w:rsidRPr="0084114C">
        <w:tab/>
        <w:t xml:space="preserve">if the </w:t>
      </w:r>
      <w:r w:rsidR="001419A8" w:rsidRPr="0084114C">
        <w:t>Part 5</w:t>
      </w:r>
      <w:r w:rsidRPr="0084114C">
        <w:t xml:space="preserve">.1 arrangement, or all of the </w:t>
      </w:r>
      <w:r w:rsidR="001419A8" w:rsidRPr="0084114C">
        <w:t>Part 5</w:t>
      </w:r>
      <w:r w:rsidRPr="0084114C">
        <w:t xml:space="preserve">.1 arrangements, are with a class or classes of members of the </w:t>
      </w:r>
      <w:r w:rsidR="001419A8" w:rsidRPr="0084114C">
        <w:t>regulation 4</w:t>
      </w:r>
      <w:r w:rsidRPr="0084114C">
        <w:t xml:space="preserve"> body—a member of that class or any of those </w:t>
      </w:r>
      <w:proofErr w:type="gramStart"/>
      <w:r w:rsidRPr="0084114C">
        <w:t>classes;</w:t>
      </w:r>
      <w:proofErr w:type="gramEnd"/>
    </w:p>
    <w:p w14:paraId="644B9FF1" w14:textId="77777777" w:rsidR="004C2E3A" w:rsidRPr="0084114C" w:rsidRDefault="004C2E3A" w:rsidP="004C2E3A">
      <w:pPr>
        <w:pStyle w:val="subsection2"/>
      </w:pPr>
      <w:r w:rsidRPr="0084114C">
        <w:t xml:space="preserve">is the same as the voting power the member had in the </w:t>
      </w:r>
      <w:r w:rsidR="001419A8" w:rsidRPr="0084114C">
        <w:t>regulation 4</w:t>
      </w:r>
      <w:r w:rsidRPr="0084114C">
        <w:t xml:space="preserve"> body immediately before the exchange.</w:t>
      </w:r>
    </w:p>
    <w:p w14:paraId="4443D07E" w14:textId="77777777" w:rsidR="006521C5" w:rsidRPr="0084114C" w:rsidRDefault="006521C5" w:rsidP="006521C5">
      <w:pPr>
        <w:pStyle w:val="SubsectionHead"/>
      </w:pPr>
      <w:r w:rsidRPr="0084114C">
        <w:t xml:space="preserve">Listed registered </w:t>
      </w:r>
      <w:proofErr w:type="gramStart"/>
      <w:r w:rsidRPr="0084114C">
        <w:t>schemes</w:t>
      </w:r>
      <w:proofErr w:type="gramEnd"/>
    </w:p>
    <w:p w14:paraId="78A259D8" w14:textId="77777777" w:rsidR="006521C5" w:rsidRPr="0084114C" w:rsidRDefault="006521C5" w:rsidP="006521C5">
      <w:pPr>
        <w:pStyle w:val="subsection"/>
      </w:pPr>
      <w:r w:rsidRPr="0084114C">
        <w:tab/>
        <w:t>(4)</w:t>
      </w:r>
      <w:r w:rsidRPr="0084114C">
        <w:tab/>
        <w:t xml:space="preserve">An arrangement is a </w:t>
      </w:r>
      <w:r w:rsidRPr="0084114C">
        <w:rPr>
          <w:b/>
          <w:i/>
        </w:rPr>
        <w:t>control transaction</w:t>
      </w:r>
      <w:r w:rsidRPr="0084114C">
        <w:t xml:space="preserve"> in relation to a listed registered scheme if the arrangement results in:</w:t>
      </w:r>
    </w:p>
    <w:p w14:paraId="075DBF24" w14:textId="77777777" w:rsidR="006521C5" w:rsidRPr="0084114C" w:rsidRDefault="006521C5" w:rsidP="006521C5">
      <w:pPr>
        <w:pStyle w:val="paragraph"/>
      </w:pPr>
      <w:r w:rsidRPr="0084114C">
        <w:tab/>
        <w:t>(a)</w:t>
      </w:r>
      <w:r w:rsidRPr="0084114C">
        <w:tab/>
        <w:t>a person beginning to control the registered scheme; or</w:t>
      </w:r>
    </w:p>
    <w:p w14:paraId="327A6B5F" w14:textId="77777777" w:rsidR="006521C5" w:rsidRPr="0084114C" w:rsidRDefault="006521C5" w:rsidP="006521C5">
      <w:pPr>
        <w:pStyle w:val="paragraph"/>
      </w:pPr>
      <w:r w:rsidRPr="0084114C">
        <w:tab/>
        <w:t>(b)</w:t>
      </w:r>
      <w:r w:rsidRPr="0084114C">
        <w:tab/>
        <w:t>the voting power of a person in the registered scheme increasing:</w:t>
      </w:r>
    </w:p>
    <w:p w14:paraId="1D75E432" w14:textId="77777777" w:rsidR="006521C5" w:rsidRPr="0084114C" w:rsidRDefault="006521C5" w:rsidP="006521C5">
      <w:pPr>
        <w:pStyle w:val="paragraphsub"/>
      </w:pPr>
      <w:r w:rsidRPr="0084114C">
        <w:tab/>
        <w:t>(</w:t>
      </w:r>
      <w:proofErr w:type="spellStart"/>
      <w:r w:rsidRPr="0084114C">
        <w:t>i</w:t>
      </w:r>
      <w:proofErr w:type="spellEnd"/>
      <w:r w:rsidRPr="0084114C">
        <w:t>)</w:t>
      </w:r>
      <w:r w:rsidRPr="0084114C">
        <w:tab/>
        <w:t>from 50% or below to more than 50%; or</w:t>
      </w:r>
    </w:p>
    <w:p w14:paraId="4EC00CFB" w14:textId="77777777" w:rsidR="006521C5" w:rsidRPr="0084114C" w:rsidRDefault="006521C5" w:rsidP="006521C5">
      <w:pPr>
        <w:pStyle w:val="paragraphsub"/>
      </w:pPr>
      <w:r w:rsidRPr="0084114C">
        <w:tab/>
        <w:t>(ii)</w:t>
      </w:r>
      <w:r w:rsidRPr="0084114C">
        <w:tab/>
        <w:t>from a starting point that is above 50%.</w:t>
      </w:r>
    </w:p>
    <w:p w14:paraId="38BEE994" w14:textId="77777777" w:rsidR="006521C5" w:rsidRPr="0084114C" w:rsidRDefault="006521C5" w:rsidP="006521C5">
      <w:pPr>
        <w:pStyle w:val="subsection"/>
      </w:pPr>
      <w:r w:rsidRPr="0084114C">
        <w:tab/>
        <w:t>(5)</w:t>
      </w:r>
      <w:r w:rsidRPr="0084114C">
        <w:tab/>
        <w:t>For the purposes of paragraph (4)(a) of this regulation, in working out whether a person begins to control the registered scheme, apply section 50AA of the Corporations Act with the modifications set out in paragraphs 604(1)(a) to (h) of that Act in relation to the registered scheme.</w:t>
      </w:r>
    </w:p>
    <w:p w14:paraId="0F1397EE" w14:textId="77777777" w:rsidR="004C2E3A" w:rsidRPr="0084114C" w:rsidRDefault="004C2E3A" w:rsidP="004C2E3A">
      <w:pPr>
        <w:pStyle w:val="ActHead5"/>
      </w:pPr>
      <w:r w:rsidRPr="00DE06C2">
        <w:rPr>
          <w:rStyle w:val="CharSectno"/>
        </w:rPr>
        <w:lastRenderedPageBreak/>
        <w:t>4</w:t>
      </w:r>
      <w:proofErr w:type="gramStart"/>
      <w:r w:rsidR="00C11CC8" w:rsidRPr="00DE06C2">
        <w:rPr>
          <w:rStyle w:val="CharSectno"/>
        </w:rPr>
        <w:t>C</w:t>
      </w:r>
      <w:r w:rsidRPr="0084114C">
        <w:t xml:space="preserve">  Meaning</w:t>
      </w:r>
      <w:proofErr w:type="gramEnd"/>
      <w:r w:rsidRPr="0084114C">
        <w:t xml:space="preserve"> of </w:t>
      </w:r>
      <w:r w:rsidRPr="0084114C">
        <w:rPr>
          <w:i/>
        </w:rPr>
        <w:t>threshold value</w:t>
      </w:r>
    </w:p>
    <w:p w14:paraId="7DB82BAC" w14:textId="77777777" w:rsidR="00722132" w:rsidRPr="0084114C" w:rsidRDefault="001654FD" w:rsidP="004C2E3A">
      <w:pPr>
        <w:pStyle w:val="subsection"/>
      </w:pPr>
      <w:r w:rsidRPr="0084114C">
        <w:tab/>
        <w:t>(1)</w:t>
      </w:r>
      <w:r w:rsidRPr="0084114C">
        <w:tab/>
        <w:t>This regulation applies to a control transaction in relation to</w:t>
      </w:r>
      <w:r w:rsidR="00722132" w:rsidRPr="0084114C">
        <w:t>:</w:t>
      </w:r>
    </w:p>
    <w:p w14:paraId="1D7057C1" w14:textId="77777777" w:rsidR="009C7BA1" w:rsidRPr="0084114C" w:rsidRDefault="00722132" w:rsidP="00722132">
      <w:pPr>
        <w:pStyle w:val="paragraph"/>
      </w:pPr>
      <w:r w:rsidRPr="0084114C">
        <w:tab/>
        <w:t>(a)</w:t>
      </w:r>
      <w:r w:rsidRPr="0084114C">
        <w:tab/>
      </w:r>
      <w:r w:rsidR="001654FD" w:rsidRPr="0084114C">
        <w:t xml:space="preserve">a </w:t>
      </w:r>
      <w:r w:rsidR="001419A8" w:rsidRPr="0084114C">
        <w:t>regulation 4</w:t>
      </w:r>
      <w:r w:rsidR="009C7BA1" w:rsidRPr="0084114C">
        <w:t xml:space="preserve"> body</w:t>
      </w:r>
      <w:r w:rsidRPr="0084114C">
        <w:t>; or</w:t>
      </w:r>
    </w:p>
    <w:p w14:paraId="79E33ABC" w14:textId="77777777" w:rsidR="00722132" w:rsidRPr="0084114C" w:rsidRDefault="00722132" w:rsidP="00722132">
      <w:pPr>
        <w:pStyle w:val="paragraph"/>
      </w:pPr>
      <w:r w:rsidRPr="0084114C">
        <w:tab/>
        <w:t>(b)</w:t>
      </w:r>
      <w:r w:rsidRPr="0084114C">
        <w:tab/>
        <w:t>a listed registered scheme.</w:t>
      </w:r>
    </w:p>
    <w:p w14:paraId="1D514445" w14:textId="77777777" w:rsidR="00722132" w:rsidRPr="0084114C" w:rsidRDefault="00676608" w:rsidP="00676608">
      <w:pPr>
        <w:pStyle w:val="subsection"/>
      </w:pPr>
      <w:r w:rsidRPr="0084114C">
        <w:tab/>
        <w:t>(2)</w:t>
      </w:r>
      <w:r w:rsidRPr="0084114C">
        <w:tab/>
        <w:t xml:space="preserve">For the purposes of this regulation, a </w:t>
      </w:r>
      <w:r w:rsidRPr="0084114C">
        <w:rPr>
          <w:b/>
          <w:i/>
        </w:rPr>
        <w:t>security</w:t>
      </w:r>
      <w:r w:rsidRPr="0084114C">
        <w:t xml:space="preserve"> is</w:t>
      </w:r>
      <w:r w:rsidR="00722132" w:rsidRPr="0084114C">
        <w:t>:</w:t>
      </w:r>
    </w:p>
    <w:p w14:paraId="51B4DC37" w14:textId="77777777" w:rsidR="00722132" w:rsidRPr="0084114C" w:rsidRDefault="00722132" w:rsidP="00722132">
      <w:pPr>
        <w:pStyle w:val="paragraph"/>
      </w:pPr>
      <w:r w:rsidRPr="0084114C">
        <w:tab/>
        <w:t>(a)</w:t>
      </w:r>
      <w:r w:rsidRPr="0084114C">
        <w:tab/>
      </w:r>
      <w:r w:rsidR="00676608" w:rsidRPr="0084114C">
        <w:t xml:space="preserve">a share in the </w:t>
      </w:r>
      <w:r w:rsidR="001419A8" w:rsidRPr="0084114C">
        <w:t>regulation 4</w:t>
      </w:r>
      <w:r w:rsidR="00676608" w:rsidRPr="0084114C">
        <w:t xml:space="preserve"> body</w:t>
      </w:r>
      <w:r w:rsidRPr="0084114C">
        <w:t>; or</w:t>
      </w:r>
    </w:p>
    <w:p w14:paraId="2270F8F5" w14:textId="77777777" w:rsidR="00A12E9D" w:rsidRPr="0084114C" w:rsidRDefault="00722132" w:rsidP="00722132">
      <w:pPr>
        <w:pStyle w:val="paragraph"/>
      </w:pPr>
      <w:r w:rsidRPr="0084114C">
        <w:tab/>
        <w:t>(b)</w:t>
      </w:r>
      <w:r w:rsidRPr="0084114C">
        <w:tab/>
      </w:r>
      <w:r w:rsidR="00A12E9D" w:rsidRPr="0084114C">
        <w:t xml:space="preserve">an interest in the listed registered </w:t>
      </w:r>
      <w:proofErr w:type="gramStart"/>
      <w:r w:rsidR="00A12E9D" w:rsidRPr="0084114C">
        <w:t>scheme;</w:t>
      </w:r>
      <w:proofErr w:type="gramEnd"/>
    </w:p>
    <w:p w14:paraId="630B93B6" w14:textId="77777777" w:rsidR="00676608" w:rsidRPr="0084114C" w:rsidRDefault="00676608" w:rsidP="00A12E9D">
      <w:pPr>
        <w:pStyle w:val="subsection2"/>
      </w:pPr>
      <w:r w:rsidRPr="0084114C">
        <w:t xml:space="preserve">other than a share </w:t>
      </w:r>
      <w:r w:rsidR="006521C5" w:rsidRPr="0084114C">
        <w:t xml:space="preserve">or interest </w:t>
      </w:r>
      <w:r w:rsidRPr="0084114C">
        <w:t>issued under the control transaction.</w:t>
      </w:r>
    </w:p>
    <w:p w14:paraId="4E2E9C9C" w14:textId="77777777" w:rsidR="00A12E9D" w:rsidRPr="0084114C" w:rsidRDefault="004C2E3A" w:rsidP="004C2E3A">
      <w:pPr>
        <w:pStyle w:val="subsection"/>
      </w:pPr>
      <w:r w:rsidRPr="0084114C">
        <w:tab/>
        <w:t>(</w:t>
      </w:r>
      <w:r w:rsidR="00676608" w:rsidRPr="0084114C">
        <w:t>3</w:t>
      </w:r>
      <w:r w:rsidRPr="0084114C">
        <w:t>)</w:t>
      </w:r>
      <w:r w:rsidRPr="0084114C">
        <w:tab/>
        <w:t xml:space="preserve">The </w:t>
      </w:r>
      <w:r w:rsidRPr="0084114C">
        <w:rPr>
          <w:b/>
          <w:i/>
        </w:rPr>
        <w:t>threshold value</w:t>
      </w:r>
      <w:r w:rsidRPr="0084114C">
        <w:t xml:space="preserve"> for</w:t>
      </w:r>
      <w:r w:rsidR="00A12E9D" w:rsidRPr="0084114C">
        <w:t>:</w:t>
      </w:r>
    </w:p>
    <w:p w14:paraId="6D3AF14C" w14:textId="77777777" w:rsidR="00A12E9D" w:rsidRPr="0084114C" w:rsidRDefault="00A12E9D" w:rsidP="00A12E9D">
      <w:pPr>
        <w:pStyle w:val="paragraph"/>
      </w:pPr>
      <w:r w:rsidRPr="0084114C">
        <w:tab/>
        <w:t>(a)</w:t>
      </w:r>
      <w:r w:rsidRPr="0084114C">
        <w:tab/>
      </w:r>
      <w:r w:rsidR="004C2E3A" w:rsidRPr="0084114C">
        <w:t xml:space="preserve">a lodgement under </w:t>
      </w:r>
      <w:r w:rsidR="001419A8" w:rsidRPr="0084114C">
        <w:t>subsection 4</w:t>
      </w:r>
      <w:r w:rsidR="004C2E3A" w:rsidRPr="0084114C">
        <w:t>11(10)</w:t>
      </w:r>
      <w:r w:rsidR="00D6294F" w:rsidRPr="0084114C">
        <w:t xml:space="preserve"> of the Corporations Act of a copy of an order</w:t>
      </w:r>
      <w:r w:rsidR="009C7BA1" w:rsidRPr="0084114C">
        <w:t xml:space="preserve"> of approval of a </w:t>
      </w:r>
      <w:r w:rsidR="001419A8" w:rsidRPr="0084114C">
        <w:t>Part 5</w:t>
      </w:r>
      <w:r w:rsidR="009C7BA1" w:rsidRPr="0084114C">
        <w:t xml:space="preserve">.1 arrangement in relation to the </w:t>
      </w:r>
      <w:r w:rsidR="001419A8" w:rsidRPr="0084114C">
        <w:t>regulation 4</w:t>
      </w:r>
      <w:r w:rsidR="009C7BA1" w:rsidRPr="0084114C">
        <w:t xml:space="preserve"> body that is, or is part of, the control </w:t>
      </w:r>
      <w:proofErr w:type="gramStart"/>
      <w:r w:rsidR="009C7BA1" w:rsidRPr="0084114C">
        <w:t>transaction</w:t>
      </w:r>
      <w:r w:rsidRPr="0084114C">
        <w:t>;</w:t>
      </w:r>
      <w:proofErr w:type="gramEnd"/>
      <w:r w:rsidRPr="0084114C">
        <w:t xml:space="preserve"> or</w:t>
      </w:r>
    </w:p>
    <w:p w14:paraId="0947EEA4" w14:textId="77777777" w:rsidR="00A12E9D" w:rsidRPr="0084114C" w:rsidRDefault="005A534E" w:rsidP="00A12E9D">
      <w:pPr>
        <w:pStyle w:val="paragraph"/>
      </w:pPr>
      <w:r w:rsidRPr="0084114C">
        <w:tab/>
        <w:t>(b)</w:t>
      </w:r>
      <w:r w:rsidRPr="0084114C">
        <w:tab/>
        <w:t>if the control transaction includes a modification of the constitution of the listed registered scheme, or the repeal and replacement of the constitution of the listed registered scheme—</w:t>
      </w:r>
      <w:r w:rsidR="002B6215" w:rsidRPr="0084114C">
        <w:t xml:space="preserve">a lodgement under </w:t>
      </w:r>
      <w:r w:rsidR="001419A8" w:rsidRPr="0084114C">
        <w:t>subsection 6</w:t>
      </w:r>
      <w:r w:rsidR="002B6215" w:rsidRPr="0084114C">
        <w:t>01</w:t>
      </w:r>
      <w:proofErr w:type="gramStart"/>
      <w:r w:rsidR="002B6215" w:rsidRPr="0084114C">
        <w:t>GC(</w:t>
      </w:r>
      <w:proofErr w:type="gramEnd"/>
      <w:r w:rsidR="002B6215" w:rsidRPr="0084114C">
        <w:t xml:space="preserve">2) of the Corporations Act of a copy of the modification, or a copy </w:t>
      </w:r>
      <w:r w:rsidR="001705A7" w:rsidRPr="0084114C">
        <w:t xml:space="preserve">of the </w:t>
      </w:r>
      <w:r w:rsidR="00A12E9D" w:rsidRPr="0084114C">
        <w:t>new constitution of the listed registered scheme</w:t>
      </w:r>
      <w:r w:rsidR="006A6845" w:rsidRPr="0084114C">
        <w:t>;</w:t>
      </w:r>
    </w:p>
    <w:p w14:paraId="279AD123" w14:textId="77777777" w:rsidR="004C2E3A" w:rsidRPr="0084114C" w:rsidRDefault="004C2E3A" w:rsidP="00A12E9D">
      <w:pPr>
        <w:pStyle w:val="subsection2"/>
      </w:pPr>
      <w:r w:rsidRPr="0084114C">
        <w:t>is the amount worked out using the following formula:</w:t>
      </w:r>
    </w:p>
    <w:p w14:paraId="7955F118" w14:textId="77777777" w:rsidR="004C2E3A" w:rsidRPr="0084114C" w:rsidRDefault="002F707B" w:rsidP="004C2E3A">
      <w:pPr>
        <w:pStyle w:val="subsection2"/>
      </w:pPr>
      <w:r w:rsidRPr="0084114C">
        <w:rPr>
          <w:position w:val="-50"/>
        </w:rPr>
        <w:object w:dxaOrig="6420" w:dyaOrig="1219" w14:anchorId="7B659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The value, at lodgement, of the consideration payable, per security, under the control transaction for acquiring a security or for the cancellation of a security times The number of securities at lodgement, including any securities which are not acquired or cancelled under the control transaction end formula" style="width:320.65pt;height:61.1pt;mso-position-vertical:absolute" o:ole="">
            <v:imagedata r:id="rId24" o:title=""/>
          </v:shape>
          <o:OLEObject Type="Embed" ProgID="Equation.DSMT4" ShapeID="_x0000_i1025" DrawAspect="Content" ObjectID="_1795520650" r:id="rId25"/>
        </w:object>
      </w:r>
    </w:p>
    <w:p w14:paraId="710F2D90" w14:textId="77777777" w:rsidR="004C2E3A" w:rsidRPr="0084114C" w:rsidRDefault="004C2E3A" w:rsidP="004C2E3A">
      <w:pPr>
        <w:pStyle w:val="subsection"/>
      </w:pPr>
      <w:r w:rsidRPr="0084114C">
        <w:tab/>
        <w:t>(</w:t>
      </w:r>
      <w:r w:rsidR="00676608" w:rsidRPr="0084114C">
        <w:t>4</w:t>
      </w:r>
      <w:r w:rsidRPr="0084114C">
        <w:t>)</w:t>
      </w:r>
      <w:r w:rsidRPr="0084114C">
        <w:tab/>
        <w:t xml:space="preserve">If the control transaction provides for the acquisition or cancellation of securities in only one class of securities, treat a reference in </w:t>
      </w:r>
      <w:proofErr w:type="spellStart"/>
      <w:r w:rsidRPr="0084114C">
        <w:t>subregulation</w:t>
      </w:r>
      <w:proofErr w:type="spellEnd"/>
      <w:r w:rsidRPr="0084114C">
        <w:t xml:space="preserve"> (</w:t>
      </w:r>
      <w:r w:rsidR="00676608" w:rsidRPr="0084114C">
        <w:t>3</w:t>
      </w:r>
      <w:r w:rsidRPr="0084114C">
        <w:t>) to a security as being a reference to a security of that class.</w:t>
      </w:r>
    </w:p>
    <w:p w14:paraId="6E53D34A" w14:textId="77777777" w:rsidR="004C2E3A" w:rsidRPr="0084114C" w:rsidRDefault="004C2E3A" w:rsidP="004C2E3A">
      <w:pPr>
        <w:pStyle w:val="subsection"/>
      </w:pPr>
      <w:r w:rsidRPr="0084114C">
        <w:tab/>
        <w:t>(</w:t>
      </w:r>
      <w:r w:rsidR="00676608" w:rsidRPr="0084114C">
        <w:t>5</w:t>
      </w:r>
      <w:r w:rsidRPr="0084114C">
        <w:t>)</w:t>
      </w:r>
      <w:r w:rsidRPr="0084114C">
        <w:tab/>
        <w:t xml:space="preserve">If the control transaction provides for the acquisition or cancellation of securities in 2 or more classes of securities, work out the </w:t>
      </w:r>
      <w:r w:rsidRPr="0084114C">
        <w:rPr>
          <w:b/>
          <w:i/>
        </w:rPr>
        <w:t>threshold value</w:t>
      </w:r>
      <w:r w:rsidRPr="0084114C">
        <w:t xml:space="preserve"> </w:t>
      </w:r>
      <w:r w:rsidR="00676608" w:rsidRPr="0084114C">
        <w:t xml:space="preserve">for the lodgement </w:t>
      </w:r>
      <w:r w:rsidRPr="0084114C">
        <w:t>by:</w:t>
      </w:r>
    </w:p>
    <w:p w14:paraId="20DD9FF7" w14:textId="77777777" w:rsidR="004C2E3A" w:rsidRPr="0084114C" w:rsidRDefault="004C2E3A" w:rsidP="004C2E3A">
      <w:pPr>
        <w:pStyle w:val="paragraph"/>
      </w:pPr>
      <w:r w:rsidRPr="0084114C">
        <w:tab/>
        <w:t>(a)</w:t>
      </w:r>
      <w:r w:rsidRPr="0084114C">
        <w:tab/>
        <w:t xml:space="preserve">applying the formula in </w:t>
      </w:r>
      <w:proofErr w:type="spellStart"/>
      <w:r w:rsidRPr="0084114C">
        <w:t>sub</w:t>
      </w:r>
      <w:r w:rsidR="001654FD" w:rsidRPr="0084114C">
        <w:t>regulation</w:t>
      </w:r>
      <w:proofErr w:type="spellEnd"/>
      <w:r w:rsidR="001654FD" w:rsidRPr="0084114C">
        <w:t xml:space="preserve"> </w:t>
      </w:r>
      <w:r w:rsidRPr="0084114C">
        <w:t>(</w:t>
      </w:r>
      <w:r w:rsidR="00EA08B1" w:rsidRPr="0084114C">
        <w:t>3</w:t>
      </w:r>
      <w:r w:rsidRPr="0084114C">
        <w:t>) to work out an amount in respect of each of those classes, treating a reference in that formula to a security as being a reference to a security in that class; and</w:t>
      </w:r>
    </w:p>
    <w:p w14:paraId="714E97BA" w14:textId="77777777" w:rsidR="004C2E3A" w:rsidRPr="0084114C" w:rsidRDefault="004C2E3A" w:rsidP="004C2E3A">
      <w:pPr>
        <w:pStyle w:val="paragraph"/>
      </w:pPr>
      <w:r w:rsidRPr="0084114C">
        <w:tab/>
        <w:t>(b)</w:t>
      </w:r>
      <w:r w:rsidRPr="0084114C">
        <w:tab/>
        <w:t xml:space="preserve">adding up the amounts worked out under paragraph (a) of this </w:t>
      </w:r>
      <w:proofErr w:type="spellStart"/>
      <w:r w:rsidRPr="0084114C">
        <w:t>subregulation</w:t>
      </w:r>
      <w:proofErr w:type="spellEnd"/>
      <w:r w:rsidRPr="0084114C">
        <w:t>.</w:t>
      </w:r>
    </w:p>
    <w:p w14:paraId="6F1FA1F8" w14:textId="77777777" w:rsidR="00685188" w:rsidRPr="0084114C" w:rsidRDefault="00685188" w:rsidP="00685188">
      <w:pPr>
        <w:pStyle w:val="ActHead4"/>
      </w:pPr>
      <w:bookmarkStart w:id="12" w:name="_Toc182829539"/>
      <w:r w:rsidRPr="00DE06C2">
        <w:rPr>
          <w:rStyle w:val="CharSubdNo"/>
        </w:rPr>
        <w:t xml:space="preserve">Subdivision </w:t>
      </w:r>
      <w:r w:rsidR="00C11CC8" w:rsidRPr="00DE06C2">
        <w:rPr>
          <w:rStyle w:val="CharSubdNo"/>
        </w:rPr>
        <w:t>B</w:t>
      </w:r>
      <w:r w:rsidRPr="0084114C">
        <w:t>—</w:t>
      </w:r>
      <w:r w:rsidRPr="00DE06C2">
        <w:rPr>
          <w:rStyle w:val="CharSubdText"/>
        </w:rPr>
        <w:t>Takeover bids</w:t>
      </w:r>
      <w:bookmarkEnd w:id="12"/>
    </w:p>
    <w:p w14:paraId="2B959A69" w14:textId="77777777" w:rsidR="00685188" w:rsidRPr="0084114C" w:rsidRDefault="00685188" w:rsidP="00300E2D">
      <w:pPr>
        <w:pStyle w:val="ActHead5"/>
      </w:pPr>
      <w:bookmarkStart w:id="13" w:name="_Toc182829540"/>
      <w:r w:rsidRPr="00DE06C2">
        <w:rPr>
          <w:rStyle w:val="CharSectno"/>
        </w:rPr>
        <w:t>4</w:t>
      </w:r>
      <w:proofErr w:type="gramStart"/>
      <w:r w:rsidR="00C11CC8" w:rsidRPr="00DE06C2">
        <w:rPr>
          <w:rStyle w:val="CharSectno"/>
        </w:rPr>
        <w:t>D</w:t>
      </w:r>
      <w:r w:rsidRPr="0084114C">
        <w:t xml:space="preserve">  </w:t>
      </w:r>
      <w:r w:rsidR="00300E2D" w:rsidRPr="0084114C">
        <w:t>Fee</w:t>
      </w:r>
      <w:proofErr w:type="gramEnd"/>
      <w:r w:rsidR="00300E2D" w:rsidRPr="0084114C">
        <w:t>—</w:t>
      </w:r>
      <w:bookmarkEnd w:id="13"/>
      <w:r w:rsidR="00300E2D" w:rsidRPr="0084114C">
        <w:t>c</w:t>
      </w:r>
      <w:r w:rsidRPr="0084114C">
        <w:t>ompulsory acquisition notices</w:t>
      </w:r>
    </w:p>
    <w:p w14:paraId="2551769A" w14:textId="77777777" w:rsidR="00685188" w:rsidRPr="0084114C" w:rsidRDefault="00685188" w:rsidP="00685188">
      <w:pPr>
        <w:pStyle w:val="subsection"/>
      </w:pPr>
      <w:r w:rsidRPr="0084114C">
        <w:tab/>
        <w:t>(1)</w:t>
      </w:r>
      <w:r w:rsidRPr="0084114C">
        <w:tab/>
        <w:t xml:space="preserve">For the purposes of </w:t>
      </w:r>
      <w:r w:rsidR="00212560" w:rsidRPr="0084114C">
        <w:t>section 5</w:t>
      </w:r>
      <w:r w:rsidRPr="0084114C">
        <w:t xml:space="preserve"> of the Act, and subject to </w:t>
      </w:r>
      <w:r w:rsidR="001419A8" w:rsidRPr="0084114C">
        <w:t>regulation 4</w:t>
      </w:r>
      <w:r w:rsidR="00090798" w:rsidRPr="0084114C">
        <w:t>H</w:t>
      </w:r>
      <w:r w:rsidRPr="0084114C">
        <w:t xml:space="preserve"> of these Regulations, the fee set out in </w:t>
      </w:r>
      <w:proofErr w:type="spellStart"/>
      <w:r w:rsidRPr="0084114C">
        <w:t>subregulation</w:t>
      </w:r>
      <w:proofErr w:type="spellEnd"/>
      <w:r w:rsidRPr="0084114C">
        <w:t xml:space="preserve"> (2) of this regulation is prescribed for lodging a notice under </w:t>
      </w:r>
      <w:r w:rsidR="009F7981" w:rsidRPr="0084114C">
        <w:t>paragraph 6</w:t>
      </w:r>
      <w:r w:rsidRPr="0084114C">
        <w:t>61B(1)(b) of the Corporations Act relating to a compulsory acquisition of securities following a takeover bid, if:</w:t>
      </w:r>
    </w:p>
    <w:p w14:paraId="413FBE39" w14:textId="77777777" w:rsidR="00685188" w:rsidRPr="0084114C" w:rsidRDefault="00685188" w:rsidP="00685188">
      <w:pPr>
        <w:pStyle w:val="paragraph"/>
      </w:pPr>
      <w:r w:rsidRPr="0084114C">
        <w:tab/>
        <w:t>(a)</w:t>
      </w:r>
      <w:r w:rsidRPr="0084114C">
        <w:tab/>
        <w:t xml:space="preserve">the threshold value </w:t>
      </w:r>
      <w:r w:rsidR="00B97FBC" w:rsidRPr="0084114C">
        <w:t xml:space="preserve">for the lodgement </w:t>
      </w:r>
      <w:r w:rsidRPr="0084114C">
        <w:t>is equal to or greater than $10</w:t>
      </w:r>
      <w:r w:rsidR="00AF2AF9">
        <w:t> </w:t>
      </w:r>
      <w:r w:rsidRPr="0084114C">
        <w:t>million; and</w:t>
      </w:r>
    </w:p>
    <w:p w14:paraId="45716719" w14:textId="77777777" w:rsidR="00685188" w:rsidRPr="0084114C" w:rsidRDefault="00685188" w:rsidP="00685188">
      <w:pPr>
        <w:pStyle w:val="paragraph"/>
      </w:pPr>
      <w:r w:rsidRPr="0084114C">
        <w:tab/>
        <w:t>(b)</w:t>
      </w:r>
      <w:r w:rsidRPr="0084114C">
        <w:tab/>
        <w:t xml:space="preserve">the lodgement occurs between </w:t>
      </w:r>
      <w:r w:rsidR="00212560" w:rsidRPr="0084114C">
        <w:t>1 January</w:t>
      </w:r>
      <w:r w:rsidRPr="0084114C">
        <w:t xml:space="preserve"> 2025 and 31 December 2027.</w:t>
      </w:r>
    </w:p>
    <w:p w14:paraId="2A8D147B" w14:textId="77777777" w:rsidR="00685188" w:rsidRPr="0084114C" w:rsidRDefault="00685188" w:rsidP="00685188">
      <w:pPr>
        <w:pStyle w:val="subsection"/>
      </w:pPr>
      <w:r w:rsidRPr="0084114C">
        <w:lastRenderedPageBreak/>
        <w:tab/>
        <w:t>(2)</w:t>
      </w:r>
      <w:r w:rsidRPr="0084114C">
        <w:tab/>
      </w:r>
      <w:r w:rsidR="00272210" w:rsidRPr="0084114C">
        <w:t xml:space="preserve">For the purposes of </w:t>
      </w:r>
      <w:proofErr w:type="spellStart"/>
      <w:r w:rsidR="00272210" w:rsidRPr="0084114C">
        <w:t>subregulation</w:t>
      </w:r>
      <w:proofErr w:type="spellEnd"/>
      <w:r w:rsidR="00272210" w:rsidRPr="0084114C">
        <w:t xml:space="preserve"> (1), t</w:t>
      </w:r>
      <w:r w:rsidRPr="0084114C">
        <w:t>he fee is the fee worked out using the following table:</w:t>
      </w:r>
    </w:p>
    <w:p w14:paraId="015789D4" w14:textId="77777777" w:rsidR="00685188" w:rsidRPr="0084114C" w:rsidRDefault="00685188" w:rsidP="00685188">
      <w:pPr>
        <w:pStyle w:val="Tabletext"/>
      </w:pPr>
    </w:p>
    <w:tbl>
      <w:tblPr>
        <w:tblW w:w="666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1706"/>
      </w:tblGrid>
      <w:tr w:rsidR="00685188" w:rsidRPr="0084114C" w14:paraId="7A63EC05" w14:textId="77777777" w:rsidTr="00047F1D">
        <w:trPr>
          <w:tblHeader/>
        </w:trPr>
        <w:tc>
          <w:tcPr>
            <w:tcW w:w="6663" w:type="dxa"/>
            <w:gridSpan w:val="3"/>
            <w:tcBorders>
              <w:top w:val="single" w:sz="12" w:space="0" w:color="auto"/>
              <w:bottom w:val="single" w:sz="6" w:space="0" w:color="auto"/>
            </w:tcBorders>
            <w:shd w:val="clear" w:color="auto" w:fill="auto"/>
          </w:tcPr>
          <w:p w14:paraId="164F4703" w14:textId="77777777" w:rsidR="00685188" w:rsidRPr="0084114C" w:rsidRDefault="00685188" w:rsidP="00047F1D">
            <w:pPr>
              <w:pStyle w:val="TableHeading"/>
            </w:pPr>
            <w:r w:rsidRPr="0084114C">
              <w:t>Fee</w:t>
            </w:r>
          </w:p>
        </w:tc>
      </w:tr>
      <w:tr w:rsidR="00685188" w:rsidRPr="0084114C" w14:paraId="38D26DCD" w14:textId="77777777" w:rsidTr="004B2988">
        <w:trPr>
          <w:tblHeader/>
        </w:trPr>
        <w:tc>
          <w:tcPr>
            <w:tcW w:w="714" w:type="dxa"/>
            <w:tcBorders>
              <w:top w:val="single" w:sz="6" w:space="0" w:color="auto"/>
              <w:bottom w:val="single" w:sz="12" w:space="0" w:color="auto"/>
            </w:tcBorders>
            <w:shd w:val="clear" w:color="auto" w:fill="auto"/>
          </w:tcPr>
          <w:p w14:paraId="66626E6B" w14:textId="77777777" w:rsidR="00685188" w:rsidRPr="0084114C" w:rsidRDefault="00685188" w:rsidP="00047F1D">
            <w:pPr>
              <w:pStyle w:val="TableHeading"/>
            </w:pPr>
            <w:r w:rsidRPr="0084114C">
              <w:t>Item</w:t>
            </w:r>
          </w:p>
        </w:tc>
        <w:tc>
          <w:tcPr>
            <w:tcW w:w="4243" w:type="dxa"/>
            <w:tcBorders>
              <w:top w:val="single" w:sz="6" w:space="0" w:color="auto"/>
              <w:bottom w:val="single" w:sz="12" w:space="0" w:color="auto"/>
            </w:tcBorders>
            <w:shd w:val="clear" w:color="auto" w:fill="auto"/>
          </w:tcPr>
          <w:p w14:paraId="6932E4FF" w14:textId="77777777" w:rsidR="00685188" w:rsidRPr="0084114C" w:rsidRDefault="00685188" w:rsidP="00047F1D">
            <w:pPr>
              <w:pStyle w:val="TableHeading"/>
            </w:pPr>
            <w:r w:rsidRPr="0084114C">
              <w:t>Column 1</w:t>
            </w:r>
          </w:p>
          <w:p w14:paraId="6087FA94" w14:textId="77777777" w:rsidR="00685188" w:rsidRPr="0084114C" w:rsidRDefault="00685188" w:rsidP="00047F1D">
            <w:pPr>
              <w:pStyle w:val="TableHeading"/>
            </w:pPr>
            <w:r w:rsidRPr="0084114C">
              <w:t xml:space="preserve">If the threshold value </w:t>
            </w:r>
            <w:r w:rsidR="00B97FBC" w:rsidRPr="0084114C">
              <w:t>for the lodgement</w:t>
            </w:r>
            <w:r w:rsidRPr="0084114C">
              <w:t xml:space="preserve"> is …</w:t>
            </w:r>
          </w:p>
        </w:tc>
        <w:tc>
          <w:tcPr>
            <w:tcW w:w="1706" w:type="dxa"/>
            <w:tcBorders>
              <w:top w:val="single" w:sz="6" w:space="0" w:color="auto"/>
              <w:bottom w:val="single" w:sz="12" w:space="0" w:color="auto"/>
            </w:tcBorders>
            <w:shd w:val="clear" w:color="auto" w:fill="auto"/>
          </w:tcPr>
          <w:p w14:paraId="5BA4E7D7" w14:textId="77777777" w:rsidR="00685188" w:rsidRPr="0084114C" w:rsidRDefault="00685188" w:rsidP="00047F1D">
            <w:pPr>
              <w:pStyle w:val="TableHeading"/>
            </w:pPr>
            <w:r w:rsidRPr="0084114C">
              <w:t>Column 2</w:t>
            </w:r>
          </w:p>
          <w:p w14:paraId="605F0868" w14:textId="77777777" w:rsidR="00685188" w:rsidRPr="0084114C" w:rsidRDefault="00685188" w:rsidP="00047F1D">
            <w:pPr>
              <w:pStyle w:val="TableHeading"/>
            </w:pPr>
            <w:r w:rsidRPr="0084114C">
              <w:t>then the fee is …</w:t>
            </w:r>
          </w:p>
        </w:tc>
      </w:tr>
      <w:tr w:rsidR="004B2988" w:rsidRPr="0084114C" w14:paraId="7AAAB599" w14:textId="77777777" w:rsidTr="004B2988">
        <w:tc>
          <w:tcPr>
            <w:tcW w:w="714" w:type="dxa"/>
            <w:tcBorders>
              <w:top w:val="single" w:sz="12" w:space="0" w:color="auto"/>
            </w:tcBorders>
            <w:shd w:val="clear" w:color="auto" w:fill="auto"/>
          </w:tcPr>
          <w:p w14:paraId="7BCB1A26" w14:textId="77777777" w:rsidR="004B2988" w:rsidRPr="0084114C" w:rsidRDefault="004B2988" w:rsidP="004B2988">
            <w:pPr>
              <w:pStyle w:val="Tabletext"/>
            </w:pPr>
            <w:r w:rsidRPr="0084114C">
              <w:t>1</w:t>
            </w:r>
          </w:p>
        </w:tc>
        <w:tc>
          <w:tcPr>
            <w:tcW w:w="4243" w:type="dxa"/>
            <w:tcBorders>
              <w:top w:val="single" w:sz="12" w:space="0" w:color="auto"/>
            </w:tcBorders>
            <w:shd w:val="clear" w:color="auto" w:fill="auto"/>
          </w:tcPr>
          <w:p w14:paraId="39B72B5A" w14:textId="77777777" w:rsidR="004B2988" w:rsidRPr="0084114C" w:rsidRDefault="004B2988" w:rsidP="004B2988">
            <w:pPr>
              <w:pStyle w:val="Tabletext"/>
            </w:pPr>
            <w:r w:rsidRPr="0084114C">
              <w:t>greater than $500 million</w:t>
            </w:r>
          </w:p>
        </w:tc>
        <w:tc>
          <w:tcPr>
            <w:tcW w:w="1706" w:type="dxa"/>
            <w:tcBorders>
              <w:top w:val="single" w:sz="12" w:space="0" w:color="auto"/>
            </w:tcBorders>
            <w:shd w:val="clear" w:color="auto" w:fill="auto"/>
          </w:tcPr>
          <w:p w14:paraId="4306E5CD" w14:textId="77777777" w:rsidR="004B2988" w:rsidRPr="0084114C" w:rsidRDefault="004B2988" w:rsidP="00AF2AF9">
            <w:pPr>
              <w:pStyle w:val="Tabletext"/>
              <w:tabs>
                <w:tab w:val="decimal" w:pos="985"/>
              </w:tabs>
            </w:pPr>
            <w:r w:rsidRPr="0084114C">
              <w:t>$194,198.</w:t>
            </w:r>
          </w:p>
        </w:tc>
      </w:tr>
      <w:tr w:rsidR="004B2988" w:rsidRPr="0084114C" w14:paraId="2AE67AB1" w14:textId="77777777" w:rsidTr="004B2988">
        <w:tc>
          <w:tcPr>
            <w:tcW w:w="714" w:type="dxa"/>
            <w:shd w:val="clear" w:color="auto" w:fill="auto"/>
          </w:tcPr>
          <w:p w14:paraId="02059D68" w14:textId="77777777" w:rsidR="004B2988" w:rsidRPr="0084114C" w:rsidRDefault="004B2988" w:rsidP="004B2988">
            <w:pPr>
              <w:pStyle w:val="Tabletext"/>
            </w:pPr>
            <w:r w:rsidRPr="0084114C">
              <w:t>2</w:t>
            </w:r>
          </w:p>
        </w:tc>
        <w:tc>
          <w:tcPr>
            <w:tcW w:w="4243" w:type="dxa"/>
            <w:shd w:val="clear" w:color="auto" w:fill="auto"/>
          </w:tcPr>
          <w:p w14:paraId="2C7444C5" w14:textId="77777777" w:rsidR="004B2988" w:rsidRPr="0084114C" w:rsidRDefault="004B2988" w:rsidP="004B2988">
            <w:pPr>
              <w:pStyle w:val="Tablea"/>
            </w:pPr>
            <w:r w:rsidRPr="0084114C">
              <w:t>(a) less than or equal to $500 million; and</w:t>
            </w:r>
          </w:p>
          <w:p w14:paraId="037F16EF" w14:textId="77777777" w:rsidR="004B2988" w:rsidRPr="0084114C" w:rsidRDefault="004B2988" w:rsidP="004B2988">
            <w:pPr>
              <w:pStyle w:val="Tablea"/>
            </w:pPr>
            <w:r w:rsidRPr="0084114C">
              <w:t>(b) equal to or greater than $100 million</w:t>
            </w:r>
          </w:p>
        </w:tc>
        <w:tc>
          <w:tcPr>
            <w:tcW w:w="1706" w:type="dxa"/>
            <w:shd w:val="clear" w:color="auto" w:fill="auto"/>
          </w:tcPr>
          <w:p w14:paraId="3D9F7F61" w14:textId="77777777" w:rsidR="004B2988" w:rsidRPr="0084114C" w:rsidRDefault="004B2988" w:rsidP="00AF2AF9">
            <w:pPr>
              <w:pStyle w:val="Tabletext"/>
              <w:tabs>
                <w:tab w:val="decimal" w:pos="985"/>
              </w:tabs>
            </w:pPr>
            <w:r w:rsidRPr="0084114C">
              <w:t>$144,198.</w:t>
            </w:r>
          </w:p>
        </w:tc>
      </w:tr>
      <w:tr w:rsidR="00685188" w:rsidRPr="0084114C" w14:paraId="181D0BBE" w14:textId="77777777" w:rsidTr="004B2988">
        <w:tc>
          <w:tcPr>
            <w:tcW w:w="714" w:type="dxa"/>
            <w:tcBorders>
              <w:bottom w:val="single" w:sz="2" w:space="0" w:color="auto"/>
            </w:tcBorders>
            <w:shd w:val="clear" w:color="auto" w:fill="auto"/>
          </w:tcPr>
          <w:p w14:paraId="66FD9298" w14:textId="77777777" w:rsidR="00685188" w:rsidRPr="0084114C" w:rsidRDefault="00685188" w:rsidP="00047F1D">
            <w:pPr>
              <w:pStyle w:val="Tabletext"/>
            </w:pPr>
            <w:r w:rsidRPr="0084114C">
              <w:t>3</w:t>
            </w:r>
          </w:p>
        </w:tc>
        <w:tc>
          <w:tcPr>
            <w:tcW w:w="4243" w:type="dxa"/>
            <w:tcBorders>
              <w:bottom w:val="single" w:sz="2" w:space="0" w:color="auto"/>
            </w:tcBorders>
            <w:shd w:val="clear" w:color="auto" w:fill="auto"/>
          </w:tcPr>
          <w:p w14:paraId="28EDB733" w14:textId="77777777" w:rsidR="00685188" w:rsidRPr="0084114C" w:rsidRDefault="00685188" w:rsidP="00047F1D">
            <w:pPr>
              <w:pStyle w:val="Tablea"/>
            </w:pPr>
            <w:r w:rsidRPr="0084114C">
              <w:t>(a) less than $100 million; and</w:t>
            </w:r>
          </w:p>
          <w:p w14:paraId="4299DB2C" w14:textId="77777777" w:rsidR="00685188" w:rsidRPr="0084114C" w:rsidRDefault="00685188" w:rsidP="00047F1D">
            <w:pPr>
              <w:pStyle w:val="Tablea"/>
            </w:pPr>
            <w:r w:rsidRPr="0084114C">
              <w:t>(b) equal to or greater than $35 million</w:t>
            </w:r>
          </w:p>
        </w:tc>
        <w:tc>
          <w:tcPr>
            <w:tcW w:w="1706" w:type="dxa"/>
            <w:tcBorders>
              <w:bottom w:val="single" w:sz="2" w:space="0" w:color="auto"/>
            </w:tcBorders>
            <w:shd w:val="clear" w:color="auto" w:fill="auto"/>
          </w:tcPr>
          <w:p w14:paraId="2379F0F1" w14:textId="77777777" w:rsidR="00685188" w:rsidRPr="0084114C" w:rsidRDefault="00685188" w:rsidP="00AF2AF9">
            <w:pPr>
              <w:pStyle w:val="Tabletext"/>
              <w:tabs>
                <w:tab w:val="decimal" w:pos="985"/>
              </w:tabs>
            </w:pPr>
            <w:r w:rsidRPr="0084114C">
              <w:t>$49,198.</w:t>
            </w:r>
          </w:p>
        </w:tc>
      </w:tr>
      <w:tr w:rsidR="00685188" w:rsidRPr="0084114C" w14:paraId="67D86C41" w14:textId="77777777" w:rsidTr="004B2988">
        <w:tc>
          <w:tcPr>
            <w:tcW w:w="714" w:type="dxa"/>
            <w:tcBorders>
              <w:top w:val="single" w:sz="2" w:space="0" w:color="auto"/>
              <w:bottom w:val="single" w:sz="12" w:space="0" w:color="auto"/>
            </w:tcBorders>
            <w:shd w:val="clear" w:color="auto" w:fill="auto"/>
          </w:tcPr>
          <w:p w14:paraId="2D5848B9" w14:textId="77777777" w:rsidR="00685188" w:rsidRPr="0084114C" w:rsidRDefault="00685188" w:rsidP="00047F1D">
            <w:pPr>
              <w:pStyle w:val="Tabletext"/>
            </w:pPr>
            <w:r w:rsidRPr="0084114C">
              <w:t>4</w:t>
            </w:r>
          </w:p>
        </w:tc>
        <w:tc>
          <w:tcPr>
            <w:tcW w:w="4243" w:type="dxa"/>
            <w:tcBorders>
              <w:top w:val="single" w:sz="2" w:space="0" w:color="auto"/>
              <w:bottom w:val="single" w:sz="12" w:space="0" w:color="auto"/>
            </w:tcBorders>
            <w:shd w:val="clear" w:color="auto" w:fill="auto"/>
          </w:tcPr>
          <w:p w14:paraId="2EEAACBC" w14:textId="77777777" w:rsidR="00685188" w:rsidRPr="0084114C" w:rsidRDefault="00685188" w:rsidP="00047F1D">
            <w:pPr>
              <w:pStyle w:val="Tablea"/>
            </w:pPr>
            <w:r w:rsidRPr="0084114C">
              <w:t>(a) less than $35 million; and</w:t>
            </w:r>
          </w:p>
          <w:p w14:paraId="7BF185BB" w14:textId="77777777" w:rsidR="00685188" w:rsidRPr="0084114C" w:rsidRDefault="00685188" w:rsidP="00047F1D">
            <w:pPr>
              <w:pStyle w:val="Tablea"/>
            </w:pPr>
            <w:r w:rsidRPr="0084114C">
              <w:t>(b) equal to or greater than $10 million</w:t>
            </w:r>
          </w:p>
        </w:tc>
        <w:tc>
          <w:tcPr>
            <w:tcW w:w="1706" w:type="dxa"/>
            <w:tcBorders>
              <w:top w:val="single" w:sz="2" w:space="0" w:color="auto"/>
              <w:bottom w:val="single" w:sz="12" w:space="0" w:color="auto"/>
            </w:tcBorders>
            <w:shd w:val="clear" w:color="auto" w:fill="auto"/>
          </w:tcPr>
          <w:p w14:paraId="7BA4442D" w14:textId="77777777" w:rsidR="00685188" w:rsidRPr="0084114C" w:rsidRDefault="00685188" w:rsidP="00AF2AF9">
            <w:pPr>
              <w:pStyle w:val="Tabletext"/>
              <w:tabs>
                <w:tab w:val="decimal" w:pos="985"/>
              </w:tabs>
            </w:pPr>
            <w:r w:rsidRPr="0084114C">
              <w:t>$9,198.</w:t>
            </w:r>
          </w:p>
        </w:tc>
      </w:tr>
    </w:tbl>
    <w:p w14:paraId="74BDE7D4" w14:textId="77777777" w:rsidR="00685188" w:rsidRPr="0084114C" w:rsidRDefault="00300E2D" w:rsidP="00300E2D">
      <w:pPr>
        <w:pStyle w:val="ActHead5"/>
      </w:pPr>
      <w:r w:rsidRPr="00DE06C2">
        <w:rPr>
          <w:rStyle w:val="CharSectno"/>
        </w:rPr>
        <w:t>4</w:t>
      </w:r>
      <w:proofErr w:type="gramStart"/>
      <w:r w:rsidR="00C11CC8" w:rsidRPr="00DE06C2">
        <w:rPr>
          <w:rStyle w:val="CharSectno"/>
        </w:rPr>
        <w:t>E</w:t>
      </w:r>
      <w:r w:rsidRPr="0084114C">
        <w:t xml:space="preserve">  Fee</w:t>
      </w:r>
      <w:proofErr w:type="gramEnd"/>
      <w:r w:rsidRPr="0084114C">
        <w:t>—n</w:t>
      </w:r>
      <w:r w:rsidR="00685188" w:rsidRPr="0084114C">
        <w:t>otices of right to be bought out</w:t>
      </w:r>
    </w:p>
    <w:p w14:paraId="3473B7A3" w14:textId="77777777" w:rsidR="00685188" w:rsidRPr="0084114C" w:rsidRDefault="00685188" w:rsidP="00685188">
      <w:pPr>
        <w:pStyle w:val="subsection"/>
      </w:pPr>
      <w:r w:rsidRPr="0084114C">
        <w:tab/>
        <w:t>(</w:t>
      </w:r>
      <w:r w:rsidR="00300E2D" w:rsidRPr="0084114C">
        <w:t>1</w:t>
      </w:r>
      <w:r w:rsidRPr="0084114C">
        <w:t>)</w:t>
      </w:r>
      <w:r w:rsidRPr="0084114C">
        <w:tab/>
        <w:t xml:space="preserve">For the purposes of </w:t>
      </w:r>
      <w:r w:rsidR="00212560" w:rsidRPr="0084114C">
        <w:t>section 5</w:t>
      </w:r>
      <w:r w:rsidRPr="0084114C">
        <w:t xml:space="preserve"> of the Act, and subject to </w:t>
      </w:r>
      <w:r w:rsidR="001419A8" w:rsidRPr="0084114C">
        <w:t>regulation 4</w:t>
      </w:r>
      <w:r w:rsidR="00090798" w:rsidRPr="0084114C">
        <w:t>H</w:t>
      </w:r>
      <w:r w:rsidRPr="0084114C">
        <w:t xml:space="preserve"> of these Regulations, the fee set out in </w:t>
      </w:r>
      <w:proofErr w:type="spellStart"/>
      <w:r w:rsidRPr="0084114C">
        <w:t>subregulation</w:t>
      </w:r>
      <w:proofErr w:type="spellEnd"/>
      <w:r w:rsidRPr="0084114C">
        <w:t xml:space="preserve"> (</w:t>
      </w:r>
      <w:r w:rsidR="00300E2D" w:rsidRPr="0084114C">
        <w:t>2</w:t>
      </w:r>
      <w:r w:rsidRPr="0084114C">
        <w:t xml:space="preserve">) of this regulation is prescribed for lodging a notice under </w:t>
      </w:r>
      <w:r w:rsidR="009F7981" w:rsidRPr="0084114C">
        <w:t>paragraph 6</w:t>
      </w:r>
      <w:r w:rsidRPr="0084114C">
        <w:t>62B(1)(b) of the Corporations Act relating to a right to buy out holders of bid class securities following a takeover bid, if:</w:t>
      </w:r>
    </w:p>
    <w:p w14:paraId="5658B95C" w14:textId="77777777" w:rsidR="00685188" w:rsidRPr="0084114C" w:rsidRDefault="00685188" w:rsidP="00685188">
      <w:pPr>
        <w:pStyle w:val="paragraph"/>
      </w:pPr>
      <w:r w:rsidRPr="0084114C">
        <w:tab/>
        <w:t>(a)</w:t>
      </w:r>
      <w:r w:rsidRPr="0084114C">
        <w:tab/>
        <w:t xml:space="preserve">the threshold value </w:t>
      </w:r>
      <w:r w:rsidR="00B97FBC" w:rsidRPr="0084114C">
        <w:t xml:space="preserve">for the lodgement </w:t>
      </w:r>
      <w:r w:rsidRPr="0084114C">
        <w:t>is equal to or greater than $10</w:t>
      </w:r>
      <w:r w:rsidR="00AF2AF9">
        <w:t> </w:t>
      </w:r>
      <w:r w:rsidRPr="0084114C">
        <w:t>million; and</w:t>
      </w:r>
    </w:p>
    <w:p w14:paraId="24CBF3C3" w14:textId="77777777" w:rsidR="00685188" w:rsidRPr="0084114C" w:rsidRDefault="00685188" w:rsidP="00685188">
      <w:pPr>
        <w:pStyle w:val="paragraph"/>
      </w:pPr>
      <w:r w:rsidRPr="0084114C">
        <w:tab/>
        <w:t>(b)</w:t>
      </w:r>
      <w:r w:rsidRPr="0084114C">
        <w:tab/>
        <w:t xml:space="preserve">the lodgement occurs between </w:t>
      </w:r>
      <w:r w:rsidR="00212560" w:rsidRPr="0084114C">
        <w:t>1 January</w:t>
      </w:r>
      <w:r w:rsidRPr="0084114C">
        <w:t xml:space="preserve"> 2025 and 31 December 2027.</w:t>
      </w:r>
    </w:p>
    <w:p w14:paraId="3F53448D" w14:textId="77777777" w:rsidR="00685188" w:rsidRPr="0084114C" w:rsidRDefault="00685188" w:rsidP="00685188">
      <w:pPr>
        <w:pStyle w:val="subsection"/>
      </w:pPr>
      <w:r w:rsidRPr="0084114C">
        <w:tab/>
        <w:t>(</w:t>
      </w:r>
      <w:r w:rsidR="00300E2D" w:rsidRPr="0084114C">
        <w:t>2</w:t>
      </w:r>
      <w:r w:rsidRPr="0084114C">
        <w:t>)</w:t>
      </w:r>
      <w:r w:rsidRPr="0084114C">
        <w:tab/>
      </w:r>
      <w:r w:rsidR="00272210" w:rsidRPr="0084114C">
        <w:t xml:space="preserve">For the purposes of </w:t>
      </w:r>
      <w:proofErr w:type="spellStart"/>
      <w:r w:rsidR="00272210" w:rsidRPr="0084114C">
        <w:t>subregulation</w:t>
      </w:r>
      <w:proofErr w:type="spellEnd"/>
      <w:r w:rsidR="00272210" w:rsidRPr="0084114C">
        <w:t xml:space="preserve"> (1), t</w:t>
      </w:r>
      <w:r w:rsidRPr="0084114C">
        <w:t>he fee is the fee worked out using the following table:</w:t>
      </w:r>
    </w:p>
    <w:p w14:paraId="78799E59" w14:textId="77777777" w:rsidR="00685188" w:rsidRPr="0084114C" w:rsidRDefault="00685188" w:rsidP="00685188">
      <w:pPr>
        <w:pStyle w:val="Tabletext"/>
      </w:pPr>
    </w:p>
    <w:tbl>
      <w:tblPr>
        <w:tblW w:w="6658"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1701"/>
      </w:tblGrid>
      <w:tr w:rsidR="00685188" w:rsidRPr="0084114C" w14:paraId="213792E5" w14:textId="77777777" w:rsidTr="004B2988">
        <w:trPr>
          <w:tblHeader/>
        </w:trPr>
        <w:tc>
          <w:tcPr>
            <w:tcW w:w="6658" w:type="dxa"/>
            <w:gridSpan w:val="3"/>
            <w:tcBorders>
              <w:top w:val="single" w:sz="12" w:space="0" w:color="auto"/>
              <w:bottom w:val="single" w:sz="6" w:space="0" w:color="auto"/>
            </w:tcBorders>
            <w:shd w:val="clear" w:color="auto" w:fill="auto"/>
          </w:tcPr>
          <w:p w14:paraId="6CBCC752" w14:textId="77777777" w:rsidR="00685188" w:rsidRPr="0084114C" w:rsidRDefault="00685188" w:rsidP="00047F1D">
            <w:pPr>
              <w:pStyle w:val="TableHeading"/>
            </w:pPr>
            <w:r w:rsidRPr="0084114C">
              <w:t>Fee</w:t>
            </w:r>
          </w:p>
        </w:tc>
      </w:tr>
      <w:tr w:rsidR="00685188" w:rsidRPr="0084114C" w14:paraId="3F714C56" w14:textId="77777777" w:rsidTr="00047F1D">
        <w:trPr>
          <w:tblHeader/>
        </w:trPr>
        <w:tc>
          <w:tcPr>
            <w:tcW w:w="714" w:type="dxa"/>
            <w:tcBorders>
              <w:top w:val="single" w:sz="6" w:space="0" w:color="auto"/>
              <w:bottom w:val="single" w:sz="12" w:space="0" w:color="auto"/>
            </w:tcBorders>
            <w:shd w:val="clear" w:color="auto" w:fill="auto"/>
          </w:tcPr>
          <w:p w14:paraId="6C0B29A4" w14:textId="77777777" w:rsidR="00685188" w:rsidRPr="0084114C" w:rsidRDefault="00685188" w:rsidP="00047F1D">
            <w:pPr>
              <w:pStyle w:val="TableHeading"/>
            </w:pPr>
            <w:r w:rsidRPr="0084114C">
              <w:t>Item</w:t>
            </w:r>
          </w:p>
        </w:tc>
        <w:tc>
          <w:tcPr>
            <w:tcW w:w="4243" w:type="dxa"/>
            <w:tcBorders>
              <w:top w:val="single" w:sz="6" w:space="0" w:color="auto"/>
              <w:bottom w:val="single" w:sz="12" w:space="0" w:color="auto"/>
            </w:tcBorders>
            <w:shd w:val="clear" w:color="auto" w:fill="auto"/>
          </w:tcPr>
          <w:p w14:paraId="0349593D" w14:textId="77777777" w:rsidR="00685188" w:rsidRPr="0084114C" w:rsidRDefault="00685188" w:rsidP="00047F1D">
            <w:pPr>
              <w:pStyle w:val="TableHeading"/>
            </w:pPr>
            <w:r w:rsidRPr="0084114C">
              <w:t>Column 1</w:t>
            </w:r>
          </w:p>
          <w:p w14:paraId="2FF138ED" w14:textId="77777777" w:rsidR="00685188" w:rsidRPr="0084114C" w:rsidRDefault="00685188" w:rsidP="00047F1D">
            <w:pPr>
              <w:pStyle w:val="TableHeading"/>
            </w:pPr>
            <w:r w:rsidRPr="0084114C">
              <w:t xml:space="preserve">If the threshold value </w:t>
            </w:r>
            <w:r w:rsidR="00B97FBC" w:rsidRPr="0084114C">
              <w:t xml:space="preserve">for the lodgement </w:t>
            </w:r>
            <w:r w:rsidRPr="0084114C">
              <w:t>is …</w:t>
            </w:r>
          </w:p>
        </w:tc>
        <w:tc>
          <w:tcPr>
            <w:tcW w:w="1701" w:type="dxa"/>
            <w:tcBorders>
              <w:top w:val="single" w:sz="6" w:space="0" w:color="auto"/>
              <w:bottom w:val="single" w:sz="12" w:space="0" w:color="auto"/>
            </w:tcBorders>
            <w:shd w:val="clear" w:color="auto" w:fill="auto"/>
          </w:tcPr>
          <w:p w14:paraId="5421A5AE" w14:textId="77777777" w:rsidR="00685188" w:rsidRPr="0084114C" w:rsidRDefault="00685188" w:rsidP="00047F1D">
            <w:pPr>
              <w:pStyle w:val="TableHeading"/>
            </w:pPr>
            <w:r w:rsidRPr="0084114C">
              <w:t>Column 2</w:t>
            </w:r>
          </w:p>
          <w:p w14:paraId="29DDDCED" w14:textId="77777777" w:rsidR="00685188" w:rsidRPr="0084114C" w:rsidRDefault="00685188" w:rsidP="00047F1D">
            <w:pPr>
              <w:pStyle w:val="TableHeading"/>
            </w:pPr>
            <w:r w:rsidRPr="0084114C">
              <w:t>then the fee is …</w:t>
            </w:r>
          </w:p>
        </w:tc>
      </w:tr>
      <w:tr w:rsidR="004B2988" w:rsidRPr="0084114C" w14:paraId="0AAF0764" w14:textId="77777777" w:rsidTr="00047F1D">
        <w:tc>
          <w:tcPr>
            <w:tcW w:w="714" w:type="dxa"/>
            <w:tcBorders>
              <w:top w:val="single" w:sz="12" w:space="0" w:color="auto"/>
            </w:tcBorders>
            <w:shd w:val="clear" w:color="auto" w:fill="auto"/>
          </w:tcPr>
          <w:p w14:paraId="788A49B8" w14:textId="77777777" w:rsidR="004B2988" w:rsidRPr="0084114C" w:rsidRDefault="004B2988" w:rsidP="004B2988">
            <w:pPr>
              <w:pStyle w:val="Tabletext"/>
            </w:pPr>
            <w:r w:rsidRPr="0084114C">
              <w:t>1</w:t>
            </w:r>
          </w:p>
        </w:tc>
        <w:tc>
          <w:tcPr>
            <w:tcW w:w="4243" w:type="dxa"/>
            <w:tcBorders>
              <w:top w:val="single" w:sz="12" w:space="0" w:color="auto"/>
            </w:tcBorders>
            <w:shd w:val="clear" w:color="auto" w:fill="auto"/>
          </w:tcPr>
          <w:p w14:paraId="6C3B06CF" w14:textId="77777777" w:rsidR="004B2988" w:rsidRPr="0084114C" w:rsidRDefault="004B2988" w:rsidP="004B2988">
            <w:pPr>
              <w:pStyle w:val="Tabletext"/>
            </w:pPr>
            <w:r w:rsidRPr="0084114C">
              <w:t>greater than $500 million</w:t>
            </w:r>
          </w:p>
        </w:tc>
        <w:tc>
          <w:tcPr>
            <w:tcW w:w="1701" w:type="dxa"/>
            <w:tcBorders>
              <w:top w:val="single" w:sz="12" w:space="0" w:color="auto"/>
            </w:tcBorders>
            <w:shd w:val="clear" w:color="auto" w:fill="auto"/>
          </w:tcPr>
          <w:p w14:paraId="2F8133DA" w14:textId="77777777" w:rsidR="004B2988" w:rsidRPr="0084114C" w:rsidRDefault="004B2988" w:rsidP="00AF2AF9">
            <w:pPr>
              <w:pStyle w:val="Tabletext"/>
              <w:tabs>
                <w:tab w:val="decimal" w:pos="985"/>
              </w:tabs>
            </w:pPr>
            <w:r w:rsidRPr="0084114C">
              <w:t>$194,359.</w:t>
            </w:r>
          </w:p>
        </w:tc>
      </w:tr>
      <w:tr w:rsidR="004B2988" w:rsidRPr="0084114C" w14:paraId="2AE0EB08" w14:textId="77777777" w:rsidTr="00047F1D">
        <w:tc>
          <w:tcPr>
            <w:tcW w:w="714" w:type="dxa"/>
            <w:shd w:val="clear" w:color="auto" w:fill="auto"/>
          </w:tcPr>
          <w:p w14:paraId="77BB4EF5" w14:textId="77777777" w:rsidR="004B2988" w:rsidRPr="0084114C" w:rsidRDefault="004B2988" w:rsidP="004B2988">
            <w:pPr>
              <w:pStyle w:val="Tabletext"/>
            </w:pPr>
            <w:r w:rsidRPr="0084114C">
              <w:t>2</w:t>
            </w:r>
          </w:p>
        </w:tc>
        <w:tc>
          <w:tcPr>
            <w:tcW w:w="4243" w:type="dxa"/>
            <w:shd w:val="clear" w:color="auto" w:fill="auto"/>
          </w:tcPr>
          <w:p w14:paraId="67D0FFB8" w14:textId="77777777" w:rsidR="004B2988" w:rsidRPr="0084114C" w:rsidRDefault="004B2988" w:rsidP="004B2988">
            <w:pPr>
              <w:pStyle w:val="Tablea"/>
            </w:pPr>
            <w:r w:rsidRPr="0084114C">
              <w:t>(a) less than or equal to $500 million; and</w:t>
            </w:r>
          </w:p>
          <w:p w14:paraId="57EF1347" w14:textId="77777777" w:rsidR="004B2988" w:rsidRPr="0084114C" w:rsidRDefault="004B2988" w:rsidP="004B2988">
            <w:pPr>
              <w:pStyle w:val="Tablea"/>
            </w:pPr>
            <w:r w:rsidRPr="0084114C">
              <w:t>(b) equal to or greater than $100 million</w:t>
            </w:r>
          </w:p>
        </w:tc>
        <w:tc>
          <w:tcPr>
            <w:tcW w:w="1701" w:type="dxa"/>
            <w:shd w:val="clear" w:color="auto" w:fill="auto"/>
          </w:tcPr>
          <w:p w14:paraId="09C3780B" w14:textId="77777777" w:rsidR="004B2988" w:rsidRPr="0084114C" w:rsidRDefault="004B2988" w:rsidP="00AF2AF9">
            <w:pPr>
              <w:pStyle w:val="Tabletext"/>
              <w:tabs>
                <w:tab w:val="decimal" w:pos="985"/>
              </w:tabs>
            </w:pPr>
            <w:r w:rsidRPr="0084114C">
              <w:t>$144,359.</w:t>
            </w:r>
          </w:p>
        </w:tc>
      </w:tr>
      <w:tr w:rsidR="00685188" w:rsidRPr="0084114C" w14:paraId="47D3E412" w14:textId="77777777" w:rsidTr="00047F1D">
        <w:tc>
          <w:tcPr>
            <w:tcW w:w="714" w:type="dxa"/>
            <w:tcBorders>
              <w:bottom w:val="single" w:sz="2" w:space="0" w:color="auto"/>
            </w:tcBorders>
            <w:shd w:val="clear" w:color="auto" w:fill="auto"/>
          </w:tcPr>
          <w:p w14:paraId="11A54BC1" w14:textId="77777777" w:rsidR="00685188" w:rsidRPr="0084114C" w:rsidRDefault="00685188" w:rsidP="00047F1D">
            <w:pPr>
              <w:pStyle w:val="Tabletext"/>
            </w:pPr>
            <w:r w:rsidRPr="0084114C">
              <w:t>3</w:t>
            </w:r>
          </w:p>
        </w:tc>
        <w:tc>
          <w:tcPr>
            <w:tcW w:w="4243" w:type="dxa"/>
            <w:tcBorders>
              <w:bottom w:val="single" w:sz="2" w:space="0" w:color="auto"/>
            </w:tcBorders>
            <w:shd w:val="clear" w:color="auto" w:fill="auto"/>
          </w:tcPr>
          <w:p w14:paraId="0D57E749" w14:textId="77777777" w:rsidR="00685188" w:rsidRPr="0084114C" w:rsidRDefault="00685188" w:rsidP="00047F1D">
            <w:pPr>
              <w:pStyle w:val="Tablea"/>
            </w:pPr>
            <w:r w:rsidRPr="0084114C">
              <w:t>(a) less than $100 million; and</w:t>
            </w:r>
          </w:p>
          <w:p w14:paraId="00508988" w14:textId="77777777" w:rsidR="00685188" w:rsidRPr="0084114C" w:rsidRDefault="00685188" w:rsidP="00047F1D">
            <w:pPr>
              <w:pStyle w:val="Tablea"/>
            </w:pPr>
            <w:r w:rsidRPr="0084114C">
              <w:t>(b) equal to or greater than $35 million</w:t>
            </w:r>
          </w:p>
        </w:tc>
        <w:tc>
          <w:tcPr>
            <w:tcW w:w="1701" w:type="dxa"/>
            <w:tcBorders>
              <w:bottom w:val="single" w:sz="2" w:space="0" w:color="auto"/>
            </w:tcBorders>
            <w:shd w:val="clear" w:color="auto" w:fill="auto"/>
          </w:tcPr>
          <w:p w14:paraId="2CB8C7C0" w14:textId="77777777" w:rsidR="00685188" w:rsidRPr="0084114C" w:rsidRDefault="00685188" w:rsidP="00AF2AF9">
            <w:pPr>
              <w:pStyle w:val="Tabletext"/>
              <w:tabs>
                <w:tab w:val="decimal" w:pos="985"/>
              </w:tabs>
            </w:pPr>
            <w:r w:rsidRPr="0084114C">
              <w:t>$49,359.</w:t>
            </w:r>
          </w:p>
        </w:tc>
      </w:tr>
      <w:tr w:rsidR="00685188" w:rsidRPr="0084114C" w14:paraId="2455D0C9" w14:textId="77777777" w:rsidTr="00047F1D">
        <w:tc>
          <w:tcPr>
            <w:tcW w:w="714" w:type="dxa"/>
            <w:tcBorders>
              <w:top w:val="single" w:sz="2" w:space="0" w:color="auto"/>
              <w:bottom w:val="single" w:sz="12" w:space="0" w:color="auto"/>
            </w:tcBorders>
            <w:shd w:val="clear" w:color="auto" w:fill="auto"/>
          </w:tcPr>
          <w:p w14:paraId="26E16E2B" w14:textId="77777777" w:rsidR="00685188" w:rsidRPr="0084114C" w:rsidRDefault="00685188" w:rsidP="00047F1D">
            <w:pPr>
              <w:pStyle w:val="Tabletext"/>
            </w:pPr>
            <w:r w:rsidRPr="0084114C">
              <w:t>4</w:t>
            </w:r>
          </w:p>
        </w:tc>
        <w:tc>
          <w:tcPr>
            <w:tcW w:w="4243" w:type="dxa"/>
            <w:tcBorders>
              <w:top w:val="single" w:sz="2" w:space="0" w:color="auto"/>
              <w:bottom w:val="single" w:sz="12" w:space="0" w:color="auto"/>
            </w:tcBorders>
            <w:shd w:val="clear" w:color="auto" w:fill="auto"/>
          </w:tcPr>
          <w:p w14:paraId="314C231E" w14:textId="77777777" w:rsidR="00685188" w:rsidRPr="0084114C" w:rsidRDefault="00685188" w:rsidP="00047F1D">
            <w:pPr>
              <w:pStyle w:val="Tablea"/>
            </w:pPr>
            <w:r w:rsidRPr="0084114C">
              <w:t>(a) less than $35 million; and</w:t>
            </w:r>
          </w:p>
          <w:p w14:paraId="50EBF1EA" w14:textId="77777777" w:rsidR="00685188" w:rsidRPr="0084114C" w:rsidRDefault="00685188" w:rsidP="00047F1D">
            <w:pPr>
              <w:pStyle w:val="Tablea"/>
            </w:pPr>
            <w:r w:rsidRPr="0084114C">
              <w:t>(b) equal to or greater than $10 million</w:t>
            </w:r>
          </w:p>
        </w:tc>
        <w:tc>
          <w:tcPr>
            <w:tcW w:w="1701" w:type="dxa"/>
            <w:tcBorders>
              <w:top w:val="single" w:sz="2" w:space="0" w:color="auto"/>
              <w:bottom w:val="single" w:sz="12" w:space="0" w:color="auto"/>
            </w:tcBorders>
            <w:shd w:val="clear" w:color="auto" w:fill="auto"/>
          </w:tcPr>
          <w:p w14:paraId="06AC8ACF" w14:textId="77777777" w:rsidR="00685188" w:rsidRPr="0084114C" w:rsidRDefault="00685188" w:rsidP="00AF2AF9">
            <w:pPr>
              <w:pStyle w:val="Tabletext"/>
              <w:tabs>
                <w:tab w:val="decimal" w:pos="985"/>
              </w:tabs>
            </w:pPr>
            <w:r w:rsidRPr="0084114C">
              <w:t>$9,359.</w:t>
            </w:r>
          </w:p>
        </w:tc>
      </w:tr>
    </w:tbl>
    <w:p w14:paraId="0B378198" w14:textId="77777777" w:rsidR="00685188" w:rsidRPr="0084114C" w:rsidRDefault="00685188" w:rsidP="00685188">
      <w:pPr>
        <w:pStyle w:val="ActHead5"/>
      </w:pPr>
      <w:bookmarkStart w:id="14" w:name="_Toc182829541"/>
      <w:r w:rsidRPr="00DE06C2">
        <w:rPr>
          <w:rStyle w:val="CharSectno"/>
        </w:rPr>
        <w:t>4</w:t>
      </w:r>
      <w:proofErr w:type="gramStart"/>
      <w:r w:rsidR="00C11CC8" w:rsidRPr="00DE06C2">
        <w:rPr>
          <w:rStyle w:val="CharSectno"/>
        </w:rPr>
        <w:t>F</w:t>
      </w:r>
      <w:r w:rsidRPr="0084114C">
        <w:t xml:space="preserve">  Meaning</w:t>
      </w:r>
      <w:proofErr w:type="gramEnd"/>
      <w:r w:rsidRPr="0084114C">
        <w:t xml:space="preserve"> of </w:t>
      </w:r>
      <w:r w:rsidRPr="0084114C">
        <w:rPr>
          <w:i/>
        </w:rPr>
        <w:t>threshold value</w:t>
      </w:r>
      <w:bookmarkEnd w:id="14"/>
    </w:p>
    <w:p w14:paraId="6B735E23" w14:textId="77777777" w:rsidR="00685188" w:rsidRPr="0084114C" w:rsidRDefault="00685188" w:rsidP="00685188">
      <w:pPr>
        <w:pStyle w:val="subsection"/>
      </w:pPr>
      <w:r w:rsidRPr="0084114C">
        <w:tab/>
        <w:t>(1)</w:t>
      </w:r>
      <w:r w:rsidRPr="0084114C">
        <w:tab/>
        <w:t xml:space="preserve">The </w:t>
      </w:r>
      <w:r w:rsidRPr="0084114C">
        <w:rPr>
          <w:b/>
          <w:i/>
        </w:rPr>
        <w:t>threshold value</w:t>
      </w:r>
      <w:r w:rsidR="00382C8B" w:rsidRPr="0084114C">
        <w:t xml:space="preserve"> </w:t>
      </w:r>
      <w:r w:rsidR="00B97FBC" w:rsidRPr="0084114C">
        <w:t xml:space="preserve">for a lodgement </w:t>
      </w:r>
      <w:r w:rsidR="007C0BA4" w:rsidRPr="0084114C">
        <w:t xml:space="preserve">under paragraph 661B(1)(b) or 662B(1)(b) of the Corporations Act </w:t>
      </w:r>
      <w:r w:rsidR="00B97FBC" w:rsidRPr="0084114C">
        <w:t xml:space="preserve">relating to </w:t>
      </w:r>
      <w:r w:rsidR="00382C8B" w:rsidRPr="0084114C">
        <w:t xml:space="preserve">a takeover bid </w:t>
      </w:r>
      <w:r w:rsidRPr="0084114C">
        <w:t>is the amount worked out using the following formula:</w:t>
      </w:r>
    </w:p>
    <w:p w14:paraId="43EF4E37" w14:textId="77777777" w:rsidR="00685188" w:rsidRPr="0084114C" w:rsidRDefault="009B5AC5" w:rsidP="00685188">
      <w:pPr>
        <w:pStyle w:val="subsection2"/>
      </w:pPr>
      <w:r w:rsidRPr="0084114C">
        <w:rPr>
          <w:position w:val="-70"/>
        </w:rPr>
        <w:object w:dxaOrig="6220" w:dyaOrig="1620" w14:anchorId="0354C3FB">
          <v:shape id="_x0000_i1026" type="#_x0000_t75" alt="Start formula The value, at lodgement, of the consideration payable, per security, under the terms that apply under section 661C or 662C of the Corporations Act (disregarding any election under paragraph 661C(2)(a) or subsection 662C(1)) times The number of securities in the bid class at lodgement, including any securities in which the bidder and its associates already have a relevant interest end formula" style="width:311.45pt;height:81.2pt" o:ole="">
            <v:imagedata r:id="rId26" o:title=""/>
          </v:shape>
          <o:OLEObject Type="Embed" ProgID="Equation.DSMT4" ShapeID="_x0000_i1026" DrawAspect="Content" ObjectID="_1795520651" r:id="rId27"/>
        </w:object>
      </w:r>
    </w:p>
    <w:p w14:paraId="4E98643A" w14:textId="77777777" w:rsidR="00D117AE" w:rsidRPr="0084114C" w:rsidRDefault="00685188" w:rsidP="00174CE9">
      <w:pPr>
        <w:pStyle w:val="subsection"/>
      </w:pPr>
      <w:r w:rsidRPr="0084114C">
        <w:tab/>
        <w:t>(2)</w:t>
      </w:r>
      <w:r w:rsidRPr="0084114C">
        <w:tab/>
        <w:t>If</w:t>
      </w:r>
      <w:r w:rsidR="00174CE9" w:rsidRPr="0084114C">
        <w:t xml:space="preserve"> </w:t>
      </w:r>
      <w:r w:rsidRPr="0084114C">
        <w:t>2 or more takeover bids, by the same bidder, for securities in the same target occur together</w:t>
      </w:r>
      <w:r w:rsidR="00174CE9" w:rsidRPr="0084114C">
        <w:t xml:space="preserve">, </w:t>
      </w:r>
      <w:r w:rsidR="00D117AE" w:rsidRPr="0084114C">
        <w:t xml:space="preserve">work out the </w:t>
      </w:r>
      <w:r w:rsidR="00D117AE" w:rsidRPr="0084114C">
        <w:rPr>
          <w:b/>
          <w:i/>
        </w:rPr>
        <w:t>threshold value</w:t>
      </w:r>
      <w:r w:rsidR="00D117AE" w:rsidRPr="0084114C">
        <w:t xml:space="preserve"> for</w:t>
      </w:r>
      <w:r w:rsidR="00691ECB" w:rsidRPr="0084114C">
        <w:t xml:space="preserve"> </w:t>
      </w:r>
      <w:r w:rsidR="00174CE9" w:rsidRPr="0084114C">
        <w:t>a lodgement under paragraph 661B(1)(b) or 662B(1)(b) of the Corporations Act relating to any of those bids by</w:t>
      </w:r>
      <w:r w:rsidR="00D117AE" w:rsidRPr="0084114C">
        <w:t>:</w:t>
      </w:r>
    </w:p>
    <w:p w14:paraId="4749F384" w14:textId="77777777" w:rsidR="00272210" w:rsidRPr="0084114C" w:rsidRDefault="00272210" w:rsidP="00272210">
      <w:pPr>
        <w:pStyle w:val="paragraph"/>
      </w:pPr>
      <w:r w:rsidRPr="0084114C">
        <w:tab/>
        <w:t>(a)</w:t>
      </w:r>
      <w:r w:rsidRPr="0084114C">
        <w:tab/>
        <w:t xml:space="preserve">applying the formula in </w:t>
      </w:r>
      <w:proofErr w:type="spellStart"/>
      <w:r w:rsidRPr="0084114C">
        <w:t>subregulation</w:t>
      </w:r>
      <w:proofErr w:type="spellEnd"/>
      <w:r w:rsidRPr="0084114C">
        <w:t xml:space="preserve"> (1) of this regulation to work out an amount in respect of each of those bids</w:t>
      </w:r>
      <w:r w:rsidR="00A72265" w:rsidRPr="0084114C">
        <w:t xml:space="preserve"> (including any bid in relation to which </w:t>
      </w:r>
      <w:r w:rsidRPr="0084114C">
        <w:t xml:space="preserve">a notice </w:t>
      </w:r>
      <w:r w:rsidR="00A72265" w:rsidRPr="0084114C">
        <w:t>i</w:t>
      </w:r>
      <w:r w:rsidRPr="0084114C">
        <w:t xml:space="preserve">s </w:t>
      </w:r>
      <w:r w:rsidR="00A72265" w:rsidRPr="0084114C">
        <w:t xml:space="preserve">not </w:t>
      </w:r>
      <w:r w:rsidRPr="0084114C">
        <w:t>lodged under paragraph 661B(1)(b) or 662B(1)(b) of the Corporations Act); and</w:t>
      </w:r>
    </w:p>
    <w:p w14:paraId="7B0FDEC0" w14:textId="77777777" w:rsidR="00685188" w:rsidRPr="0084114C" w:rsidRDefault="004C0862" w:rsidP="004C0862">
      <w:pPr>
        <w:pStyle w:val="paragraph"/>
      </w:pPr>
      <w:r w:rsidRPr="0084114C">
        <w:tab/>
        <w:t>(b)</w:t>
      </w:r>
      <w:r w:rsidRPr="0084114C">
        <w:tab/>
      </w:r>
      <w:r w:rsidR="00685188" w:rsidRPr="0084114C">
        <w:t xml:space="preserve">adding up the amounts worked out under paragraph (a) of this </w:t>
      </w:r>
      <w:proofErr w:type="spellStart"/>
      <w:r w:rsidR="00685188" w:rsidRPr="0084114C">
        <w:t>subregulation</w:t>
      </w:r>
      <w:proofErr w:type="spellEnd"/>
      <w:r w:rsidR="00685188" w:rsidRPr="0084114C">
        <w:t>.</w:t>
      </w:r>
    </w:p>
    <w:p w14:paraId="2AE156C0" w14:textId="77777777" w:rsidR="00422A58" w:rsidRPr="0084114C" w:rsidRDefault="00422A58" w:rsidP="00422A58">
      <w:pPr>
        <w:pStyle w:val="ActHead5"/>
      </w:pPr>
      <w:bookmarkStart w:id="15" w:name="_Toc182829542"/>
      <w:r w:rsidRPr="00DE06C2">
        <w:rPr>
          <w:rStyle w:val="CharSectno"/>
        </w:rPr>
        <w:t>4</w:t>
      </w:r>
      <w:proofErr w:type="gramStart"/>
      <w:r w:rsidR="00090798" w:rsidRPr="00DE06C2">
        <w:rPr>
          <w:rStyle w:val="CharSectno"/>
        </w:rPr>
        <w:t>G</w:t>
      </w:r>
      <w:r w:rsidRPr="0084114C">
        <w:t xml:space="preserve">  Fees</w:t>
      </w:r>
      <w:proofErr w:type="gramEnd"/>
      <w:r w:rsidRPr="0084114C">
        <w:t xml:space="preserve"> are additional to fees prescribed by Division 1</w:t>
      </w:r>
    </w:p>
    <w:p w14:paraId="21C9C5EA" w14:textId="77777777" w:rsidR="00422A58" w:rsidRPr="0084114C" w:rsidRDefault="00422A58" w:rsidP="00422A58">
      <w:pPr>
        <w:pStyle w:val="subsection"/>
      </w:pPr>
      <w:r w:rsidRPr="0084114C">
        <w:tab/>
      </w:r>
      <w:r w:rsidRPr="0084114C">
        <w:tab/>
        <w:t>To avoid doubt, a fee prescribed by this Subdivision for a lodgement is in addition to any fee prescribed by Division 1 for the lodgement.</w:t>
      </w:r>
    </w:p>
    <w:p w14:paraId="54BA6465" w14:textId="77777777" w:rsidR="00685188" w:rsidRPr="0084114C" w:rsidRDefault="00685188" w:rsidP="00685188">
      <w:pPr>
        <w:pStyle w:val="ActHead4"/>
      </w:pPr>
      <w:r w:rsidRPr="00DE06C2">
        <w:rPr>
          <w:rStyle w:val="CharSubdNo"/>
        </w:rPr>
        <w:t xml:space="preserve">Subdivision </w:t>
      </w:r>
      <w:r w:rsidR="00090798" w:rsidRPr="00DE06C2">
        <w:rPr>
          <w:rStyle w:val="CharSubdNo"/>
        </w:rPr>
        <w:t>C</w:t>
      </w:r>
      <w:r w:rsidRPr="0084114C">
        <w:t>—</w:t>
      </w:r>
      <w:r w:rsidRPr="00DE06C2">
        <w:rPr>
          <w:rStyle w:val="CharSubdText"/>
        </w:rPr>
        <w:t xml:space="preserve">Only one fee prescribed for arrangements involving multiple chargeable </w:t>
      </w:r>
      <w:proofErr w:type="gramStart"/>
      <w:r w:rsidRPr="00DE06C2">
        <w:rPr>
          <w:rStyle w:val="CharSubdText"/>
        </w:rPr>
        <w:t>matters</w:t>
      </w:r>
      <w:bookmarkEnd w:id="15"/>
      <w:proofErr w:type="gramEnd"/>
    </w:p>
    <w:p w14:paraId="0DAA4DFC" w14:textId="77777777" w:rsidR="00685188" w:rsidRPr="0084114C" w:rsidRDefault="00422A58" w:rsidP="00685188">
      <w:pPr>
        <w:pStyle w:val="ActHead5"/>
      </w:pPr>
      <w:bookmarkStart w:id="16" w:name="_Toc182829543"/>
      <w:r w:rsidRPr="00DE06C2">
        <w:rPr>
          <w:rStyle w:val="CharSectno"/>
        </w:rPr>
        <w:t>4</w:t>
      </w:r>
      <w:proofErr w:type="gramStart"/>
      <w:r w:rsidR="00090798" w:rsidRPr="00DE06C2">
        <w:rPr>
          <w:rStyle w:val="CharSectno"/>
        </w:rPr>
        <w:t>H</w:t>
      </w:r>
      <w:r w:rsidR="00685188" w:rsidRPr="0084114C">
        <w:t xml:space="preserve">  Only</w:t>
      </w:r>
      <w:proofErr w:type="gramEnd"/>
      <w:r w:rsidR="00685188" w:rsidRPr="0084114C">
        <w:t xml:space="preserve"> one fee prescribed for arrangements involving multiple chargeable matters</w:t>
      </w:r>
      <w:bookmarkEnd w:id="16"/>
    </w:p>
    <w:p w14:paraId="597E8779" w14:textId="77777777" w:rsidR="00685188" w:rsidRPr="0084114C" w:rsidRDefault="001419A8" w:rsidP="00685188">
      <w:pPr>
        <w:pStyle w:val="SubsectionHead"/>
      </w:pPr>
      <w:r w:rsidRPr="0084114C">
        <w:t>Part 5</w:t>
      </w:r>
      <w:r w:rsidR="00685188" w:rsidRPr="0084114C">
        <w:t>.1 arrangements</w:t>
      </w:r>
    </w:p>
    <w:p w14:paraId="66201F5F" w14:textId="77777777" w:rsidR="00685188" w:rsidRPr="0084114C" w:rsidRDefault="00685188" w:rsidP="00685188">
      <w:pPr>
        <w:pStyle w:val="subsection"/>
      </w:pPr>
      <w:r w:rsidRPr="0084114C">
        <w:tab/>
        <w:t>(1)</w:t>
      </w:r>
      <w:r w:rsidRPr="0084114C">
        <w:tab/>
        <w:t>If:</w:t>
      </w:r>
    </w:p>
    <w:p w14:paraId="7960675C" w14:textId="77777777" w:rsidR="00685188" w:rsidRPr="0084114C" w:rsidRDefault="00685188" w:rsidP="00685188">
      <w:pPr>
        <w:pStyle w:val="paragraph"/>
      </w:pPr>
      <w:r w:rsidRPr="0084114C">
        <w:tab/>
        <w:t>(a)</w:t>
      </w:r>
      <w:r w:rsidRPr="0084114C">
        <w:tab/>
        <w:t xml:space="preserve">a control transaction in relation to a </w:t>
      </w:r>
      <w:r w:rsidR="001419A8" w:rsidRPr="0084114C">
        <w:t>regulation 4</w:t>
      </w:r>
      <w:r w:rsidR="00D758FE" w:rsidRPr="0084114C">
        <w:t xml:space="preserve"> body</w:t>
      </w:r>
      <w:r w:rsidRPr="0084114C">
        <w:t xml:space="preserve"> consists of more than one </w:t>
      </w:r>
      <w:r w:rsidR="001419A8" w:rsidRPr="0084114C">
        <w:t>Part 5</w:t>
      </w:r>
      <w:r w:rsidRPr="0084114C">
        <w:t>.1 arrangement; and</w:t>
      </w:r>
    </w:p>
    <w:p w14:paraId="026A2B30" w14:textId="77777777" w:rsidR="00685188" w:rsidRPr="0084114C" w:rsidRDefault="00685188" w:rsidP="00685188">
      <w:pPr>
        <w:pStyle w:val="paragraph"/>
      </w:pPr>
      <w:r w:rsidRPr="0084114C">
        <w:tab/>
        <w:t>(b)</w:t>
      </w:r>
      <w:r w:rsidRPr="0084114C">
        <w:tab/>
        <w:t xml:space="preserve">a fee prescribed by Subdivision A for lodging a copy of an order of approval of one of the </w:t>
      </w:r>
      <w:r w:rsidR="001419A8" w:rsidRPr="0084114C">
        <w:t>Part 5</w:t>
      </w:r>
      <w:r w:rsidRPr="0084114C">
        <w:t xml:space="preserve">.1 arrangements is </w:t>
      </w:r>
      <w:proofErr w:type="gramStart"/>
      <w:r w:rsidRPr="0084114C">
        <w:t>paid;</w:t>
      </w:r>
      <w:proofErr w:type="gramEnd"/>
    </w:p>
    <w:p w14:paraId="3E07802B" w14:textId="77777777" w:rsidR="00685188" w:rsidRPr="0084114C" w:rsidRDefault="00685188" w:rsidP="00685188">
      <w:pPr>
        <w:pStyle w:val="subsection2"/>
      </w:pPr>
      <w:r w:rsidRPr="0084114C">
        <w:t xml:space="preserve">no fee is prescribed by that Subdivision for lodging a copy of an order of approval of any of the other </w:t>
      </w:r>
      <w:r w:rsidR="001419A8" w:rsidRPr="0084114C">
        <w:t>Part 5</w:t>
      </w:r>
      <w:r w:rsidRPr="0084114C">
        <w:t>.1 arrangements.</w:t>
      </w:r>
    </w:p>
    <w:p w14:paraId="40CCC026" w14:textId="77777777" w:rsidR="00685188" w:rsidRPr="0084114C" w:rsidRDefault="00685188" w:rsidP="00685188">
      <w:pPr>
        <w:pStyle w:val="SubsectionHead"/>
      </w:pPr>
      <w:r w:rsidRPr="0084114C">
        <w:t>Takeover bids</w:t>
      </w:r>
    </w:p>
    <w:p w14:paraId="09F44A13" w14:textId="77777777" w:rsidR="00E67F0D" w:rsidRPr="0084114C" w:rsidRDefault="00E67F0D" w:rsidP="00E67F0D">
      <w:pPr>
        <w:pStyle w:val="subsection"/>
      </w:pPr>
      <w:r w:rsidRPr="0084114C">
        <w:tab/>
        <w:t>(</w:t>
      </w:r>
      <w:r w:rsidR="00ED42D0" w:rsidRPr="0084114C">
        <w:t>2</w:t>
      </w:r>
      <w:r w:rsidRPr="0084114C">
        <w:t>)</w:t>
      </w:r>
      <w:r w:rsidRPr="0084114C">
        <w:tab/>
        <w:t xml:space="preserve">If a fee prescribed by Subdivision </w:t>
      </w:r>
      <w:r w:rsidR="002F74C5" w:rsidRPr="0084114C">
        <w:t>B</w:t>
      </w:r>
      <w:r w:rsidRPr="0084114C">
        <w:t xml:space="preserve"> for lodging a notice relating to a takeover bid is paid, no fee is prescribed by th</w:t>
      </w:r>
      <w:r w:rsidR="00741F6B" w:rsidRPr="0084114C">
        <w:t>at</w:t>
      </w:r>
      <w:r w:rsidRPr="0084114C">
        <w:t xml:space="preserve"> Subdivision for lodging another notice relating to the takeover bid.</w:t>
      </w:r>
    </w:p>
    <w:p w14:paraId="7BCA6D53" w14:textId="77777777" w:rsidR="001B4E6E" w:rsidRPr="0084114C" w:rsidRDefault="001B4E6E" w:rsidP="001B4E6E">
      <w:pPr>
        <w:pStyle w:val="notetext"/>
      </w:pPr>
      <w:r w:rsidRPr="0084114C">
        <w:t>Example:</w:t>
      </w:r>
      <w:r w:rsidRPr="0084114C">
        <w:tab/>
        <w:t xml:space="preserve">If the fee prescribed by </w:t>
      </w:r>
      <w:proofErr w:type="spellStart"/>
      <w:r w:rsidR="001F6DAD" w:rsidRPr="0084114C">
        <w:t>sub</w:t>
      </w:r>
      <w:r w:rsidR="001419A8" w:rsidRPr="0084114C">
        <w:t>regulation</w:t>
      </w:r>
      <w:proofErr w:type="spellEnd"/>
      <w:r w:rsidR="001419A8" w:rsidRPr="0084114C">
        <w:t> 4</w:t>
      </w:r>
      <w:r w:rsidR="00C11CC8" w:rsidRPr="0084114C">
        <w:t>D</w:t>
      </w:r>
      <w:r w:rsidRPr="0084114C">
        <w:t>(</w:t>
      </w:r>
      <w:r w:rsidR="00ED42D0" w:rsidRPr="0084114C">
        <w:t>1</w:t>
      </w:r>
      <w:r w:rsidRPr="0084114C">
        <w:t xml:space="preserve">) is paid for lodging a notice under paragraph 661B(1)(b) of the Corporations Act relating to a compulsory acquisition of securities following a takeover bid, no fee is prescribed by Subdivision </w:t>
      </w:r>
      <w:r w:rsidR="002F74C5" w:rsidRPr="0084114C">
        <w:t>B</w:t>
      </w:r>
      <w:r w:rsidRPr="0084114C">
        <w:t xml:space="preserve"> </w:t>
      </w:r>
      <w:r w:rsidR="00A72265" w:rsidRPr="0084114C">
        <w:t xml:space="preserve">of this Division </w:t>
      </w:r>
      <w:r w:rsidRPr="0084114C">
        <w:t>for lodging a notice under paragraph 662B(1)(b) of the Corporations Act relating to a right to buy out holders of bid class securities following the bid.</w:t>
      </w:r>
    </w:p>
    <w:p w14:paraId="1FD112B9" w14:textId="77777777" w:rsidR="00685188" w:rsidRPr="0084114C" w:rsidRDefault="00685188" w:rsidP="00685188">
      <w:pPr>
        <w:pStyle w:val="subsection"/>
      </w:pPr>
      <w:r w:rsidRPr="0084114C">
        <w:tab/>
        <w:t>(</w:t>
      </w:r>
      <w:r w:rsidR="00ED42D0" w:rsidRPr="0084114C">
        <w:t>3</w:t>
      </w:r>
      <w:r w:rsidRPr="0084114C">
        <w:t>)</w:t>
      </w:r>
      <w:r w:rsidRPr="0084114C">
        <w:tab/>
        <w:t>If:</w:t>
      </w:r>
    </w:p>
    <w:p w14:paraId="32C80991" w14:textId="77777777" w:rsidR="00685188" w:rsidRPr="0084114C" w:rsidRDefault="00685188" w:rsidP="00685188">
      <w:pPr>
        <w:pStyle w:val="paragraph"/>
      </w:pPr>
      <w:r w:rsidRPr="0084114C">
        <w:tab/>
        <w:t>(a)</w:t>
      </w:r>
      <w:r w:rsidRPr="0084114C">
        <w:tab/>
        <w:t>2 or more takeover bids, by the same bidder, for securities in the same target occur together; and</w:t>
      </w:r>
    </w:p>
    <w:p w14:paraId="3F23C8A8" w14:textId="77777777" w:rsidR="00685188" w:rsidRPr="0084114C" w:rsidRDefault="00685188" w:rsidP="00685188">
      <w:pPr>
        <w:pStyle w:val="paragraph"/>
      </w:pPr>
      <w:r w:rsidRPr="0084114C">
        <w:lastRenderedPageBreak/>
        <w:tab/>
        <w:t>(b)</w:t>
      </w:r>
      <w:r w:rsidRPr="0084114C">
        <w:tab/>
        <w:t xml:space="preserve">a fee prescribed by Subdivision </w:t>
      </w:r>
      <w:r w:rsidR="002F74C5" w:rsidRPr="0084114C">
        <w:t>B</w:t>
      </w:r>
      <w:r w:rsidRPr="0084114C">
        <w:t xml:space="preserve"> for lodging a notice relating to one of the takeover bids is </w:t>
      </w:r>
      <w:proofErr w:type="gramStart"/>
      <w:r w:rsidRPr="0084114C">
        <w:t>paid;</w:t>
      </w:r>
      <w:proofErr w:type="gramEnd"/>
    </w:p>
    <w:p w14:paraId="5AD5ABB9" w14:textId="77777777" w:rsidR="00685188" w:rsidRPr="0084114C" w:rsidRDefault="00685188" w:rsidP="00685188">
      <w:pPr>
        <w:pStyle w:val="subsection2"/>
      </w:pPr>
      <w:r w:rsidRPr="0084114C">
        <w:t>no fee is prescribed by that Subdivision for lodging a notice relating to any of the other takeover bids.</w:t>
      </w:r>
    </w:p>
    <w:p w14:paraId="5229B81D" w14:textId="77777777" w:rsidR="0063792C" w:rsidRPr="0084114C" w:rsidRDefault="0063792C" w:rsidP="0063792C">
      <w:pPr>
        <w:pStyle w:val="SubsectionHead"/>
      </w:pPr>
      <w:bookmarkStart w:id="17" w:name="_Toc182829544"/>
      <w:r w:rsidRPr="0084114C">
        <w:t>Arrangements involving multiple control transactions or takeover bids etc.</w:t>
      </w:r>
    </w:p>
    <w:p w14:paraId="25891D8F" w14:textId="77777777" w:rsidR="0063792C" w:rsidRPr="0084114C" w:rsidRDefault="0063792C" w:rsidP="0063792C">
      <w:pPr>
        <w:pStyle w:val="subsection"/>
      </w:pPr>
      <w:r w:rsidRPr="0084114C">
        <w:tab/>
        <w:t>(</w:t>
      </w:r>
      <w:r w:rsidR="00ED42D0" w:rsidRPr="0084114C">
        <w:t>4</w:t>
      </w:r>
      <w:r w:rsidRPr="0084114C">
        <w:t>)</w:t>
      </w:r>
      <w:r w:rsidRPr="0084114C">
        <w:tab/>
        <w:t>If:</w:t>
      </w:r>
    </w:p>
    <w:p w14:paraId="183FB571" w14:textId="77777777" w:rsidR="0063792C" w:rsidRPr="0084114C" w:rsidRDefault="0063792C" w:rsidP="0063792C">
      <w:pPr>
        <w:pStyle w:val="paragraph"/>
      </w:pPr>
      <w:r w:rsidRPr="0084114C">
        <w:tab/>
        <w:t>(a)</w:t>
      </w:r>
      <w:r w:rsidRPr="0084114C">
        <w:tab/>
        <w:t>an arrangement (within the meaning of Chapter 7 of the Corporations Act) includes:</w:t>
      </w:r>
    </w:p>
    <w:p w14:paraId="5F207642" w14:textId="77777777" w:rsidR="0063792C" w:rsidRPr="0084114C" w:rsidRDefault="0063792C" w:rsidP="0063792C">
      <w:pPr>
        <w:pStyle w:val="paragraphsub"/>
      </w:pPr>
      <w:r w:rsidRPr="0084114C">
        <w:tab/>
        <w:t>(</w:t>
      </w:r>
      <w:proofErr w:type="spellStart"/>
      <w:r w:rsidRPr="0084114C">
        <w:t>i</w:t>
      </w:r>
      <w:proofErr w:type="spellEnd"/>
      <w:r w:rsidRPr="0084114C">
        <w:t>)</w:t>
      </w:r>
      <w:r w:rsidRPr="0084114C">
        <w:tab/>
        <w:t>2 or more control transactions; or</w:t>
      </w:r>
    </w:p>
    <w:p w14:paraId="7B65A361" w14:textId="77777777" w:rsidR="0063792C" w:rsidRPr="0084114C" w:rsidRDefault="0063792C" w:rsidP="0063792C">
      <w:pPr>
        <w:pStyle w:val="paragraphsub"/>
      </w:pPr>
      <w:r w:rsidRPr="0084114C">
        <w:tab/>
        <w:t>(ii)</w:t>
      </w:r>
      <w:r w:rsidRPr="0084114C">
        <w:tab/>
        <w:t>2 or more takeover bids for securities in different targets; or</w:t>
      </w:r>
    </w:p>
    <w:p w14:paraId="0539C58A" w14:textId="77777777" w:rsidR="0063792C" w:rsidRPr="0084114C" w:rsidRDefault="0063792C" w:rsidP="0063792C">
      <w:pPr>
        <w:pStyle w:val="paragraphsub"/>
      </w:pPr>
      <w:r w:rsidRPr="0084114C">
        <w:tab/>
        <w:t>(iii)</w:t>
      </w:r>
      <w:r w:rsidRPr="0084114C">
        <w:tab/>
        <w:t>a control transaction and a takeover bid; and</w:t>
      </w:r>
    </w:p>
    <w:p w14:paraId="145BF802" w14:textId="77777777" w:rsidR="0063792C" w:rsidRPr="0084114C" w:rsidRDefault="0063792C" w:rsidP="0063792C">
      <w:pPr>
        <w:pStyle w:val="paragraph"/>
      </w:pPr>
      <w:r w:rsidRPr="0084114C">
        <w:tab/>
        <w:t>(b)</w:t>
      </w:r>
      <w:r w:rsidRPr="0084114C">
        <w:tab/>
        <w:t>a fee prescribed by this Division is paid for lodging:</w:t>
      </w:r>
    </w:p>
    <w:p w14:paraId="27461309" w14:textId="77777777" w:rsidR="0063792C" w:rsidRPr="0084114C" w:rsidRDefault="0063792C" w:rsidP="0063792C">
      <w:pPr>
        <w:pStyle w:val="paragraphsub"/>
      </w:pPr>
      <w:r w:rsidRPr="0084114C">
        <w:tab/>
        <w:t>(</w:t>
      </w:r>
      <w:proofErr w:type="spellStart"/>
      <w:r w:rsidRPr="0084114C">
        <w:t>i</w:t>
      </w:r>
      <w:proofErr w:type="spellEnd"/>
      <w:r w:rsidRPr="0084114C">
        <w:t>)</w:t>
      </w:r>
      <w:r w:rsidRPr="0084114C">
        <w:tab/>
        <w:t xml:space="preserve">a copy of an order of approval of a </w:t>
      </w:r>
      <w:r w:rsidR="001419A8" w:rsidRPr="0084114C">
        <w:t>Part 5</w:t>
      </w:r>
      <w:r w:rsidRPr="0084114C">
        <w:t xml:space="preserve">.1 arrangement that is, or is part of, any of those control </w:t>
      </w:r>
      <w:proofErr w:type="gramStart"/>
      <w:r w:rsidRPr="0084114C">
        <w:t>transactions;</w:t>
      </w:r>
      <w:proofErr w:type="gramEnd"/>
      <w:r w:rsidRPr="0084114C">
        <w:t xml:space="preserve"> or</w:t>
      </w:r>
    </w:p>
    <w:p w14:paraId="4654FD7C" w14:textId="77777777" w:rsidR="0063792C" w:rsidRPr="0084114C" w:rsidRDefault="0063792C" w:rsidP="0063792C">
      <w:pPr>
        <w:pStyle w:val="paragraphsub"/>
      </w:pPr>
      <w:r w:rsidRPr="0084114C">
        <w:tab/>
        <w:t>(ii)</w:t>
      </w:r>
      <w:r w:rsidRPr="0084114C">
        <w:tab/>
        <w:t xml:space="preserve">a copy of a modification of the constitution of a </w:t>
      </w:r>
      <w:r w:rsidR="00577F64" w:rsidRPr="0084114C">
        <w:t xml:space="preserve">listed </w:t>
      </w:r>
      <w:r w:rsidRPr="0084114C">
        <w:t xml:space="preserve">registered scheme or a new constitution of a </w:t>
      </w:r>
      <w:r w:rsidR="00577F64" w:rsidRPr="0084114C">
        <w:t xml:space="preserve">listed </w:t>
      </w:r>
      <w:r w:rsidRPr="0084114C">
        <w:t>registered scheme, if the modification, or the repeal and replacement, of the constitution of the registered scheme is part of any of those control transactions; or</w:t>
      </w:r>
    </w:p>
    <w:p w14:paraId="458D673F" w14:textId="77777777" w:rsidR="0063792C" w:rsidRPr="0084114C" w:rsidRDefault="0063792C" w:rsidP="0063792C">
      <w:pPr>
        <w:pStyle w:val="paragraphsub"/>
      </w:pPr>
      <w:r w:rsidRPr="0084114C">
        <w:tab/>
        <w:t>(iii)</w:t>
      </w:r>
      <w:r w:rsidRPr="0084114C">
        <w:tab/>
        <w:t xml:space="preserve">a notice relating to any of those takeover </w:t>
      </w:r>
      <w:proofErr w:type="gramStart"/>
      <w:r w:rsidRPr="0084114C">
        <w:t>bids;</w:t>
      </w:r>
      <w:proofErr w:type="gramEnd"/>
    </w:p>
    <w:p w14:paraId="5CBEB6A0" w14:textId="77777777" w:rsidR="0063792C" w:rsidRPr="0084114C" w:rsidRDefault="0063792C" w:rsidP="0063792C">
      <w:pPr>
        <w:pStyle w:val="subsection2"/>
      </w:pPr>
      <w:r w:rsidRPr="0084114C">
        <w:t>no fee is prescribed by this Division for lodging:</w:t>
      </w:r>
    </w:p>
    <w:p w14:paraId="1B70F0B1" w14:textId="77777777" w:rsidR="0063792C" w:rsidRPr="0084114C" w:rsidRDefault="0063792C" w:rsidP="0063792C">
      <w:pPr>
        <w:pStyle w:val="paragraph"/>
      </w:pPr>
      <w:r w:rsidRPr="0084114C">
        <w:tab/>
        <w:t>(c)</w:t>
      </w:r>
      <w:r w:rsidRPr="0084114C">
        <w:tab/>
        <w:t xml:space="preserve">a copy of an order of approval of a </w:t>
      </w:r>
      <w:r w:rsidR="001419A8" w:rsidRPr="0084114C">
        <w:t>Part 5</w:t>
      </w:r>
      <w:r w:rsidRPr="0084114C">
        <w:t>.1 arrangement that is, or is part of, any of those control transactions (other than, if subparagraph (b)(</w:t>
      </w:r>
      <w:proofErr w:type="spellStart"/>
      <w:r w:rsidRPr="0084114C">
        <w:t>i</w:t>
      </w:r>
      <w:proofErr w:type="spellEnd"/>
      <w:r w:rsidRPr="0084114C">
        <w:t xml:space="preserve">) of this </w:t>
      </w:r>
      <w:proofErr w:type="spellStart"/>
      <w:r w:rsidRPr="0084114C">
        <w:t>subregulation</w:t>
      </w:r>
      <w:proofErr w:type="spellEnd"/>
      <w:r w:rsidRPr="0084114C">
        <w:t xml:space="preserve"> applies, the copy mentioned in that subparagraph); or</w:t>
      </w:r>
    </w:p>
    <w:p w14:paraId="56CE849A" w14:textId="77777777" w:rsidR="0063792C" w:rsidRPr="0084114C" w:rsidRDefault="0063792C" w:rsidP="0063792C">
      <w:pPr>
        <w:pStyle w:val="paragraph"/>
      </w:pPr>
      <w:r w:rsidRPr="0084114C">
        <w:tab/>
        <w:t>(d)</w:t>
      </w:r>
      <w:r w:rsidRPr="0084114C">
        <w:tab/>
        <w:t xml:space="preserve">a copy of a modification of the constitution of a </w:t>
      </w:r>
      <w:r w:rsidR="00577F64" w:rsidRPr="0084114C">
        <w:t xml:space="preserve">listed </w:t>
      </w:r>
      <w:r w:rsidRPr="0084114C">
        <w:t xml:space="preserve">registered scheme or a new constitution of a registered scheme, if the modification, or the repeal and replacement, of the constitution of the </w:t>
      </w:r>
      <w:r w:rsidR="00577F64" w:rsidRPr="0084114C">
        <w:t xml:space="preserve">listed </w:t>
      </w:r>
      <w:r w:rsidRPr="0084114C">
        <w:t xml:space="preserve">registered scheme is part of any of those control transactions (other than, if subparagraph (b)(ii) of this </w:t>
      </w:r>
      <w:proofErr w:type="spellStart"/>
      <w:r w:rsidRPr="0084114C">
        <w:t>subregulation</w:t>
      </w:r>
      <w:proofErr w:type="spellEnd"/>
      <w:r w:rsidRPr="0084114C">
        <w:t xml:space="preserve"> applies, the copy mentioned in that subparagraph); or</w:t>
      </w:r>
    </w:p>
    <w:p w14:paraId="4BC1DAAA" w14:textId="77777777" w:rsidR="0063792C" w:rsidRPr="0084114C" w:rsidRDefault="0063792C" w:rsidP="0063792C">
      <w:pPr>
        <w:pStyle w:val="paragraph"/>
      </w:pPr>
      <w:r w:rsidRPr="0084114C">
        <w:tab/>
        <w:t>(e)</w:t>
      </w:r>
      <w:r w:rsidRPr="0084114C">
        <w:tab/>
        <w:t>a notice relating to any of those takeover bids (other than, if subparagraph (b)(iii) applies, the notice mentioned in that subparagraph).</w:t>
      </w:r>
    </w:p>
    <w:p w14:paraId="66EE99FA" w14:textId="77777777" w:rsidR="00685188" w:rsidRPr="0084114C" w:rsidRDefault="00685188" w:rsidP="00685188">
      <w:pPr>
        <w:pStyle w:val="ActHead3"/>
      </w:pPr>
      <w:r w:rsidRPr="00DE06C2">
        <w:rPr>
          <w:rStyle w:val="CharDivNo"/>
        </w:rPr>
        <w:t>Division 3</w:t>
      </w:r>
      <w:r w:rsidRPr="0084114C">
        <w:t>—</w:t>
      </w:r>
      <w:r w:rsidRPr="00DE06C2">
        <w:rPr>
          <w:rStyle w:val="CharDivText"/>
        </w:rPr>
        <w:t>Other fees</w:t>
      </w:r>
      <w:bookmarkEnd w:id="17"/>
    </w:p>
    <w:sectPr w:rsidR="00685188" w:rsidRPr="0084114C" w:rsidSect="003266DA">
      <w:headerReference w:type="even" r:id="rId28"/>
      <w:headerReference w:type="default" r:id="rId29"/>
      <w:footerReference w:type="even" r:id="rId30"/>
      <w:footerReference w:type="default" r:id="rId31"/>
      <w:headerReference w:type="first" r:id="rId32"/>
      <w:footerReference w:type="first" r:id="rId33"/>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3458" w14:textId="77777777" w:rsidR="005B4F39" w:rsidRDefault="005B4F39" w:rsidP="0048364F">
      <w:pPr>
        <w:spacing w:line="240" w:lineRule="auto"/>
      </w:pPr>
      <w:r>
        <w:separator/>
      </w:r>
    </w:p>
  </w:endnote>
  <w:endnote w:type="continuationSeparator" w:id="0">
    <w:p w14:paraId="04E5E376" w14:textId="77777777" w:rsidR="005B4F39" w:rsidRDefault="005B4F3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454E" w14:textId="77777777" w:rsidR="005B4F39" w:rsidRPr="003266DA" w:rsidRDefault="003266DA" w:rsidP="003266DA">
    <w:pPr>
      <w:pStyle w:val="Footer"/>
      <w:tabs>
        <w:tab w:val="clear" w:pos="4153"/>
        <w:tab w:val="clear" w:pos="8306"/>
        <w:tab w:val="center" w:pos="4150"/>
        <w:tab w:val="right" w:pos="8307"/>
      </w:tabs>
      <w:spacing w:before="120"/>
      <w:rPr>
        <w:i/>
        <w:sz w:val="18"/>
      </w:rPr>
    </w:pPr>
    <w:r w:rsidRPr="003266DA">
      <w:rPr>
        <w:i/>
        <w:sz w:val="18"/>
      </w:rPr>
      <w:t>OPC67179 -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9EF2" w14:textId="77777777" w:rsidR="005B4F39" w:rsidRDefault="005B4F39" w:rsidP="00E97334"/>
  <w:p w14:paraId="68C9A5D8" w14:textId="77777777" w:rsidR="005B4F39" w:rsidRPr="003266DA" w:rsidRDefault="003266DA" w:rsidP="003266DA">
    <w:pPr>
      <w:rPr>
        <w:rFonts w:cs="Times New Roman"/>
        <w:i/>
        <w:sz w:val="18"/>
      </w:rPr>
    </w:pPr>
    <w:r w:rsidRPr="003266DA">
      <w:rPr>
        <w:rFonts w:cs="Times New Roman"/>
        <w:i/>
        <w:sz w:val="18"/>
      </w:rPr>
      <w:t>OPC67179 -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EFA2" w14:textId="77777777" w:rsidR="005B4F39" w:rsidRPr="003266DA" w:rsidRDefault="003266DA" w:rsidP="003266DA">
    <w:pPr>
      <w:pStyle w:val="Footer"/>
      <w:tabs>
        <w:tab w:val="clear" w:pos="4153"/>
        <w:tab w:val="clear" w:pos="8306"/>
        <w:tab w:val="center" w:pos="4150"/>
        <w:tab w:val="right" w:pos="8307"/>
      </w:tabs>
      <w:spacing w:before="120"/>
      <w:rPr>
        <w:i/>
        <w:sz w:val="18"/>
      </w:rPr>
    </w:pPr>
    <w:r w:rsidRPr="003266DA">
      <w:rPr>
        <w:i/>
        <w:sz w:val="18"/>
      </w:rPr>
      <w:t>OPC67179 -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12E6" w14:textId="77777777" w:rsidR="005B4F39" w:rsidRPr="00E33C1C" w:rsidRDefault="005B4F3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4F39" w14:paraId="14DF66D8" w14:textId="77777777" w:rsidTr="00DE06C2">
      <w:tc>
        <w:tcPr>
          <w:tcW w:w="709" w:type="dxa"/>
          <w:tcBorders>
            <w:top w:val="nil"/>
            <w:left w:val="nil"/>
            <w:bottom w:val="nil"/>
            <w:right w:val="nil"/>
          </w:tcBorders>
        </w:tcPr>
        <w:p w14:paraId="2A9BC78A" w14:textId="77777777" w:rsidR="005B4F39" w:rsidRDefault="005B4F39" w:rsidP="0032557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542C5A3" w14:textId="435CE17B" w:rsidR="005B4F39" w:rsidRDefault="005B4F39" w:rsidP="003255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571E">
            <w:rPr>
              <w:i/>
              <w:sz w:val="18"/>
            </w:rPr>
            <w:t>Corporations (Fees) Amendment (Takeovers) Regulations 2024</w:t>
          </w:r>
          <w:r w:rsidRPr="007A1328">
            <w:rPr>
              <w:i/>
              <w:sz w:val="18"/>
            </w:rPr>
            <w:fldChar w:fldCharType="end"/>
          </w:r>
        </w:p>
      </w:tc>
      <w:tc>
        <w:tcPr>
          <w:tcW w:w="1384" w:type="dxa"/>
          <w:tcBorders>
            <w:top w:val="nil"/>
            <w:left w:val="nil"/>
            <w:bottom w:val="nil"/>
            <w:right w:val="nil"/>
          </w:tcBorders>
        </w:tcPr>
        <w:p w14:paraId="5DA4C326" w14:textId="77777777" w:rsidR="005B4F39" w:rsidRDefault="005B4F39" w:rsidP="00325576">
          <w:pPr>
            <w:spacing w:line="0" w:lineRule="atLeast"/>
            <w:jc w:val="right"/>
            <w:rPr>
              <w:sz w:val="18"/>
            </w:rPr>
          </w:pPr>
        </w:p>
      </w:tc>
    </w:tr>
  </w:tbl>
  <w:p w14:paraId="59791E5F" w14:textId="77777777" w:rsidR="005B4F39" w:rsidRPr="003266DA" w:rsidRDefault="003266DA" w:rsidP="003266DA">
    <w:pPr>
      <w:rPr>
        <w:rFonts w:cs="Times New Roman"/>
        <w:i/>
        <w:sz w:val="18"/>
      </w:rPr>
    </w:pPr>
    <w:r w:rsidRPr="003266DA">
      <w:rPr>
        <w:rFonts w:cs="Times New Roman"/>
        <w:i/>
        <w:sz w:val="18"/>
      </w:rPr>
      <w:t>OPC67179 -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9C2E" w14:textId="77777777" w:rsidR="005B4F39" w:rsidRPr="00E33C1C" w:rsidRDefault="005B4F3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B4F39" w14:paraId="2AA203A3" w14:textId="77777777" w:rsidTr="00DE06C2">
      <w:tc>
        <w:tcPr>
          <w:tcW w:w="1383" w:type="dxa"/>
          <w:tcBorders>
            <w:top w:val="nil"/>
            <w:left w:val="nil"/>
            <w:bottom w:val="nil"/>
            <w:right w:val="nil"/>
          </w:tcBorders>
        </w:tcPr>
        <w:p w14:paraId="1DB35712" w14:textId="77777777" w:rsidR="005B4F39" w:rsidRDefault="005B4F39" w:rsidP="00325576">
          <w:pPr>
            <w:spacing w:line="0" w:lineRule="atLeast"/>
            <w:rPr>
              <w:sz w:val="18"/>
            </w:rPr>
          </w:pPr>
        </w:p>
      </w:tc>
      <w:tc>
        <w:tcPr>
          <w:tcW w:w="6379" w:type="dxa"/>
          <w:tcBorders>
            <w:top w:val="nil"/>
            <w:left w:val="nil"/>
            <w:bottom w:val="nil"/>
            <w:right w:val="nil"/>
          </w:tcBorders>
        </w:tcPr>
        <w:p w14:paraId="04201686" w14:textId="6F8DF378" w:rsidR="005B4F39" w:rsidRDefault="005B4F39" w:rsidP="003255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571E">
            <w:rPr>
              <w:i/>
              <w:sz w:val="18"/>
            </w:rPr>
            <w:t>Corporations (Fees) Amendment (Takeovers) Regulations 2024</w:t>
          </w:r>
          <w:r w:rsidRPr="007A1328">
            <w:rPr>
              <w:i/>
              <w:sz w:val="18"/>
            </w:rPr>
            <w:fldChar w:fldCharType="end"/>
          </w:r>
        </w:p>
      </w:tc>
      <w:tc>
        <w:tcPr>
          <w:tcW w:w="710" w:type="dxa"/>
          <w:tcBorders>
            <w:top w:val="nil"/>
            <w:left w:val="nil"/>
            <w:bottom w:val="nil"/>
            <w:right w:val="nil"/>
          </w:tcBorders>
        </w:tcPr>
        <w:p w14:paraId="5E0CC302" w14:textId="77777777" w:rsidR="005B4F39" w:rsidRDefault="005B4F39" w:rsidP="003255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4724AE0" w14:textId="77777777" w:rsidR="005B4F39" w:rsidRPr="003266DA" w:rsidRDefault="003266DA" w:rsidP="003266DA">
    <w:pPr>
      <w:rPr>
        <w:rFonts w:cs="Times New Roman"/>
        <w:i/>
        <w:sz w:val="18"/>
      </w:rPr>
    </w:pPr>
    <w:r w:rsidRPr="003266DA">
      <w:rPr>
        <w:rFonts w:cs="Times New Roman"/>
        <w:i/>
        <w:sz w:val="18"/>
      </w:rPr>
      <w:t>OPC67179 -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707F" w14:textId="77777777" w:rsidR="005B4F39" w:rsidRPr="00E33C1C" w:rsidRDefault="005B4F3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4F39" w14:paraId="0C590BDD" w14:textId="77777777" w:rsidTr="00DE06C2">
      <w:tc>
        <w:tcPr>
          <w:tcW w:w="709" w:type="dxa"/>
          <w:tcBorders>
            <w:top w:val="nil"/>
            <w:left w:val="nil"/>
            <w:bottom w:val="nil"/>
            <w:right w:val="nil"/>
          </w:tcBorders>
        </w:tcPr>
        <w:p w14:paraId="78FE9A4A" w14:textId="77777777" w:rsidR="005B4F39" w:rsidRDefault="005B4F39" w:rsidP="0032557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A720723" w14:textId="59E331F9" w:rsidR="005B4F39" w:rsidRDefault="005B4F39" w:rsidP="003255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571E">
            <w:rPr>
              <w:i/>
              <w:sz w:val="18"/>
            </w:rPr>
            <w:t>Corporations (Fees) Amendment (Takeovers) Regulations 2024</w:t>
          </w:r>
          <w:r w:rsidRPr="007A1328">
            <w:rPr>
              <w:i/>
              <w:sz w:val="18"/>
            </w:rPr>
            <w:fldChar w:fldCharType="end"/>
          </w:r>
        </w:p>
      </w:tc>
      <w:tc>
        <w:tcPr>
          <w:tcW w:w="1384" w:type="dxa"/>
          <w:tcBorders>
            <w:top w:val="nil"/>
            <w:left w:val="nil"/>
            <w:bottom w:val="nil"/>
            <w:right w:val="nil"/>
          </w:tcBorders>
        </w:tcPr>
        <w:p w14:paraId="6388A619" w14:textId="77777777" w:rsidR="005B4F39" w:rsidRDefault="005B4F39" w:rsidP="00325576">
          <w:pPr>
            <w:spacing w:line="0" w:lineRule="atLeast"/>
            <w:jc w:val="right"/>
            <w:rPr>
              <w:sz w:val="18"/>
            </w:rPr>
          </w:pPr>
        </w:p>
      </w:tc>
    </w:tr>
  </w:tbl>
  <w:p w14:paraId="4F28DDA6" w14:textId="77777777" w:rsidR="005B4F39" w:rsidRPr="003266DA" w:rsidRDefault="003266DA" w:rsidP="003266DA">
    <w:pPr>
      <w:rPr>
        <w:rFonts w:cs="Times New Roman"/>
        <w:i/>
        <w:sz w:val="18"/>
      </w:rPr>
    </w:pPr>
    <w:r w:rsidRPr="003266DA">
      <w:rPr>
        <w:rFonts w:cs="Times New Roman"/>
        <w:i/>
        <w:sz w:val="18"/>
      </w:rPr>
      <w:t>OPC67179 -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922C" w14:textId="77777777" w:rsidR="005B4F39" w:rsidRPr="00E33C1C" w:rsidRDefault="005B4F3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B4F39" w14:paraId="1EFA460F" w14:textId="77777777" w:rsidTr="00325576">
      <w:tc>
        <w:tcPr>
          <w:tcW w:w="1384" w:type="dxa"/>
          <w:tcBorders>
            <w:top w:val="nil"/>
            <w:left w:val="nil"/>
            <w:bottom w:val="nil"/>
            <w:right w:val="nil"/>
          </w:tcBorders>
        </w:tcPr>
        <w:p w14:paraId="31108A5C" w14:textId="77777777" w:rsidR="005B4F39" w:rsidRDefault="005B4F39" w:rsidP="00325576">
          <w:pPr>
            <w:spacing w:line="0" w:lineRule="atLeast"/>
            <w:rPr>
              <w:sz w:val="18"/>
            </w:rPr>
          </w:pPr>
        </w:p>
      </w:tc>
      <w:tc>
        <w:tcPr>
          <w:tcW w:w="6379" w:type="dxa"/>
          <w:tcBorders>
            <w:top w:val="nil"/>
            <w:left w:val="nil"/>
            <w:bottom w:val="nil"/>
            <w:right w:val="nil"/>
          </w:tcBorders>
        </w:tcPr>
        <w:p w14:paraId="6298C63C" w14:textId="4C8EEB1C" w:rsidR="005B4F39" w:rsidRDefault="005B4F39" w:rsidP="003255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571E">
            <w:rPr>
              <w:i/>
              <w:sz w:val="18"/>
            </w:rPr>
            <w:t>Corporations (Fees) Amendment (Takeovers) Regulations 2024</w:t>
          </w:r>
          <w:r w:rsidRPr="007A1328">
            <w:rPr>
              <w:i/>
              <w:sz w:val="18"/>
            </w:rPr>
            <w:fldChar w:fldCharType="end"/>
          </w:r>
        </w:p>
      </w:tc>
      <w:tc>
        <w:tcPr>
          <w:tcW w:w="709" w:type="dxa"/>
          <w:tcBorders>
            <w:top w:val="nil"/>
            <w:left w:val="nil"/>
            <w:bottom w:val="nil"/>
            <w:right w:val="nil"/>
          </w:tcBorders>
        </w:tcPr>
        <w:p w14:paraId="19F9CB55" w14:textId="77777777" w:rsidR="005B4F39" w:rsidRDefault="005B4F39" w:rsidP="003255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25E808C" w14:textId="77777777" w:rsidR="005B4F39" w:rsidRPr="003266DA" w:rsidRDefault="003266DA" w:rsidP="003266DA">
    <w:pPr>
      <w:rPr>
        <w:rFonts w:cs="Times New Roman"/>
        <w:i/>
        <w:sz w:val="18"/>
      </w:rPr>
    </w:pPr>
    <w:r w:rsidRPr="003266DA">
      <w:rPr>
        <w:rFonts w:cs="Times New Roman"/>
        <w:i/>
        <w:sz w:val="18"/>
      </w:rPr>
      <w:t>OPC67179 -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933" w14:textId="77777777" w:rsidR="005B4F39" w:rsidRPr="00E33C1C" w:rsidRDefault="005B4F3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B4F39" w14:paraId="6E57D370" w14:textId="77777777" w:rsidTr="007A6863">
      <w:tc>
        <w:tcPr>
          <w:tcW w:w="1384" w:type="dxa"/>
          <w:tcBorders>
            <w:top w:val="nil"/>
            <w:left w:val="nil"/>
            <w:bottom w:val="nil"/>
            <w:right w:val="nil"/>
          </w:tcBorders>
        </w:tcPr>
        <w:p w14:paraId="0303035F" w14:textId="77777777" w:rsidR="005B4F39" w:rsidRDefault="005B4F39" w:rsidP="00325576">
          <w:pPr>
            <w:spacing w:line="0" w:lineRule="atLeast"/>
            <w:rPr>
              <w:sz w:val="18"/>
            </w:rPr>
          </w:pPr>
        </w:p>
      </w:tc>
      <w:tc>
        <w:tcPr>
          <w:tcW w:w="6379" w:type="dxa"/>
          <w:tcBorders>
            <w:top w:val="nil"/>
            <w:left w:val="nil"/>
            <w:bottom w:val="nil"/>
            <w:right w:val="nil"/>
          </w:tcBorders>
        </w:tcPr>
        <w:p w14:paraId="25A4FED2" w14:textId="6AFBB7EF" w:rsidR="005B4F39" w:rsidRDefault="005B4F39" w:rsidP="003255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571E">
            <w:rPr>
              <w:i/>
              <w:sz w:val="18"/>
            </w:rPr>
            <w:t>Corporations (Fees) Amendment (Takeovers) Regulations 2024</w:t>
          </w:r>
          <w:r w:rsidRPr="007A1328">
            <w:rPr>
              <w:i/>
              <w:sz w:val="18"/>
            </w:rPr>
            <w:fldChar w:fldCharType="end"/>
          </w:r>
        </w:p>
      </w:tc>
      <w:tc>
        <w:tcPr>
          <w:tcW w:w="709" w:type="dxa"/>
          <w:tcBorders>
            <w:top w:val="nil"/>
            <w:left w:val="nil"/>
            <w:bottom w:val="nil"/>
            <w:right w:val="nil"/>
          </w:tcBorders>
        </w:tcPr>
        <w:p w14:paraId="45D097AE" w14:textId="77777777" w:rsidR="005B4F39" w:rsidRDefault="005B4F39" w:rsidP="003255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A5758BD" w14:textId="77777777" w:rsidR="005B4F39" w:rsidRPr="003266DA" w:rsidRDefault="003266DA" w:rsidP="003266DA">
    <w:pPr>
      <w:rPr>
        <w:rFonts w:cs="Times New Roman"/>
        <w:i/>
        <w:sz w:val="18"/>
      </w:rPr>
    </w:pPr>
    <w:r w:rsidRPr="003266DA">
      <w:rPr>
        <w:rFonts w:cs="Times New Roman"/>
        <w:i/>
        <w:sz w:val="18"/>
      </w:rPr>
      <w:t>OPC67179 -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7BA5" w14:textId="77777777" w:rsidR="005B4F39" w:rsidRDefault="005B4F39" w:rsidP="0048364F">
      <w:pPr>
        <w:spacing w:line="240" w:lineRule="auto"/>
      </w:pPr>
      <w:r>
        <w:separator/>
      </w:r>
    </w:p>
  </w:footnote>
  <w:footnote w:type="continuationSeparator" w:id="0">
    <w:p w14:paraId="5DBE7AA5" w14:textId="77777777" w:rsidR="005B4F39" w:rsidRDefault="005B4F3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AC1B" w14:textId="77777777" w:rsidR="005B4F39" w:rsidRPr="005F1388" w:rsidRDefault="005B4F3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4FAB" w14:textId="77777777" w:rsidR="005B4F39" w:rsidRPr="005F1388" w:rsidRDefault="005B4F3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7066" w14:textId="77777777" w:rsidR="005B4F39" w:rsidRPr="005F1388" w:rsidRDefault="005B4F3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2C14" w14:textId="77777777" w:rsidR="005B4F39" w:rsidRPr="00ED79B6" w:rsidRDefault="005B4F3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1807" w14:textId="77777777" w:rsidR="005B4F39" w:rsidRPr="00ED79B6" w:rsidRDefault="005B4F3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D7DC" w14:textId="77777777" w:rsidR="005B4F39" w:rsidRPr="00ED79B6" w:rsidRDefault="005B4F3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5BAA" w14:textId="40983619" w:rsidR="005B4F39" w:rsidRPr="00A961C4" w:rsidRDefault="005B4F39" w:rsidP="0048364F">
    <w:pPr>
      <w:rPr>
        <w:b/>
        <w:sz w:val="20"/>
      </w:rPr>
    </w:pPr>
    <w:r>
      <w:rPr>
        <w:b/>
        <w:sz w:val="20"/>
      </w:rPr>
      <w:fldChar w:fldCharType="begin"/>
    </w:r>
    <w:r>
      <w:rPr>
        <w:b/>
        <w:sz w:val="20"/>
      </w:rPr>
      <w:instrText xml:space="preserve"> STYLEREF CharAmSchNo </w:instrText>
    </w:r>
    <w:r>
      <w:rPr>
        <w:b/>
        <w:sz w:val="20"/>
      </w:rPr>
      <w:fldChar w:fldCharType="separate"/>
    </w:r>
    <w:r w:rsidR="00EB6D0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B6D08">
      <w:rPr>
        <w:noProof/>
        <w:sz w:val="20"/>
      </w:rPr>
      <w:t>Amendments</w:t>
    </w:r>
    <w:r>
      <w:rPr>
        <w:sz w:val="20"/>
      </w:rPr>
      <w:fldChar w:fldCharType="end"/>
    </w:r>
  </w:p>
  <w:p w14:paraId="2D9067EB" w14:textId="0FE39D29" w:rsidR="005B4F39" w:rsidRPr="00A961C4" w:rsidRDefault="005B4F3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7EF7013" w14:textId="77777777" w:rsidR="005B4F39" w:rsidRPr="00A961C4" w:rsidRDefault="005B4F3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EEFC" w14:textId="78EFB303" w:rsidR="005B4F39" w:rsidRPr="00A961C4" w:rsidRDefault="005B4F3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91C17CF" w14:textId="41ADD15B" w:rsidR="005B4F39" w:rsidRPr="00A961C4" w:rsidRDefault="005B4F3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5CA2703" w14:textId="77777777" w:rsidR="005B4F39" w:rsidRPr="00A961C4" w:rsidRDefault="005B4F3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2DD2" w14:textId="77777777" w:rsidR="005B4F39" w:rsidRPr="00A961C4" w:rsidRDefault="005B4F3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646204767">
    <w:abstractNumId w:val="9"/>
  </w:num>
  <w:num w:numId="2" w16cid:durableId="1281447828">
    <w:abstractNumId w:val="7"/>
  </w:num>
  <w:num w:numId="3" w16cid:durableId="1213813075">
    <w:abstractNumId w:val="6"/>
  </w:num>
  <w:num w:numId="4" w16cid:durableId="970944052">
    <w:abstractNumId w:val="5"/>
  </w:num>
  <w:num w:numId="5" w16cid:durableId="834732515">
    <w:abstractNumId w:val="4"/>
  </w:num>
  <w:num w:numId="6" w16cid:durableId="1027753700">
    <w:abstractNumId w:val="8"/>
  </w:num>
  <w:num w:numId="7" w16cid:durableId="774716456">
    <w:abstractNumId w:val="3"/>
  </w:num>
  <w:num w:numId="8" w16cid:durableId="1828859725">
    <w:abstractNumId w:val="2"/>
  </w:num>
  <w:num w:numId="9" w16cid:durableId="2139755136">
    <w:abstractNumId w:val="1"/>
  </w:num>
  <w:num w:numId="10" w16cid:durableId="17897281">
    <w:abstractNumId w:val="0"/>
  </w:num>
  <w:num w:numId="11" w16cid:durableId="1873566241">
    <w:abstractNumId w:val="15"/>
  </w:num>
  <w:num w:numId="12" w16cid:durableId="1391880544">
    <w:abstractNumId w:val="11"/>
  </w:num>
  <w:num w:numId="13" w16cid:durableId="1202862306">
    <w:abstractNumId w:val="12"/>
  </w:num>
  <w:num w:numId="14" w16cid:durableId="1835024181">
    <w:abstractNumId w:val="14"/>
  </w:num>
  <w:num w:numId="15" w16cid:durableId="2137404476">
    <w:abstractNumId w:val="13"/>
  </w:num>
  <w:num w:numId="16" w16cid:durableId="734397656">
    <w:abstractNumId w:val="10"/>
  </w:num>
  <w:num w:numId="17" w16cid:durableId="581524903">
    <w:abstractNumId w:val="17"/>
  </w:num>
  <w:num w:numId="18" w16cid:durableId="178012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3BAE"/>
    <w:rsid w:val="00000263"/>
    <w:rsid w:val="00011384"/>
    <w:rsid w:val="000113BC"/>
    <w:rsid w:val="000136AF"/>
    <w:rsid w:val="0001640C"/>
    <w:rsid w:val="0002193C"/>
    <w:rsid w:val="00022798"/>
    <w:rsid w:val="000265A6"/>
    <w:rsid w:val="00026A00"/>
    <w:rsid w:val="00032C7E"/>
    <w:rsid w:val="00036E24"/>
    <w:rsid w:val="0004044E"/>
    <w:rsid w:val="000413AC"/>
    <w:rsid w:val="00043BC5"/>
    <w:rsid w:val="00043E81"/>
    <w:rsid w:val="00044411"/>
    <w:rsid w:val="00045F95"/>
    <w:rsid w:val="00046F47"/>
    <w:rsid w:val="0004764F"/>
    <w:rsid w:val="00047F1D"/>
    <w:rsid w:val="0005096A"/>
    <w:rsid w:val="0005120E"/>
    <w:rsid w:val="00054577"/>
    <w:rsid w:val="00056063"/>
    <w:rsid w:val="000614BF"/>
    <w:rsid w:val="00063295"/>
    <w:rsid w:val="0007169C"/>
    <w:rsid w:val="000757BB"/>
    <w:rsid w:val="00077002"/>
    <w:rsid w:val="00077593"/>
    <w:rsid w:val="00083F48"/>
    <w:rsid w:val="00084520"/>
    <w:rsid w:val="00086814"/>
    <w:rsid w:val="00090798"/>
    <w:rsid w:val="00091203"/>
    <w:rsid w:val="0009497B"/>
    <w:rsid w:val="000966E8"/>
    <w:rsid w:val="000979E5"/>
    <w:rsid w:val="000A7DF9"/>
    <w:rsid w:val="000B2E3C"/>
    <w:rsid w:val="000C382D"/>
    <w:rsid w:val="000D05EF"/>
    <w:rsid w:val="000D5485"/>
    <w:rsid w:val="000D732B"/>
    <w:rsid w:val="000E0B2A"/>
    <w:rsid w:val="000E1051"/>
    <w:rsid w:val="000E7385"/>
    <w:rsid w:val="000F21C1"/>
    <w:rsid w:val="001000D3"/>
    <w:rsid w:val="00105D72"/>
    <w:rsid w:val="0010745C"/>
    <w:rsid w:val="00111141"/>
    <w:rsid w:val="00116FD4"/>
    <w:rsid w:val="00117277"/>
    <w:rsid w:val="00127DEE"/>
    <w:rsid w:val="00131D4B"/>
    <w:rsid w:val="0013340E"/>
    <w:rsid w:val="0013387E"/>
    <w:rsid w:val="001351C8"/>
    <w:rsid w:val="00136CAD"/>
    <w:rsid w:val="00140342"/>
    <w:rsid w:val="001419A8"/>
    <w:rsid w:val="00142E37"/>
    <w:rsid w:val="00155873"/>
    <w:rsid w:val="00160BD7"/>
    <w:rsid w:val="001630EF"/>
    <w:rsid w:val="001643C9"/>
    <w:rsid w:val="001654FD"/>
    <w:rsid w:val="00165568"/>
    <w:rsid w:val="00166082"/>
    <w:rsid w:val="00166C2F"/>
    <w:rsid w:val="001705A7"/>
    <w:rsid w:val="001716C9"/>
    <w:rsid w:val="00174CE9"/>
    <w:rsid w:val="00184261"/>
    <w:rsid w:val="0018493B"/>
    <w:rsid w:val="00185B9F"/>
    <w:rsid w:val="00190BA1"/>
    <w:rsid w:val="00190DF5"/>
    <w:rsid w:val="00193461"/>
    <w:rsid w:val="001939E1"/>
    <w:rsid w:val="00193DD6"/>
    <w:rsid w:val="001948E8"/>
    <w:rsid w:val="00195382"/>
    <w:rsid w:val="0019671A"/>
    <w:rsid w:val="001A3B9F"/>
    <w:rsid w:val="001A4302"/>
    <w:rsid w:val="001A65C0"/>
    <w:rsid w:val="001B4E6E"/>
    <w:rsid w:val="001B4F93"/>
    <w:rsid w:val="001B6456"/>
    <w:rsid w:val="001B7A5D"/>
    <w:rsid w:val="001C69C4"/>
    <w:rsid w:val="001C70D9"/>
    <w:rsid w:val="001D2F8D"/>
    <w:rsid w:val="001E0A8D"/>
    <w:rsid w:val="001E3590"/>
    <w:rsid w:val="001E4C88"/>
    <w:rsid w:val="001E610E"/>
    <w:rsid w:val="001E71C3"/>
    <w:rsid w:val="001E7407"/>
    <w:rsid w:val="001F120E"/>
    <w:rsid w:val="001F17AD"/>
    <w:rsid w:val="001F369B"/>
    <w:rsid w:val="001F4F2C"/>
    <w:rsid w:val="001F6DAD"/>
    <w:rsid w:val="001F6FA4"/>
    <w:rsid w:val="00201D27"/>
    <w:rsid w:val="0020300C"/>
    <w:rsid w:val="00204322"/>
    <w:rsid w:val="00210970"/>
    <w:rsid w:val="00210B9C"/>
    <w:rsid w:val="00212330"/>
    <w:rsid w:val="00212560"/>
    <w:rsid w:val="0021702C"/>
    <w:rsid w:val="00220A0C"/>
    <w:rsid w:val="00223E4A"/>
    <w:rsid w:val="002302EA"/>
    <w:rsid w:val="0024016D"/>
    <w:rsid w:val="00240749"/>
    <w:rsid w:val="0024571E"/>
    <w:rsid w:val="002468D7"/>
    <w:rsid w:val="00253A4C"/>
    <w:rsid w:val="002564CF"/>
    <w:rsid w:val="0026245A"/>
    <w:rsid w:val="00263886"/>
    <w:rsid w:val="00264F15"/>
    <w:rsid w:val="00265C41"/>
    <w:rsid w:val="00266AB6"/>
    <w:rsid w:val="002715B3"/>
    <w:rsid w:val="00272210"/>
    <w:rsid w:val="00274F15"/>
    <w:rsid w:val="00281FB3"/>
    <w:rsid w:val="00285CDD"/>
    <w:rsid w:val="002862CA"/>
    <w:rsid w:val="00287438"/>
    <w:rsid w:val="00291167"/>
    <w:rsid w:val="00297ECB"/>
    <w:rsid w:val="002B4381"/>
    <w:rsid w:val="002B6215"/>
    <w:rsid w:val="002C152A"/>
    <w:rsid w:val="002C1B7F"/>
    <w:rsid w:val="002C7E6D"/>
    <w:rsid w:val="002D043A"/>
    <w:rsid w:val="002D226D"/>
    <w:rsid w:val="002D6800"/>
    <w:rsid w:val="002D70BB"/>
    <w:rsid w:val="002E417B"/>
    <w:rsid w:val="002E4AF3"/>
    <w:rsid w:val="002E55F5"/>
    <w:rsid w:val="002F3160"/>
    <w:rsid w:val="002F52BC"/>
    <w:rsid w:val="002F6822"/>
    <w:rsid w:val="002F707B"/>
    <w:rsid w:val="002F74C5"/>
    <w:rsid w:val="00300E2D"/>
    <w:rsid w:val="003128FE"/>
    <w:rsid w:val="00315054"/>
    <w:rsid w:val="0031706D"/>
    <w:rsid w:val="0031713F"/>
    <w:rsid w:val="003173B2"/>
    <w:rsid w:val="00321913"/>
    <w:rsid w:val="00324EE6"/>
    <w:rsid w:val="00325576"/>
    <w:rsid w:val="003266DA"/>
    <w:rsid w:val="003271B9"/>
    <w:rsid w:val="003316DC"/>
    <w:rsid w:val="00332E0D"/>
    <w:rsid w:val="00333E82"/>
    <w:rsid w:val="003415D3"/>
    <w:rsid w:val="003417AD"/>
    <w:rsid w:val="00341DCF"/>
    <w:rsid w:val="00344E1D"/>
    <w:rsid w:val="00346335"/>
    <w:rsid w:val="00352AAC"/>
    <w:rsid w:val="00352B0F"/>
    <w:rsid w:val="003561B0"/>
    <w:rsid w:val="00363EBF"/>
    <w:rsid w:val="00367960"/>
    <w:rsid w:val="003703C7"/>
    <w:rsid w:val="00370DF2"/>
    <w:rsid w:val="00376CD9"/>
    <w:rsid w:val="00382C8B"/>
    <w:rsid w:val="00395F3E"/>
    <w:rsid w:val="003A15AC"/>
    <w:rsid w:val="003A56EB"/>
    <w:rsid w:val="003B0627"/>
    <w:rsid w:val="003B15BF"/>
    <w:rsid w:val="003B2DB6"/>
    <w:rsid w:val="003B5F60"/>
    <w:rsid w:val="003C1390"/>
    <w:rsid w:val="003C2993"/>
    <w:rsid w:val="003C5F2B"/>
    <w:rsid w:val="003D0BFE"/>
    <w:rsid w:val="003D192C"/>
    <w:rsid w:val="003D2B73"/>
    <w:rsid w:val="003D5700"/>
    <w:rsid w:val="003D6251"/>
    <w:rsid w:val="003E2092"/>
    <w:rsid w:val="003F0F5A"/>
    <w:rsid w:val="003F7BF0"/>
    <w:rsid w:val="00400A30"/>
    <w:rsid w:val="004022CA"/>
    <w:rsid w:val="00403D81"/>
    <w:rsid w:val="004116CD"/>
    <w:rsid w:val="00412BCF"/>
    <w:rsid w:val="00414ADE"/>
    <w:rsid w:val="00422A58"/>
    <w:rsid w:val="00423D98"/>
    <w:rsid w:val="00423FFA"/>
    <w:rsid w:val="00424CA9"/>
    <w:rsid w:val="004257BB"/>
    <w:rsid w:val="004261D9"/>
    <w:rsid w:val="004372A8"/>
    <w:rsid w:val="0044291A"/>
    <w:rsid w:val="00453D3C"/>
    <w:rsid w:val="00457129"/>
    <w:rsid w:val="00460499"/>
    <w:rsid w:val="0046124C"/>
    <w:rsid w:val="00464157"/>
    <w:rsid w:val="00466F71"/>
    <w:rsid w:val="00474835"/>
    <w:rsid w:val="00476858"/>
    <w:rsid w:val="00481756"/>
    <w:rsid w:val="004819C7"/>
    <w:rsid w:val="0048364F"/>
    <w:rsid w:val="004840F3"/>
    <w:rsid w:val="00490F2E"/>
    <w:rsid w:val="00496DB3"/>
    <w:rsid w:val="00496F97"/>
    <w:rsid w:val="004A53EA"/>
    <w:rsid w:val="004B2988"/>
    <w:rsid w:val="004C0862"/>
    <w:rsid w:val="004C2E3A"/>
    <w:rsid w:val="004C7D93"/>
    <w:rsid w:val="004D2761"/>
    <w:rsid w:val="004F1FAC"/>
    <w:rsid w:val="004F676E"/>
    <w:rsid w:val="004F6798"/>
    <w:rsid w:val="00502811"/>
    <w:rsid w:val="00507023"/>
    <w:rsid w:val="00512C6E"/>
    <w:rsid w:val="00516B8D"/>
    <w:rsid w:val="0052278B"/>
    <w:rsid w:val="00523D8D"/>
    <w:rsid w:val="0052686F"/>
    <w:rsid w:val="0052756C"/>
    <w:rsid w:val="00530230"/>
    <w:rsid w:val="00530CC9"/>
    <w:rsid w:val="00537FBC"/>
    <w:rsid w:val="00541D73"/>
    <w:rsid w:val="0054279B"/>
    <w:rsid w:val="00543469"/>
    <w:rsid w:val="005448CB"/>
    <w:rsid w:val="005452CC"/>
    <w:rsid w:val="00546FA3"/>
    <w:rsid w:val="0055264D"/>
    <w:rsid w:val="00554243"/>
    <w:rsid w:val="00557C7A"/>
    <w:rsid w:val="00562A58"/>
    <w:rsid w:val="0056394F"/>
    <w:rsid w:val="00567D5A"/>
    <w:rsid w:val="00574B1D"/>
    <w:rsid w:val="005762F4"/>
    <w:rsid w:val="005765B4"/>
    <w:rsid w:val="00577F64"/>
    <w:rsid w:val="00581211"/>
    <w:rsid w:val="00583C7B"/>
    <w:rsid w:val="00584811"/>
    <w:rsid w:val="00584C49"/>
    <w:rsid w:val="00593AA6"/>
    <w:rsid w:val="00594161"/>
    <w:rsid w:val="00594512"/>
    <w:rsid w:val="00594749"/>
    <w:rsid w:val="00594F47"/>
    <w:rsid w:val="005A482B"/>
    <w:rsid w:val="005A534E"/>
    <w:rsid w:val="005A5F6B"/>
    <w:rsid w:val="005A6DF9"/>
    <w:rsid w:val="005B4067"/>
    <w:rsid w:val="005B4F39"/>
    <w:rsid w:val="005C36E0"/>
    <w:rsid w:val="005C3F41"/>
    <w:rsid w:val="005C754F"/>
    <w:rsid w:val="005D168D"/>
    <w:rsid w:val="005D5294"/>
    <w:rsid w:val="005D5EA1"/>
    <w:rsid w:val="005E035F"/>
    <w:rsid w:val="005E09D0"/>
    <w:rsid w:val="005E5D85"/>
    <w:rsid w:val="005E61D3"/>
    <w:rsid w:val="005E6CBA"/>
    <w:rsid w:val="005F3CF1"/>
    <w:rsid w:val="005F4840"/>
    <w:rsid w:val="005F4E2D"/>
    <w:rsid w:val="005F7738"/>
    <w:rsid w:val="00600219"/>
    <w:rsid w:val="00601DF2"/>
    <w:rsid w:val="00613EAD"/>
    <w:rsid w:val="00614E6B"/>
    <w:rsid w:val="006158AC"/>
    <w:rsid w:val="00620C53"/>
    <w:rsid w:val="00621D58"/>
    <w:rsid w:val="00632A6B"/>
    <w:rsid w:val="0063792C"/>
    <w:rsid w:val="00640402"/>
    <w:rsid w:val="00640F78"/>
    <w:rsid w:val="006427A7"/>
    <w:rsid w:val="00646E7B"/>
    <w:rsid w:val="00647744"/>
    <w:rsid w:val="006521C5"/>
    <w:rsid w:val="00652F6C"/>
    <w:rsid w:val="00655D6A"/>
    <w:rsid w:val="00656DE9"/>
    <w:rsid w:val="00660916"/>
    <w:rsid w:val="00660D13"/>
    <w:rsid w:val="0066115C"/>
    <w:rsid w:val="00672BD6"/>
    <w:rsid w:val="00676608"/>
    <w:rsid w:val="00677CC2"/>
    <w:rsid w:val="00681B98"/>
    <w:rsid w:val="00685188"/>
    <w:rsid w:val="00685F42"/>
    <w:rsid w:val="006866A1"/>
    <w:rsid w:val="00691ECB"/>
    <w:rsid w:val="0069207B"/>
    <w:rsid w:val="00693793"/>
    <w:rsid w:val="00695F84"/>
    <w:rsid w:val="006A12A2"/>
    <w:rsid w:val="006A4309"/>
    <w:rsid w:val="006A6845"/>
    <w:rsid w:val="006B0E55"/>
    <w:rsid w:val="006B7006"/>
    <w:rsid w:val="006C465D"/>
    <w:rsid w:val="006C52B9"/>
    <w:rsid w:val="006C7F8C"/>
    <w:rsid w:val="006D255F"/>
    <w:rsid w:val="006D7AB9"/>
    <w:rsid w:val="006E1447"/>
    <w:rsid w:val="006F0AF3"/>
    <w:rsid w:val="006F66B2"/>
    <w:rsid w:val="00700B2C"/>
    <w:rsid w:val="007120A1"/>
    <w:rsid w:val="00713084"/>
    <w:rsid w:val="00714F76"/>
    <w:rsid w:val="00720FC2"/>
    <w:rsid w:val="00722132"/>
    <w:rsid w:val="00726188"/>
    <w:rsid w:val="00730C2B"/>
    <w:rsid w:val="00731E00"/>
    <w:rsid w:val="00732E9D"/>
    <w:rsid w:val="0073491A"/>
    <w:rsid w:val="00735904"/>
    <w:rsid w:val="007370B4"/>
    <w:rsid w:val="00741F6B"/>
    <w:rsid w:val="007440B7"/>
    <w:rsid w:val="0074456E"/>
    <w:rsid w:val="007473C5"/>
    <w:rsid w:val="00747993"/>
    <w:rsid w:val="00757509"/>
    <w:rsid w:val="00757C75"/>
    <w:rsid w:val="00761AB5"/>
    <w:rsid w:val="007634AD"/>
    <w:rsid w:val="00767299"/>
    <w:rsid w:val="007715C9"/>
    <w:rsid w:val="007741EB"/>
    <w:rsid w:val="00774EDD"/>
    <w:rsid w:val="007757EC"/>
    <w:rsid w:val="00793BAE"/>
    <w:rsid w:val="00793D89"/>
    <w:rsid w:val="0079606B"/>
    <w:rsid w:val="007A115D"/>
    <w:rsid w:val="007A11A4"/>
    <w:rsid w:val="007A35E6"/>
    <w:rsid w:val="007A6863"/>
    <w:rsid w:val="007A7C9C"/>
    <w:rsid w:val="007B2565"/>
    <w:rsid w:val="007C0BA4"/>
    <w:rsid w:val="007D45C1"/>
    <w:rsid w:val="007E76C0"/>
    <w:rsid w:val="007E7D4A"/>
    <w:rsid w:val="007F48ED"/>
    <w:rsid w:val="007F7947"/>
    <w:rsid w:val="0080054A"/>
    <w:rsid w:val="00801BF5"/>
    <w:rsid w:val="0080226E"/>
    <w:rsid w:val="00802C21"/>
    <w:rsid w:val="00806197"/>
    <w:rsid w:val="008073F6"/>
    <w:rsid w:val="00812F45"/>
    <w:rsid w:val="00823707"/>
    <w:rsid w:val="00823B55"/>
    <w:rsid w:val="008244BC"/>
    <w:rsid w:val="00833648"/>
    <w:rsid w:val="008365EF"/>
    <w:rsid w:val="0084114C"/>
    <w:rsid w:val="0084172C"/>
    <w:rsid w:val="00845C4D"/>
    <w:rsid w:val="008475AE"/>
    <w:rsid w:val="00851838"/>
    <w:rsid w:val="008552DB"/>
    <w:rsid w:val="00856A31"/>
    <w:rsid w:val="00860255"/>
    <w:rsid w:val="00865C54"/>
    <w:rsid w:val="008754D0"/>
    <w:rsid w:val="00877D48"/>
    <w:rsid w:val="008816F0"/>
    <w:rsid w:val="00881857"/>
    <w:rsid w:val="008829EE"/>
    <w:rsid w:val="0088345B"/>
    <w:rsid w:val="00891DC3"/>
    <w:rsid w:val="0089503A"/>
    <w:rsid w:val="008A16A5"/>
    <w:rsid w:val="008B54C0"/>
    <w:rsid w:val="008B5D42"/>
    <w:rsid w:val="008B6E21"/>
    <w:rsid w:val="008B7626"/>
    <w:rsid w:val="008C2B5D"/>
    <w:rsid w:val="008C3A8A"/>
    <w:rsid w:val="008D0EE0"/>
    <w:rsid w:val="008D4CF5"/>
    <w:rsid w:val="008D5B99"/>
    <w:rsid w:val="008D6FBA"/>
    <w:rsid w:val="008D7A27"/>
    <w:rsid w:val="008E453C"/>
    <w:rsid w:val="008E4702"/>
    <w:rsid w:val="008E4C74"/>
    <w:rsid w:val="008E69AA"/>
    <w:rsid w:val="008F428B"/>
    <w:rsid w:val="008F4F1C"/>
    <w:rsid w:val="0090501E"/>
    <w:rsid w:val="00911310"/>
    <w:rsid w:val="00914129"/>
    <w:rsid w:val="00914757"/>
    <w:rsid w:val="00922764"/>
    <w:rsid w:val="00932377"/>
    <w:rsid w:val="009345F0"/>
    <w:rsid w:val="009378E5"/>
    <w:rsid w:val="009408EA"/>
    <w:rsid w:val="00943102"/>
    <w:rsid w:val="0094523D"/>
    <w:rsid w:val="009559E6"/>
    <w:rsid w:val="00976A63"/>
    <w:rsid w:val="00980303"/>
    <w:rsid w:val="009812C9"/>
    <w:rsid w:val="00981904"/>
    <w:rsid w:val="0098259E"/>
    <w:rsid w:val="00983419"/>
    <w:rsid w:val="009857A2"/>
    <w:rsid w:val="009875CC"/>
    <w:rsid w:val="00992F1D"/>
    <w:rsid w:val="00994821"/>
    <w:rsid w:val="009A6050"/>
    <w:rsid w:val="009B024F"/>
    <w:rsid w:val="009B0E1C"/>
    <w:rsid w:val="009B4544"/>
    <w:rsid w:val="009B5333"/>
    <w:rsid w:val="009B5AC5"/>
    <w:rsid w:val="009C3431"/>
    <w:rsid w:val="009C4C35"/>
    <w:rsid w:val="009C5989"/>
    <w:rsid w:val="009C621E"/>
    <w:rsid w:val="009C7BA1"/>
    <w:rsid w:val="009C7C87"/>
    <w:rsid w:val="009D08DA"/>
    <w:rsid w:val="009D288B"/>
    <w:rsid w:val="009D6244"/>
    <w:rsid w:val="009E2221"/>
    <w:rsid w:val="009F7981"/>
    <w:rsid w:val="00A06860"/>
    <w:rsid w:val="00A10005"/>
    <w:rsid w:val="00A10BFB"/>
    <w:rsid w:val="00A12E9D"/>
    <w:rsid w:val="00A136F5"/>
    <w:rsid w:val="00A231E2"/>
    <w:rsid w:val="00A2550D"/>
    <w:rsid w:val="00A33AEC"/>
    <w:rsid w:val="00A4169B"/>
    <w:rsid w:val="00A4223E"/>
    <w:rsid w:val="00A445F2"/>
    <w:rsid w:val="00A44F2C"/>
    <w:rsid w:val="00A50D55"/>
    <w:rsid w:val="00A5165B"/>
    <w:rsid w:val="00A51F32"/>
    <w:rsid w:val="00A52FDA"/>
    <w:rsid w:val="00A64912"/>
    <w:rsid w:val="00A70A74"/>
    <w:rsid w:val="00A72265"/>
    <w:rsid w:val="00A76F1B"/>
    <w:rsid w:val="00A857EB"/>
    <w:rsid w:val="00A865F4"/>
    <w:rsid w:val="00A90EA8"/>
    <w:rsid w:val="00A9305C"/>
    <w:rsid w:val="00AA0343"/>
    <w:rsid w:val="00AA0361"/>
    <w:rsid w:val="00AA1C47"/>
    <w:rsid w:val="00AA2A2F"/>
    <w:rsid w:val="00AA2A5C"/>
    <w:rsid w:val="00AB78E9"/>
    <w:rsid w:val="00AC0C65"/>
    <w:rsid w:val="00AC302D"/>
    <w:rsid w:val="00AD0E5E"/>
    <w:rsid w:val="00AD2BB4"/>
    <w:rsid w:val="00AD3467"/>
    <w:rsid w:val="00AD5641"/>
    <w:rsid w:val="00AD656F"/>
    <w:rsid w:val="00AD7252"/>
    <w:rsid w:val="00AE0F9B"/>
    <w:rsid w:val="00AE4959"/>
    <w:rsid w:val="00AE5F1E"/>
    <w:rsid w:val="00AF2AF9"/>
    <w:rsid w:val="00AF55FF"/>
    <w:rsid w:val="00B032D8"/>
    <w:rsid w:val="00B0442F"/>
    <w:rsid w:val="00B05595"/>
    <w:rsid w:val="00B0691C"/>
    <w:rsid w:val="00B10546"/>
    <w:rsid w:val="00B12F15"/>
    <w:rsid w:val="00B14DA2"/>
    <w:rsid w:val="00B25A41"/>
    <w:rsid w:val="00B33B3C"/>
    <w:rsid w:val="00B40D74"/>
    <w:rsid w:val="00B52663"/>
    <w:rsid w:val="00B5291F"/>
    <w:rsid w:val="00B56DCB"/>
    <w:rsid w:val="00B770D2"/>
    <w:rsid w:val="00B904EA"/>
    <w:rsid w:val="00B91037"/>
    <w:rsid w:val="00B94304"/>
    <w:rsid w:val="00B94F68"/>
    <w:rsid w:val="00B97A12"/>
    <w:rsid w:val="00B97FBC"/>
    <w:rsid w:val="00BA47A3"/>
    <w:rsid w:val="00BA5026"/>
    <w:rsid w:val="00BB280A"/>
    <w:rsid w:val="00BB6E79"/>
    <w:rsid w:val="00BD3D61"/>
    <w:rsid w:val="00BE3B31"/>
    <w:rsid w:val="00BE3F5B"/>
    <w:rsid w:val="00BE54D7"/>
    <w:rsid w:val="00BE719A"/>
    <w:rsid w:val="00BE720A"/>
    <w:rsid w:val="00BF0608"/>
    <w:rsid w:val="00BF4DF7"/>
    <w:rsid w:val="00BF6650"/>
    <w:rsid w:val="00BF7B6A"/>
    <w:rsid w:val="00C067E5"/>
    <w:rsid w:val="00C11CC8"/>
    <w:rsid w:val="00C11DD4"/>
    <w:rsid w:val="00C164CA"/>
    <w:rsid w:val="00C31217"/>
    <w:rsid w:val="00C340C5"/>
    <w:rsid w:val="00C3420D"/>
    <w:rsid w:val="00C42BF8"/>
    <w:rsid w:val="00C460AE"/>
    <w:rsid w:val="00C46F96"/>
    <w:rsid w:val="00C476A5"/>
    <w:rsid w:val="00C47F33"/>
    <w:rsid w:val="00C50043"/>
    <w:rsid w:val="00C50A0F"/>
    <w:rsid w:val="00C56D7E"/>
    <w:rsid w:val="00C628EF"/>
    <w:rsid w:val="00C66C5B"/>
    <w:rsid w:val="00C73628"/>
    <w:rsid w:val="00C7573B"/>
    <w:rsid w:val="00C76CF3"/>
    <w:rsid w:val="00C879D0"/>
    <w:rsid w:val="00C937E0"/>
    <w:rsid w:val="00CA1270"/>
    <w:rsid w:val="00CA2F65"/>
    <w:rsid w:val="00CA38D7"/>
    <w:rsid w:val="00CA7844"/>
    <w:rsid w:val="00CB119C"/>
    <w:rsid w:val="00CB58EF"/>
    <w:rsid w:val="00CB5C98"/>
    <w:rsid w:val="00CC32F9"/>
    <w:rsid w:val="00CC34B5"/>
    <w:rsid w:val="00CE7C04"/>
    <w:rsid w:val="00CE7D64"/>
    <w:rsid w:val="00CF0BB2"/>
    <w:rsid w:val="00CF5B71"/>
    <w:rsid w:val="00CF6D70"/>
    <w:rsid w:val="00D0207D"/>
    <w:rsid w:val="00D03E16"/>
    <w:rsid w:val="00D050A7"/>
    <w:rsid w:val="00D10B02"/>
    <w:rsid w:val="00D10B31"/>
    <w:rsid w:val="00D117AE"/>
    <w:rsid w:val="00D13441"/>
    <w:rsid w:val="00D20665"/>
    <w:rsid w:val="00D243A3"/>
    <w:rsid w:val="00D265B5"/>
    <w:rsid w:val="00D3200B"/>
    <w:rsid w:val="00D33440"/>
    <w:rsid w:val="00D50283"/>
    <w:rsid w:val="00D50EF7"/>
    <w:rsid w:val="00D52EFE"/>
    <w:rsid w:val="00D56A0D"/>
    <w:rsid w:val="00D5767F"/>
    <w:rsid w:val="00D57B1B"/>
    <w:rsid w:val="00D6294F"/>
    <w:rsid w:val="00D63EF6"/>
    <w:rsid w:val="00D66518"/>
    <w:rsid w:val="00D70DFB"/>
    <w:rsid w:val="00D71EEA"/>
    <w:rsid w:val="00D72B4E"/>
    <w:rsid w:val="00D735CD"/>
    <w:rsid w:val="00D73EB7"/>
    <w:rsid w:val="00D758FE"/>
    <w:rsid w:val="00D766DF"/>
    <w:rsid w:val="00D80468"/>
    <w:rsid w:val="00D95891"/>
    <w:rsid w:val="00DA0034"/>
    <w:rsid w:val="00DA4ADF"/>
    <w:rsid w:val="00DA6A8C"/>
    <w:rsid w:val="00DB5CB4"/>
    <w:rsid w:val="00DC0B75"/>
    <w:rsid w:val="00DC4E8C"/>
    <w:rsid w:val="00DC5E79"/>
    <w:rsid w:val="00DC615E"/>
    <w:rsid w:val="00DD06DD"/>
    <w:rsid w:val="00DD1ED6"/>
    <w:rsid w:val="00DD453D"/>
    <w:rsid w:val="00DE06C2"/>
    <w:rsid w:val="00DE106D"/>
    <w:rsid w:val="00DE149E"/>
    <w:rsid w:val="00DF3C36"/>
    <w:rsid w:val="00DF74C1"/>
    <w:rsid w:val="00E04C77"/>
    <w:rsid w:val="00E05704"/>
    <w:rsid w:val="00E057A2"/>
    <w:rsid w:val="00E058C4"/>
    <w:rsid w:val="00E12F1A"/>
    <w:rsid w:val="00E15561"/>
    <w:rsid w:val="00E201BE"/>
    <w:rsid w:val="00E21CFB"/>
    <w:rsid w:val="00E22935"/>
    <w:rsid w:val="00E2324A"/>
    <w:rsid w:val="00E33DD0"/>
    <w:rsid w:val="00E42AD7"/>
    <w:rsid w:val="00E45074"/>
    <w:rsid w:val="00E51419"/>
    <w:rsid w:val="00E51DBC"/>
    <w:rsid w:val="00E54292"/>
    <w:rsid w:val="00E56E3C"/>
    <w:rsid w:val="00E60191"/>
    <w:rsid w:val="00E6647B"/>
    <w:rsid w:val="00E666BF"/>
    <w:rsid w:val="00E67DF8"/>
    <w:rsid w:val="00E67F0D"/>
    <w:rsid w:val="00E7086C"/>
    <w:rsid w:val="00E74DC7"/>
    <w:rsid w:val="00E81765"/>
    <w:rsid w:val="00E81DA6"/>
    <w:rsid w:val="00E853FD"/>
    <w:rsid w:val="00E86338"/>
    <w:rsid w:val="00E87305"/>
    <w:rsid w:val="00E87699"/>
    <w:rsid w:val="00E87CFD"/>
    <w:rsid w:val="00E92E27"/>
    <w:rsid w:val="00E9586B"/>
    <w:rsid w:val="00E96563"/>
    <w:rsid w:val="00E97334"/>
    <w:rsid w:val="00EA08B1"/>
    <w:rsid w:val="00EA0D36"/>
    <w:rsid w:val="00EA7752"/>
    <w:rsid w:val="00EB0B10"/>
    <w:rsid w:val="00EB6180"/>
    <w:rsid w:val="00EB6D08"/>
    <w:rsid w:val="00EC039F"/>
    <w:rsid w:val="00EC62DB"/>
    <w:rsid w:val="00ED0061"/>
    <w:rsid w:val="00ED0787"/>
    <w:rsid w:val="00ED42D0"/>
    <w:rsid w:val="00ED4928"/>
    <w:rsid w:val="00EE2141"/>
    <w:rsid w:val="00EE3749"/>
    <w:rsid w:val="00EE447E"/>
    <w:rsid w:val="00EE6190"/>
    <w:rsid w:val="00EF2E3A"/>
    <w:rsid w:val="00EF6402"/>
    <w:rsid w:val="00EF6A7D"/>
    <w:rsid w:val="00F023AC"/>
    <w:rsid w:val="00F025DF"/>
    <w:rsid w:val="00F047E2"/>
    <w:rsid w:val="00F04D57"/>
    <w:rsid w:val="00F0521D"/>
    <w:rsid w:val="00F06847"/>
    <w:rsid w:val="00F078DC"/>
    <w:rsid w:val="00F13E86"/>
    <w:rsid w:val="00F17FE9"/>
    <w:rsid w:val="00F20321"/>
    <w:rsid w:val="00F32FCB"/>
    <w:rsid w:val="00F400F1"/>
    <w:rsid w:val="00F40D1B"/>
    <w:rsid w:val="00F55176"/>
    <w:rsid w:val="00F60852"/>
    <w:rsid w:val="00F647A3"/>
    <w:rsid w:val="00F6709F"/>
    <w:rsid w:val="00F677A9"/>
    <w:rsid w:val="00F723BD"/>
    <w:rsid w:val="00F732EA"/>
    <w:rsid w:val="00F84CF5"/>
    <w:rsid w:val="00F85B89"/>
    <w:rsid w:val="00F8612E"/>
    <w:rsid w:val="00F900D1"/>
    <w:rsid w:val="00F92EC5"/>
    <w:rsid w:val="00F97F2F"/>
    <w:rsid w:val="00FA420B"/>
    <w:rsid w:val="00FA4547"/>
    <w:rsid w:val="00FB5E85"/>
    <w:rsid w:val="00FD19C1"/>
    <w:rsid w:val="00FE0781"/>
    <w:rsid w:val="00FE685A"/>
    <w:rsid w:val="00FF39DE"/>
    <w:rsid w:val="00FF4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A2D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B4F39"/>
    <w:pPr>
      <w:spacing w:line="260" w:lineRule="atLeast"/>
    </w:pPr>
    <w:rPr>
      <w:sz w:val="22"/>
    </w:rPr>
  </w:style>
  <w:style w:type="paragraph" w:styleId="Heading1">
    <w:name w:val="heading 1"/>
    <w:basedOn w:val="Normal"/>
    <w:next w:val="Normal"/>
    <w:link w:val="Heading1Char"/>
    <w:uiPriority w:val="9"/>
    <w:qFormat/>
    <w:rsid w:val="005B4F3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4F3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4F3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4F3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B4F3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B4F3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B4F3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B4F3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B4F3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4F39"/>
  </w:style>
  <w:style w:type="paragraph" w:customStyle="1" w:styleId="OPCParaBase">
    <w:name w:val="OPCParaBase"/>
    <w:qFormat/>
    <w:rsid w:val="005B4F39"/>
    <w:pPr>
      <w:spacing w:line="260" w:lineRule="atLeast"/>
    </w:pPr>
    <w:rPr>
      <w:rFonts w:eastAsia="Times New Roman" w:cs="Times New Roman"/>
      <w:sz w:val="22"/>
      <w:lang w:eastAsia="en-AU"/>
    </w:rPr>
  </w:style>
  <w:style w:type="paragraph" w:customStyle="1" w:styleId="ShortT">
    <w:name w:val="ShortT"/>
    <w:basedOn w:val="OPCParaBase"/>
    <w:next w:val="Normal"/>
    <w:qFormat/>
    <w:rsid w:val="005B4F39"/>
    <w:pPr>
      <w:spacing w:line="240" w:lineRule="auto"/>
    </w:pPr>
    <w:rPr>
      <w:b/>
      <w:sz w:val="40"/>
    </w:rPr>
  </w:style>
  <w:style w:type="paragraph" w:customStyle="1" w:styleId="ActHead1">
    <w:name w:val="ActHead 1"/>
    <w:aliases w:val="c"/>
    <w:basedOn w:val="OPCParaBase"/>
    <w:next w:val="Normal"/>
    <w:qFormat/>
    <w:rsid w:val="005B4F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4F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4F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4F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4F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4F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4F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4F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4F3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4F39"/>
  </w:style>
  <w:style w:type="paragraph" w:customStyle="1" w:styleId="Blocks">
    <w:name w:val="Blocks"/>
    <w:aliases w:val="bb"/>
    <w:basedOn w:val="OPCParaBase"/>
    <w:qFormat/>
    <w:rsid w:val="005B4F39"/>
    <w:pPr>
      <w:spacing w:line="240" w:lineRule="auto"/>
    </w:pPr>
    <w:rPr>
      <w:sz w:val="24"/>
    </w:rPr>
  </w:style>
  <w:style w:type="paragraph" w:customStyle="1" w:styleId="BoxText">
    <w:name w:val="BoxText"/>
    <w:aliases w:val="bt"/>
    <w:basedOn w:val="OPCParaBase"/>
    <w:qFormat/>
    <w:rsid w:val="005B4F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4F39"/>
    <w:rPr>
      <w:b/>
    </w:rPr>
  </w:style>
  <w:style w:type="paragraph" w:customStyle="1" w:styleId="BoxHeadItalic">
    <w:name w:val="BoxHeadItalic"/>
    <w:aliases w:val="bhi"/>
    <w:basedOn w:val="BoxText"/>
    <w:next w:val="BoxStep"/>
    <w:qFormat/>
    <w:rsid w:val="005B4F39"/>
    <w:rPr>
      <w:i/>
    </w:rPr>
  </w:style>
  <w:style w:type="paragraph" w:customStyle="1" w:styleId="BoxList">
    <w:name w:val="BoxList"/>
    <w:aliases w:val="bl"/>
    <w:basedOn w:val="BoxText"/>
    <w:qFormat/>
    <w:rsid w:val="005B4F39"/>
    <w:pPr>
      <w:ind w:left="1559" w:hanging="425"/>
    </w:pPr>
  </w:style>
  <w:style w:type="paragraph" w:customStyle="1" w:styleId="BoxNote">
    <w:name w:val="BoxNote"/>
    <w:aliases w:val="bn"/>
    <w:basedOn w:val="BoxText"/>
    <w:qFormat/>
    <w:rsid w:val="005B4F39"/>
    <w:pPr>
      <w:tabs>
        <w:tab w:val="left" w:pos="1985"/>
      </w:tabs>
      <w:spacing w:before="122" w:line="198" w:lineRule="exact"/>
      <w:ind w:left="2948" w:hanging="1814"/>
    </w:pPr>
    <w:rPr>
      <w:sz w:val="18"/>
    </w:rPr>
  </w:style>
  <w:style w:type="paragraph" w:customStyle="1" w:styleId="BoxPara">
    <w:name w:val="BoxPara"/>
    <w:aliases w:val="bp"/>
    <w:basedOn w:val="BoxText"/>
    <w:qFormat/>
    <w:rsid w:val="005B4F39"/>
    <w:pPr>
      <w:tabs>
        <w:tab w:val="right" w:pos="2268"/>
      </w:tabs>
      <w:ind w:left="2552" w:hanging="1418"/>
    </w:pPr>
  </w:style>
  <w:style w:type="paragraph" w:customStyle="1" w:styleId="BoxStep">
    <w:name w:val="BoxStep"/>
    <w:aliases w:val="bs"/>
    <w:basedOn w:val="BoxText"/>
    <w:qFormat/>
    <w:rsid w:val="005B4F39"/>
    <w:pPr>
      <w:ind w:left="1985" w:hanging="851"/>
    </w:pPr>
  </w:style>
  <w:style w:type="character" w:customStyle="1" w:styleId="CharAmPartNo">
    <w:name w:val="CharAmPartNo"/>
    <w:basedOn w:val="OPCCharBase"/>
    <w:qFormat/>
    <w:rsid w:val="005B4F39"/>
  </w:style>
  <w:style w:type="character" w:customStyle="1" w:styleId="CharAmPartText">
    <w:name w:val="CharAmPartText"/>
    <w:basedOn w:val="OPCCharBase"/>
    <w:qFormat/>
    <w:rsid w:val="005B4F39"/>
  </w:style>
  <w:style w:type="character" w:customStyle="1" w:styleId="CharAmSchNo">
    <w:name w:val="CharAmSchNo"/>
    <w:basedOn w:val="OPCCharBase"/>
    <w:qFormat/>
    <w:rsid w:val="005B4F39"/>
  </w:style>
  <w:style w:type="character" w:customStyle="1" w:styleId="CharAmSchText">
    <w:name w:val="CharAmSchText"/>
    <w:basedOn w:val="OPCCharBase"/>
    <w:qFormat/>
    <w:rsid w:val="005B4F39"/>
  </w:style>
  <w:style w:type="character" w:customStyle="1" w:styleId="CharBoldItalic">
    <w:name w:val="CharBoldItalic"/>
    <w:basedOn w:val="OPCCharBase"/>
    <w:uiPriority w:val="1"/>
    <w:qFormat/>
    <w:rsid w:val="005B4F39"/>
    <w:rPr>
      <w:b/>
      <w:i/>
    </w:rPr>
  </w:style>
  <w:style w:type="character" w:customStyle="1" w:styleId="CharChapNo">
    <w:name w:val="CharChapNo"/>
    <w:basedOn w:val="OPCCharBase"/>
    <w:uiPriority w:val="1"/>
    <w:qFormat/>
    <w:rsid w:val="005B4F39"/>
  </w:style>
  <w:style w:type="character" w:customStyle="1" w:styleId="CharChapText">
    <w:name w:val="CharChapText"/>
    <w:basedOn w:val="OPCCharBase"/>
    <w:uiPriority w:val="1"/>
    <w:qFormat/>
    <w:rsid w:val="005B4F39"/>
  </w:style>
  <w:style w:type="character" w:customStyle="1" w:styleId="CharDivNo">
    <w:name w:val="CharDivNo"/>
    <w:basedOn w:val="OPCCharBase"/>
    <w:uiPriority w:val="1"/>
    <w:qFormat/>
    <w:rsid w:val="005B4F39"/>
  </w:style>
  <w:style w:type="character" w:customStyle="1" w:styleId="CharDivText">
    <w:name w:val="CharDivText"/>
    <w:basedOn w:val="OPCCharBase"/>
    <w:uiPriority w:val="1"/>
    <w:qFormat/>
    <w:rsid w:val="005B4F39"/>
  </w:style>
  <w:style w:type="character" w:customStyle="1" w:styleId="CharItalic">
    <w:name w:val="CharItalic"/>
    <w:basedOn w:val="OPCCharBase"/>
    <w:uiPriority w:val="1"/>
    <w:qFormat/>
    <w:rsid w:val="005B4F39"/>
    <w:rPr>
      <w:i/>
    </w:rPr>
  </w:style>
  <w:style w:type="character" w:customStyle="1" w:styleId="CharPartNo">
    <w:name w:val="CharPartNo"/>
    <w:basedOn w:val="OPCCharBase"/>
    <w:uiPriority w:val="1"/>
    <w:qFormat/>
    <w:rsid w:val="005B4F39"/>
  </w:style>
  <w:style w:type="character" w:customStyle="1" w:styleId="CharPartText">
    <w:name w:val="CharPartText"/>
    <w:basedOn w:val="OPCCharBase"/>
    <w:uiPriority w:val="1"/>
    <w:qFormat/>
    <w:rsid w:val="005B4F39"/>
  </w:style>
  <w:style w:type="character" w:customStyle="1" w:styleId="CharSectno">
    <w:name w:val="CharSectno"/>
    <w:basedOn w:val="OPCCharBase"/>
    <w:qFormat/>
    <w:rsid w:val="005B4F39"/>
  </w:style>
  <w:style w:type="character" w:customStyle="1" w:styleId="CharSubdNo">
    <w:name w:val="CharSubdNo"/>
    <w:basedOn w:val="OPCCharBase"/>
    <w:uiPriority w:val="1"/>
    <w:qFormat/>
    <w:rsid w:val="005B4F39"/>
  </w:style>
  <w:style w:type="character" w:customStyle="1" w:styleId="CharSubdText">
    <w:name w:val="CharSubdText"/>
    <w:basedOn w:val="OPCCharBase"/>
    <w:uiPriority w:val="1"/>
    <w:qFormat/>
    <w:rsid w:val="005B4F39"/>
  </w:style>
  <w:style w:type="paragraph" w:customStyle="1" w:styleId="CTA--">
    <w:name w:val="CTA --"/>
    <w:basedOn w:val="OPCParaBase"/>
    <w:next w:val="Normal"/>
    <w:rsid w:val="005B4F39"/>
    <w:pPr>
      <w:spacing w:before="60" w:line="240" w:lineRule="atLeast"/>
      <w:ind w:left="142" w:hanging="142"/>
    </w:pPr>
    <w:rPr>
      <w:sz w:val="20"/>
    </w:rPr>
  </w:style>
  <w:style w:type="paragraph" w:customStyle="1" w:styleId="CTA-">
    <w:name w:val="CTA -"/>
    <w:basedOn w:val="OPCParaBase"/>
    <w:rsid w:val="005B4F39"/>
    <w:pPr>
      <w:spacing w:before="60" w:line="240" w:lineRule="atLeast"/>
      <w:ind w:left="85" w:hanging="85"/>
    </w:pPr>
    <w:rPr>
      <w:sz w:val="20"/>
    </w:rPr>
  </w:style>
  <w:style w:type="paragraph" w:customStyle="1" w:styleId="CTA---">
    <w:name w:val="CTA ---"/>
    <w:basedOn w:val="OPCParaBase"/>
    <w:next w:val="Normal"/>
    <w:rsid w:val="005B4F39"/>
    <w:pPr>
      <w:spacing w:before="60" w:line="240" w:lineRule="atLeast"/>
      <w:ind w:left="198" w:hanging="198"/>
    </w:pPr>
    <w:rPr>
      <w:sz w:val="20"/>
    </w:rPr>
  </w:style>
  <w:style w:type="paragraph" w:customStyle="1" w:styleId="CTA----">
    <w:name w:val="CTA ----"/>
    <w:basedOn w:val="OPCParaBase"/>
    <w:next w:val="Normal"/>
    <w:rsid w:val="005B4F39"/>
    <w:pPr>
      <w:spacing w:before="60" w:line="240" w:lineRule="atLeast"/>
      <w:ind w:left="255" w:hanging="255"/>
    </w:pPr>
    <w:rPr>
      <w:sz w:val="20"/>
    </w:rPr>
  </w:style>
  <w:style w:type="paragraph" w:customStyle="1" w:styleId="CTA1a">
    <w:name w:val="CTA 1(a)"/>
    <w:basedOn w:val="OPCParaBase"/>
    <w:rsid w:val="005B4F39"/>
    <w:pPr>
      <w:tabs>
        <w:tab w:val="right" w:pos="414"/>
      </w:tabs>
      <w:spacing w:before="40" w:line="240" w:lineRule="atLeast"/>
      <w:ind w:left="675" w:hanging="675"/>
    </w:pPr>
    <w:rPr>
      <w:sz w:val="20"/>
    </w:rPr>
  </w:style>
  <w:style w:type="paragraph" w:customStyle="1" w:styleId="CTA1ai">
    <w:name w:val="CTA 1(a)(i)"/>
    <w:basedOn w:val="OPCParaBase"/>
    <w:rsid w:val="005B4F39"/>
    <w:pPr>
      <w:tabs>
        <w:tab w:val="right" w:pos="1004"/>
      </w:tabs>
      <w:spacing w:before="40" w:line="240" w:lineRule="atLeast"/>
      <w:ind w:left="1253" w:hanging="1253"/>
    </w:pPr>
    <w:rPr>
      <w:sz w:val="20"/>
    </w:rPr>
  </w:style>
  <w:style w:type="paragraph" w:customStyle="1" w:styleId="CTA2a">
    <w:name w:val="CTA 2(a)"/>
    <w:basedOn w:val="OPCParaBase"/>
    <w:rsid w:val="005B4F39"/>
    <w:pPr>
      <w:tabs>
        <w:tab w:val="right" w:pos="482"/>
      </w:tabs>
      <w:spacing w:before="40" w:line="240" w:lineRule="atLeast"/>
      <w:ind w:left="748" w:hanging="748"/>
    </w:pPr>
    <w:rPr>
      <w:sz w:val="20"/>
    </w:rPr>
  </w:style>
  <w:style w:type="paragraph" w:customStyle="1" w:styleId="CTA2ai">
    <w:name w:val="CTA 2(a)(i)"/>
    <w:basedOn w:val="OPCParaBase"/>
    <w:rsid w:val="005B4F39"/>
    <w:pPr>
      <w:tabs>
        <w:tab w:val="right" w:pos="1089"/>
      </w:tabs>
      <w:spacing w:before="40" w:line="240" w:lineRule="atLeast"/>
      <w:ind w:left="1327" w:hanging="1327"/>
    </w:pPr>
    <w:rPr>
      <w:sz w:val="20"/>
    </w:rPr>
  </w:style>
  <w:style w:type="paragraph" w:customStyle="1" w:styleId="CTA3a">
    <w:name w:val="CTA 3(a)"/>
    <w:basedOn w:val="OPCParaBase"/>
    <w:rsid w:val="005B4F39"/>
    <w:pPr>
      <w:tabs>
        <w:tab w:val="right" w:pos="556"/>
      </w:tabs>
      <w:spacing w:before="40" w:line="240" w:lineRule="atLeast"/>
      <w:ind w:left="805" w:hanging="805"/>
    </w:pPr>
    <w:rPr>
      <w:sz w:val="20"/>
    </w:rPr>
  </w:style>
  <w:style w:type="paragraph" w:customStyle="1" w:styleId="CTA3ai">
    <w:name w:val="CTA 3(a)(i)"/>
    <w:basedOn w:val="OPCParaBase"/>
    <w:rsid w:val="005B4F39"/>
    <w:pPr>
      <w:tabs>
        <w:tab w:val="right" w:pos="1140"/>
      </w:tabs>
      <w:spacing w:before="40" w:line="240" w:lineRule="atLeast"/>
      <w:ind w:left="1361" w:hanging="1361"/>
    </w:pPr>
    <w:rPr>
      <w:sz w:val="20"/>
    </w:rPr>
  </w:style>
  <w:style w:type="paragraph" w:customStyle="1" w:styleId="CTA4a">
    <w:name w:val="CTA 4(a)"/>
    <w:basedOn w:val="OPCParaBase"/>
    <w:rsid w:val="005B4F39"/>
    <w:pPr>
      <w:tabs>
        <w:tab w:val="right" w:pos="624"/>
      </w:tabs>
      <w:spacing w:before="40" w:line="240" w:lineRule="atLeast"/>
      <w:ind w:left="873" w:hanging="873"/>
    </w:pPr>
    <w:rPr>
      <w:sz w:val="20"/>
    </w:rPr>
  </w:style>
  <w:style w:type="paragraph" w:customStyle="1" w:styleId="CTA4ai">
    <w:name w:val="CTA 4(a)(i)"/>
    <w:basedOn w:val="OPCParaBase"/>
    <w:rsid w:val="005B4F39"/>
    <w:pPr>
      <w:tabs>
        <w:tab w:val="right" w:pos="1213"/>
      </w:tabs>
      <w:spacing w:before="40" w:line="240" w:lineRule="atLeast"/>
      <w:ind w:left="1452" w:hanging="1452"/>
    </w:pPr>
    <w:rPr>
      <w:sz w:val="20"/>
    </w:rPr>
  </w:style>
  <w:style w:type="paragraph" w:customStyle="1" w:styleId="CTACAPS">
    <w:name w:val="CTA CAPS"/>
    <w:basedOn w:val="OPCParaBase"/>
    <w:rsid w:val="005B4F39"/>
    <w:pPr>
      <w:spacing w:before="60" w:line="240" w:lineRule="atLeast"/>
    </w:pPr>
    <w:rPr>
      <w:sz w:val="20"/>
    </w:rPr>
  </w:style>
  <w:style w:type="paragraph" w:customStyle="1" w:styleId="CTAright">
    <w:name w:val="CTA right"/>
    <w:basedOn w:val="OPCParaBase"/>
    <w:rsid w:val="005B4F39"/>
    <w:pPr>
      <w:spacing w:before="60" w:line="240" w:lineRule="auto"/>
      <w:jc w:val="right"/>
    </w:pPr>
    <w:rPr>
      <w:sz w:val="20"/>
    </w:rPr>
  </w:style>
  <w:style w:type="paragraph" w:customStyle="1" w:styleId="subsection">
    <w:name w:val="subsection"/>
    <w:aliases w:val="ss"/>
    <w:basedOn w:val="OPCParaBase"/>
    <w:link w:val="subsectionChar"/>
    <w:rsid w:val="005B4F39"/>
    <w:pPr>
      <w:tabs>
        <w:tab w:val="right" w:pos="1021"/>
      </w:tabs>
      <w:spacing w:before="180" w:line="240" w:lineRule="auto"/>
      <w:ind w:left="1134" w:hanging="1134"/>
    </w:pPr>
  </w:style>
  <w:style w:type="paragraph" w:customStyle="1" w:styleId="Definition">
    <w:name w:val="Definition"/>
    <w:aliases w:val="dd"/>
    <w:basedOn w:val="OPCParaBase"/>
    <w:rsid w:val="005B4F39"/>
    <w:pPr>
      <w:spacing w:before="180" w:line="240" w:lineRule="auto"/>
      <w:ind w:left="1134"/>
    </w:pPr>
  </w:style>
  <w:style w:type="paragraph" w:customStyle="1" w:styleId="ETAsubitem">
    <w:name w:val="ETA(subitem)"/>
    <w:basedOn w:val="OPCParaBase"/>
    <w:rsid w:val="005B4F39"/>
    <w:pPr>
      <w:tabs>
        <w:tab w:val="right" w:pos="340"/>
      </w:tabs>
      <w:spacing w:before="60" w:line="240" w:lineRule="auto"/>
      <w:ind w:left="454" w:hanging="454"/>
    </w:pPr>
    <w:rPr>
      <w:sz w:val="20"/>
    </w:rPr>
  </w:style>
  <w:style w:type="paragraph" w:customStyle="1" w:styleId="ETApara">
    <w:name w:val="ETA(para)"/>
    <w:basedOn w:val="OPCParaBase"/>
    <w:rsid w:val="005B4F39"/>
    <w:pPr>
      <w:tabs>
        <w:tab w:val="right" w:pos="754"/>
      </w:tabs>
      <w:spacing w:before="60" w:line="240" w:lineRule="auto"/>
      <w:ind w:left="828" w:hanging="828"/>
    </w:pPr>
    <w:rPr>
      <w:sz w:val="20"/>
    </w:rPr>
  </w:style>
  <w:style w:type="paragraph" w:customStyle="1" w:styleId="ETAsubpara">
    <w:name w:val="ETA(subpara)"/>
    <w:basedOn w:val="OPCParaBase"/>
    <w:rsid w:val="005B4F39"/>
    <w:pPr>
      <w:tabs>
        <w:tab w:val="right" w:pos="1083"/>
      </w:tabs>
      <w:spacing w:before="60" w:line="240" w:lineRule="auto"/>
      <w:ind w:left="1191" w:hanging="1191"/>
    </w:pPr>
    <w:rPr>
      <w:sz w:val="20"/>
    </w:rPr>
  </w:style>
  <w:style w:type="paragraph" w:customStyle="1" w:styleId="ETAsub-subpara">
    <w:name w:val="ETA(sub-subpara)"/>
    <w:basedOn w:val="OPCParaBase"/>
    <w:rsid w:val="005B4F39"/>
    <w:pPr>
      <w:tabs>
        <w:tab w:val="right" w:pos="1412"/>
      </w:tabs>
      <w:spacing w:before="60" w:line="240" w:lineRule="auto"/>
      <w:ind w:left="1525" w:hanging="1525"/>
    </w:pPr>
    <w:rPr>
      <w:sz w:val="20"/>
    </w:rPr>
  </w:style>
  <w:style w:type="paragraph" w:customStyle="1" w:styleId="Formula">
    <w:name w:val="Formula"/>
    <w:basedOn w:val="OPCParaBase"/>
    <w:rsid w:val="005B4F39"/>
    <w:pPr>
      <w:spacing w:line="240" w:lineRule="auto"/>
      <w:ind w:left="1134"/>
    </w:pPr>
    <w:rPr>
      <w:sz w:val="20"/>
    </w:rPr>
  </w:style>
  <w:style w:type="paragraph" w:styleId="Header">
    <w:name w:val="header"/>
    <w:basedOn w:val="OPCParaBase"/>
    <w:link w:val="HeaderChar"/>
    <w:unhideWhenUsed/>
    <w:rsid w:val="005B4F3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4F39"/>
    <w:rPr>
      <w:rFonts w:eastAsia="Times New Roman" w:cs="Times New Roman"/>
      <w:sz w:val="16"/>
      <w:lang w:eastAsia="en-AU"/>
    </w:rPr>
  </w:style>
  <w:style w:type="paragraph" w:customStyle="1" w:styleId="House">
    <w:name w:val="House"/>
    <w:basedOn w:val="OPCParaBase"/>
    <w:rsid w:val="005B4F39"/>
    <w:pPr>
      <w:spacing w:line="240" w:lineRule="auto"/>
    </w:pPr>
    <w:rPr>
      <w:sz w:val="28"/>
    </w:rPr>
  </w:style>
  <w:style w:type="paragraph" w:customStyle="1" w:styleId="Item">
    <w:name w:val="Item"/>
    <w:aliases w:val="i"/>
    <w:basedOn w:val="OPCParaBase"/>
    <w:next w:val="ItemHead"/>
    <w:rsid w:val="005B4F39"/>
    <w:pPr>
      <w:keepLines/>
      <w:spacing w:before="80" w:line="240" w:lineRule="auto"/>
      <w:ind w:left="709"/>
    </w:pPr>
  </w:style>
  <w:style w:type="paragraph" w:customStyle="1" w:styleId="ItemHead">
    <w:name w:val="ItemHead"/>
    <w:aliases w:val="ih"/>
    <w:basedOn w:val="OPCParaBase"/>
    <w:next w:val="Item"/>
    <w:rsid w:val="005B4F3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4F39"/>
    <w:pPr>
      <w:spacing w:line="240" w:lineRule="auto"/>
    </w:pPr>
    <w:rPr>
      <w:b/>
      <w:sz w:val="32"/>
    </w:rPr>
  </w:style>
  <w:style w:type="paragraph" w:customStyle="1" w:styleId="notedraft">
    <w:name w:val="note(draft)"/>
    <w:aliases w:val="nd"/>
    <w:basedOn w:val="OPCParaBase"/>
    <w:rsid w:val="005B4F39"/>
    <w:pPr>
      <w:spacing w:before="240" w:line="240" w:lineRule="auto"/>
      <w:ind w:left="284" w:hanging="284"/>
    </w:pPr>
    <w:rPr>
      <w:i/>
      <w:sz w:val="24"/>
    </w:rPr>
  </w:style>
  <w:style w:type="paragraph" w:customStyle="1" w:styleId="notemargin">
    <w:name w:val="note(margin)"/>
    <w:aliases w:val="nm"/>
    <w:basedOn w:val="OPCParaBase"/>
    <w:rsid w:val="005B4F39"/>
    <w:pPr>
      <w:tabs>
        <w:tab w:val="left" w:pos="709"/>
      </w:tabs>
      <w:spacing w:before="122" w:line="198" w:lineRule="exact"/>
      <w:ind w:left="709" w:hanging="709"/>
    </w:pPr>
    <w:rPr>
      <w:sz w:val="18"/>
    </w:rPr>
  </w:style>
  <w:style w:type="paragraph" w:customStyle="1" w:styleId="noteToPara">
    <w:name w:val="noteToPara"/>
    <w:aliases w:val="ntp"/>
    <w:basedOn w:val="OPCParaBase"/>
    <w:rsid w:val="005B4F39"/>
    <w:pPr>
      <w:spacing w:before="122" w:line="198" w:lineRule="exact"/>
      <w:ind w:left="2353" w:hanging="709"/>
    </w:pPr>
    <w:rPr>
      <w:sz w:val="18"/>
    </w:rPr>
  </w:style>
  <w:style w:type="paragraph" w:customStyle="1" w:styleId="noteParlAmend">
    <w:name w:val="note(ParlAmend)"/>
    <w:aliases w:val="npp"/>
    <w:basedOn w:val="OPCParaBase"/>
    <w:next w:val="ParlAmend"/>
    <w:rsid w:val="005B4F39"/>
    <w:pPr>
      <w:spacing w:line="240" w:lineRule="auto"/>
      <w:jc w:val="right"/>
    </w:pPr>
    <w:rPr>
      <w:rFonts w:ascii="Arial" w:hAnsi="Arial"/>
      <w:b/>
      <w:i/>
    </w:rPr>
  </w:style>
  <w:style w:type="paragraph" w:customStyle="1" w:styleId="Page1">
    <w:name w:val="Page1"/>
    <w:basedOn w:val="OPCParaBase"/>
    <w:rsid w:val="005B4F39"/>
    <w:pPr>
      <w:spacing w:before="5600" w:line="240" w:lineRule="auto"/>
    </w:pPr>
    <w:rPr>
      <w:b/>
      <w:sz w:val="32"/>
    </w:rPr>
  </w:style>
  <w:style w:type="paragraph" w:customStyle="1" w:styleId="PageBreak">
    <w:name w:val="PageBreak"/>
    <w:aliases w:val="pb"/>
    <w:basedOn w:val="OPCParaBase"/>
    <w:rsid w:val="005B4F39"/>
    <w:pPr>
      <w:spacing w:line="240" w:lineRule="auto"/>
    </w:pPr>
    <w:rPr>
      <w:sz w:val="20"/>
    </w:rPr>
  </w:style>
  <w:style w:type="paragraph" w:customStyle="1" w:styleId="paragraphsub">
    <w:name w:val="paragraph(sub)"/>
    <w:aliases w:val="aa"/>
    <w:basedOn w:val="OPCParaBase"/>
    <w:rsid w:val="005B4F39"/>
    <w:pPr>
      <w:tabs>
        <w:tab w:val="right" w:pos="1985"/>
      </w:tabs>
      <w:spacing w:before="40" w:line="240" w:lineRule="auto"/>
      <w:ind w:left="2098" w:hanging="2098"/>
    </w:pPr>
  </w:style>
  <w:style w:type="paragraph" w:customStyle="1" w:styleId="paragraphsub-sub">
    <w:name w:val="paragraph(sub-sub)"/>
    <w:aliases w:val="aaa"/>
    <w:basedOn w:val="OPCParaBase"/>
    <w:rsid w:val="005B4F39"/>
    <w:pPr>
      <w:tabs>
        <w:tab w:val="right" w:pos="2722"/>
      </w:tabs>
      <w:spacing w:before="40" w:line="240" w:lineRule="auto"/>
      <w:ind w:left="2835" w:hanging="2835"/>
    </w:pPr>
  </w:style>
  <w:style w:type="paragraph" w:customStyle="1" w:styleId="paragraph">
    <w:name w:val="paragraph"/>
    <w:aliases w:val="a"/>
    <w:basedOn w:val="OPCParaBase"/>
    <w:rsid w:val="005B4F39"/>
    <w:pPr>
      <w:tabs>
        <w:tab w:val="right" w:pos="1531"/>
      </w:tabs>
      <w:spacing w:before="40" w:line="240" w:lineRule="auto"/>
      <w:ind w:left="1644" w:hanging="1644"/>
    </w:pPr>
  </w:style>
  <w:style w:type="paragraph" w:customStyle="1" w:styleId="ParlAmend">
    <w:name w:val="ParlAmend"/>
    <w:aliases w:val="pp"/>
    <w:basedOn w:val="OPCParaBase"/>
    <w:rsid w:val="005B4F39"/>
    <w:pPr>
      <w:spacing w:before="240" w:line="240" w:lineRule="atLeast"/>
      <w:ind w:hanging="567"/>
    </w:pPr>
    <w:rPr>
      <w:sz w:val="24"/>
    </w:rPr>
  </w:style>
  <w:style w:type="paragraph" w:customStyle="1" w:styleId="Penalty">
    <w:name w:val="Penalty"/>
    <w:basedOn w:val="OPCParaBase"/>
    <w:rsid w:val="005B4F39"/>
    <w:pPr>
      <w:tabs>
        <w:tab w:val="left" w:pos="2977"/>
      </w:tabs>
      <w:spacing w:before="180" w:line="240" w:lineRule="auto"/>
      <w:ind w:left="1985" w:hanging="851"/>
    </w:pPr>
  </w:style>
  <w:style w:type="paragraph" w:customStyle="1" w:styleId="Portfolio">
    <w:name w:val="Portfolio"/>
    <w:basedOn w:val="OPCParaBase"/>
    <w:rsid w:val="005B4F39"/>
    <w:pPr>
      <w:spacing w:line="240" w:lineRule="auto"/>
    </w:pPr>
    <w:rPr>
      <w:i/>
      <w:sz w:val="20"/>
    </w:rPr>
  </w:style>
  <w:style w:type="paragraph" w:customStyle="1" w:styleId="Preamble">
    <w:name w:val="Preamble"/>
    <w:basedOn w:val="OPCParaBase"/>
    <w:next w:val="Normal"/>
    <w:rsid w:val="005B4F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4F39"/>
    <w:pPr>
      <w:spacing w:line="240" w:lineRule="auto"/>
    </w:pPr>
    <w:rPr>
      <w:i/>
      <w:sz w:val="20"/>
    </w:rPr>
  </w:style>
  <w:style w:type="paragraph" w:customStyle="1" w:styleId="Session">
    <w:name w:val="Session"/>
    <w:basedOn w:val="OPCParaBase"/>
    <w:rsid w:val="005B4F39"/>
    <w:pPr>
      <w:spacing w:line="240" w:lineRule="auto"/>
    </w:pPr>
    <w:rPr>
      <w:sz w:val="28"/>
    </w:rPr>
  </w:style>
  <w:style w:type="paragraph" w:customStyle="1" w:styleId="Sponsor">
    <w:name w:val="Sponsor"/>
    <w:basedOn w:val="OPCParaBase"/>
    <w:rsid w:val="005B4F39"/>
    <w:pPr>
      <w:spacing w:line="240" w:lineRule="auto"/>
    </w:pPr>
    <w:rPr>
      <w:i/>
    </w:rPr>
  </w:style>
  <w:style w:type="paragraph" w:customStyle="1" w:styleId="Subitem">
    <w:name w:val="Subitem"/>
    <w:aliases w:val="iss"/>
    <w:basedOn w:val="OPCParaBase"/>
    <w:rsid w:val="005B4F39"/>
    <w:pPr>
      <w:spacing w:before="180" w:line="240" w:lineRule="auto"/>
      <w:ind w:left="709" w:hanging="709"/>
    </w:pPr>
  </w:style>
  <w:style w:type="paragraph" w:customStyle="1" w:styleId="SubitemHead">
    <w:name w:val="SubitemHead"/>
    <w:aliases w:val="issh"/>
    <w:basedOn w:val="OPCParaBase"/>
    <w:rsid w:val="005B4F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4F39"/>
    <w:pPr>
      <w:spacing w:before="40" w:line="240" w:lineRule="auto"/>
      <w:ind w:left="1134"/>
    </w:pPr>
  </w:style>
  <w:style w:type="paragraph" w:customStyle="1" w:styleId="SubsectionHead">
    <w:name w:val="SubsectionHead"/>
    <w:aliases w:val="ssh"/>
    <w:basedOn w:val="OPCParaBase"/>
    <w:next w:val="subsection"/>
    <w:rsid w:val="005B4F39"/>
    <w:pPr>
      <w:keepNext/>
      <w:keepLines/>
      <w:spacing w:before="240" w:line="240" w:lineRule="auto"/>
      <w:ind w:left="1134"/>
    </w:pPr>
    <w:rPr>
      <w:i/>
    </w:rPr>
  </w:style>
  <w:style w:type="paragraph" w:customStyle="1" w:styleId="Tablea">
    <w:name w:val="Table(a)"/>
    <w:aliases w:val="ta"/>
    <w:basedOn w:val="OPCParaBase"/>
    <w:rsid w:val="005B4F39"/>
    <w:pPr>
      <w:spacing w:before="60" w:line="240" w:lineRule="auto"/>
      <w:ind w:left="284" w:hanging="284"/>
    </w:pPr>
    <w:rPr>
      <w:sz w:val="20"/>
    </w:rPr>
  </w:style>
  <w:style w:type="paragraph" w:customStyle="1" w:styleId="TableAA">
    <w:name w:val="Table(AA)"/>
    <w:aliases w:val="taaa"/>
    <w:basedOn w:val="OPCParaBase"/>
    <w:rsid w:val="005B4F3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4F3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5B4F39"/>
    <w:pPr>
      <w:spacing w:before="60" w:line="240" w:lineRule="atLeast"/>
    </w:pPr>
    <w:rPr>
      <w:sz w:val="20"/>
    </w:rPr>
  </w:style>
  <w:style w:type="paragraph" w:customStyle="1" w:styleId="TLPBoxTextnote">
    <w:name w:val="TLPBoxText(note"/>
    <w:aliases w:val="right)"/>
    <w:basedOn w:val="OPCParaBase"/>
    <w:rsid w:val="005B4F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4F3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4F39"/>
    <w:pPr>
      <w:spacing w:before="122" w:line="198" w:lineRule="exact"/>
      <w:ind w:left="1985" w:hanging="851"/>
      <w:jc w:val="right"/>
    </w:pPr>
    <w:rPr>
      <w:sz w:val="18"/>
    </w:rPr>
  </w:style>
  <w:style w:type="paragraph" w:customStyle="1" w:styleId="TLPTableBullet">
    <w:name w:val="TLPTableBullet"/>
    <w:aliases w:val="ttb"/>
    <w:basedOn w:val="OPCParaBase"/>
    <w:rsid w:val="005B4F39"/>
    <w:pPr>
      <w:spacing w:line="240" w:lineRule="exact"/>
      <w:ind w:left="284" w:hanging="284"/>
    </w:pPr>
    <w:rPr>
      <w:sz w:val="20"/>
    </w:rPr>
  </w:style>
  <w:style w:type="paragraph" w:styleId="TOC1">
    <w:name w:val="toc 1"/>
    <w:basedOn w:val="Normal"/>
    <w:next w:val="Normal"/>
    <w:uiPriority w:val="39"/>
    <w:unhideWhenUsed/>
    <w:rsid w:val="005B4F3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B4F3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B4F3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B4F3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B4F3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B4F3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B4F3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B4F3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B4F3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B4F39"/>
    <w:pPr>
      <w:keepLines/>
      <w:spacing w:before="240" w:after="120" w:line="240" w:lineRule="auto"/>
      <w:ind w:left="794"/>
    </w:pPr>
    <w:rPr>
      <w:b/>
      <w:kern w:val="28"/>
      <w:sz w:val="20"/>
    </w:rPr>
  </w:style>
  <w:style w:type="paragraph" w:customStyle="1" w:styleId="TofSectsHeading">
    <w:name w:val="TofSects(Heading)"/>
    <w:basedOn w:val="OPCParaBase"/>
    <w:rsid w:val="005B4F39"/>
    <w:pPr>
      <w:spacing w:before="240" w:after="120" w:line="240" w:lineRule="auto"/>
    </w:pPr>
    <w:rPr>
      <w:b/>
      <w:sz w:val="24"/>
    </w:rPr>
  </w:style>
  <w:style w:type="paragraph" w:customStyle="1" w:styleId="TofSectsSection">
    <w:name w:val="TofSects(Section)"/>
    <w:basedOn w:val="OPCParaBase"/>
    <w:rsid w:val="005B4F39"/>
    <w:pPr>
      <w:keepLines/>
      <w:spacing w:before="40" w:line="240" w:lineRule="auto"/>
      <w:ind w:left="1588" w:hanging="794"/>
    </w:pPr>
    <w:rPr>
      <w:kern w:val="28"/>
      <w:sz w:val="18"/>
    </w:rPr>
  </w:style>
  <w:style w:type="paragraph" w:customStyle="1" w:styleId="TofSectsSubdiv">
    <w:name w:val="TofSects(Subdiv)"/>
    <w:basedOn w:val="OPCParaBase"/>
    <w:rsid w:val="005B4F39"/>
    <w:pPr>
      <w:keepLines/>
      <w:spacing w:before="80" w:line="240" w:lineRule="auto"/>
      <w:ind w:left="1588" w:hanging="794"/>
    </w:pPr>
    <w:rPr>
      <w:kern w:val="28"/>
    </w:rPr>
  </w:style>
  <w:style w:type="paragraph" w:customStyle="1" w:styleId="WRStyle">
    <w:name w:val="WR Style"/>
    <w:aliases w:val="WR"/>
    <w:basedOn w:val="OPCParaBase"/>
    <w:rsid w:val="005B4F39"/>
    <w:pPr>
      <w:spacing w:before="240" w:line="240" w:lineRule="auto"/>
      <w:ind w:left="284" w:hanging="284"/>
    </w:pPr>
    <w:rPr>
      <w:b/>
      <w:i/>
      <w:kern w:val="28"/>
      <w:sz w:val="24"/>
    </w:rPr>
  </w:style>
  <w:style w:type="paragraph" w:customStyle="1" w:styleId="notepara">
    <w:name w:val="note(para)"/>
    <w:aliases w:val="na"/>
    <w:basedOn w:val="OPCParaBase"/>
    <w:rsid w:val="005B4F39"/>
    <w:pPr>
      <w:spacing w:before="40" w:line="198" w:lineRule="exact"/>
      <w:ind w:left="2354" w:hanging="369"/>
    </w:pPr>
    <w:rPr>
      <w:sz w:val="18"/>
    </w:rPr>
  </w:style>
  <w:style w:type="paragraph" w:styleId="Footer">
    <w:name w:val="footer"/>
    <w:link w:val="FooterChar"/>
    <w:rsid w:val="005B4F3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4F39"/>
    <w:rPr>
      <w:rFonts w:eastAsia="Times New Roman" w:cs="Times New Roman"/>
      <w:sz w:val="22"/>
      <w:szCs w:val="24"/>
      <w:lang w:eastAsia="en-AU"/>
    </w:rPr>
  </w:style>
  <w:style w:type="character" w:styleId="LineNumber">
    <w:name w:val="line number"/>
    <w:basedOn w:val="OPCCharBase"/>
    <w:uiPriority w:val="99"/>
    <w:unhideWhenUsed/>
    <w:rsid w:val="005B4F39"/>
    <w:rPr>
      <w:sz w:val="16"/>
    </w:rPr>
  </w:style>
  <w:style w:type="table" w:customStyle="1" w:styleId="CFlag">
    <w:name w:val="CFlag"/>
    <w:basedOn w:val="TableNormal"/>
    <w:uiPriority w:val="99"/>
    <w:rsid w:val="005B4F39"/>
    <w:rPr>
      <w:rFonts w:eastAsia="Times New Roman" w:cs="Times New Roman"/>
      <w:lang w:eastAsia="en-AU"/>
    </w:rPr>
    <w:tblPr/>
  </w:style>
  <w:style w:type="paragraph" w:styleId="BalloonText">
    <w:name w:val="Balloon Text"/>
    <w:basedOn w:val="Normal"/>
    <w:link w:val="BalloonTextChar"/>
    <w:uiPriority w:val="99"/>
    <w:unhideWhenUsed/>
    <w:rsid w:val="005B4F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4F39"/>
    <w:rPr>
      <w:rFonts w:ascii="Tahoma" w:hAnsi="Tahoma" w:cs="Tahoma"/>
      <w:sz w:val="16"/>
      <w:szCs w:val="16"/>
    </w:rPr>
  </w:style>
  <w:style w:type="table" w:styleId="TableGrid">
    <w:name w:val="Table Grid"/>
    <w:basedOn w:val="TableNormal"/>
    <w:uiPriority w:val="59"/>
    <w:rsid w:val="005B4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B4F39"/>
    <w:rPr>
      <w:b/>
      <w:sz w:val="28"/>
      <w:szCs w:val="32"/>
    </w:rPr>
  </w:style>
  <w:style w:type="paragraph" w:customStyle="1" w:styleId="LegislationMadeUnder">
    <w:name w:val="LegislationMadeUnder"/>
    <w:basedOn w:val="OPCParaBase"/>
    <w:next w:val="Normal"/>
    <w:rsid w:val="005B4F39"/>
    <w:rPr>
      <w:i/>
      <w:sz w:val="32"/>
      <w:szCs w:val="32"/>
    </w:rPr>
  </w:style>
  <w:style w:type="paragraph" w:customStyle="1" w:styleId="SignCoverPageEnd">
    <w:name w:val="SignCoverPageEnd"/>
    <w:basedOn w:val="OPCParaBase"/>
    <w:next w:val="Normal"/>
    <w:rsid w:val="005B4F3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4F39"/>
    <w:pPr>
      <w:pBdr>
        <w:top w:val="single" w:sz="4" w:space="1" w:color="auto"/>
      </w:pBdr>
      <w:spacing w:before="360"/>
      <w:ind w:right="397"/>
      <w:jc w:val="both"/>
    </w:pPr>
  </w:style>
  <w:style w:type="paragraph" w:customStyle="1" w:styleId="NotesHeading1">
    <w:name w:val="NotesHeading 1"/>
    <w:basedOn w:val="OPCParaBase"/>
    <w:next w:val="Normal"/>
    <w:rsid w:val="005B4F39"/>
    <w:rPr>
      <w:b/>
      <w:sz w:val="28"/>
      <w:szCs w:val="28"/>
    </w:rPr>
  </w:style>
  <w:style w:type="paragraph" w:customStyle="1" w:styleId="NotesHeading2">
    <w:name w:val="NotesHeading 2"/>
    <w:basedOn w:val="OPCParaBase"/>
    <w:next w:val="Normal"/>
    <w:rsid w:val="005B4F39"/>
    <w:rPr>
      <w:b/>
      <w:sz w:val="28"/>
      <w:szCs w:val="28"/>
    </w:rPr>
  </w:style>
  <w:style w:type="paragraph" w:customStyle="1" w:styleId="ENotesText">
    <w:name w:val="ENotesText"/>
    <w:aliases w:val="Ent"/>
    <w:basedOn w:val="OPCParaBase"/>
    <w:next w:val="Normal"/>
    <w:rsid w:val="005B4F39"/>
    <w:pPr>
      <w:spacing w:before="120"/>
    </w:pPr>
  </w:style>
  <w:style w:type="paragraph" w:customStyle="1" w:styleId="CompiledActNo">
    <w:name w:val="CompiledActNo"/>
    <w:basedOn w:val="OPCParaBase"/>
    <w:next w:val="Normal"/>
    <w:rsid w:val="005B4F39"/>
    <w:rPr>
      <w:b/>
      <w:sz w:val="24"/>
      <w:szCs w:val="24"/>
    </w:rPr>
  </w:style>
  <w:style w:type="paragraph" w:customStyle="1" w:styleId="CompiledMadeUnder">
    <w:name w:val="CompiledMadeUnder"/>
    <w:basedOn w:val="OPCParaBase"/>
    <w:next w:val="Normal"/>
    <w:rsid w:val="005B4F39"/>
    <w:rPr>
      <w:i/>
      <w:sz w:val="24"/>
      <w:szCs w:val="24"/>
    </w:rPr>
  </w:style>
  <w:style w:type="paragraph" w:customStyle="1" w:styleId="Paragraphsub-sub-sub">
    <w:name w:val="Paragraph(sub-sub-sub)"/>
    <w:aliases w:val="aaaa"/>
    <w:basedOn w:val="OPCParaBase"/>
    <w:rsid w:val="005B4F3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4F3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4F3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4F3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4F3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B4F39"/>
    <w:pPr>
      <w:spacing w:before="60" w:line="240" w:lineRule="auto"/>
    </w:pPr>
    <w:rPr>
      <w:rFonts w:cs="Arial"/>
      <w:sz w:val="20"/>
      <w:szCs w:val="22"/>
    </w:rPr>
  </w:style>
  <w:style w:type="paragraph" w:customStyle="1" w:styleId="NoteToSubpara">
    <w:name w:val="NoteToSubpara"/>
    <w:aliases w:val="nts"/>
    <w:basedOn w:val="OPCParaBase"/>
    <w:rsid w:val="005B4F39"/>
    <w:pPr>
      <w:spacing w:before="40" w:line="198" w:lineRule="exact"/>
      <w:ind w:left="2835" w:hanging="709"/>
    </w:pPr>
    <w:rPr>
      <w:sz w:val="18"/>
    </w:rPr>
  </w:style>
  <w:style w:type="paragraph" w:customStyle="1" w:styleId="ENoteTableHeading">
    <w:name w:val="ENoteTableHeading"/>
    <w:aliases w:val="enth"/>
    <w:basedOn w:val="OPCParaBase"/>
    <w:rsid w:val="005B4F39"/>
    <w:pPr>
      <w:keepNext/>
      <w:spacing w:before="60" w:line="240" w:lineRule="atLeast"/>
    </w:pPr>
    <w:rPr>
      <w:rFonts w:ascii="Arial" w:hAnsi="Arial"/>
      <w:b/>
      <w:sz w:val="16"/>
    </w:rPr>
  </w:style>
  <w:style w:type="paragraph" w:customStyle="1" w:styleId="ENoteTTi">
    <w:name w:val="ENoteTTi"/>
    <w:aliases w:val="entti"/>
    <w:basedOn w:val="OPCParaBase"/>
    <w:rsid w:val="005B4F39"/>
    <w:pPr>
      <w:keepNext/>
      <w:spacing w:before="60" w:line="240" w:lineRule="atLeast"/>
      <w:ind w:left="170"/>
    </w:pPr>
    <w:rPr>
      <w:sz w:val="16"/>
    </w:rPr>
  </w:style>
  <w:style w:type="paragraph" w:customStyle="1" w:styleId="ENotesHeading1">
    <w:name w:val="ENotesHeading 1"/>
    <w:aliases w:val="Enh1"/>
    <w:basedOn w:val="OPCParaBase"/>
    <w:next w:val="Normal"/>
    <w:rsid w:val="005B4F39"/>
    <w:pPr>
      <w:spacing w:before="120"/>
      <w:outlineLvl w:val="1"/>
    </w:pPr>
    <w:rPr>
      <w:b/>
      <w:sz w:val="28"/>
      <w:szCs w:val="28"/>
    </w:rPr>
  </w:style>
  <w:style w:type="paragraph" w:customStyle="1" w:styleId="ENotesHeading2">
    <w:name w:val="ENotesHeading 2"/>
    <w:aliases w:val="Enh2"/>
    <w:basedOn w:val="OPCParaBase"/>
    <w:next w:val="Normal"/>
    <w:rsid w:val="005B4F39"/>
    <w:pPr>
      <w:spacing w:before="120" w:after="120"/>
      <w:outlineLvl w:val="2"/>
    </w:pPr>
    <w:rPr>
      <w:b/>
      <w:sz w:val="24"/>
      <w:szCs w:val="28"/>
    </w:rPr>
  </w:style>
  <w:style w:type="paragraph" w:customStyle="1" w:styleId="ENoteTTIndentHeading">
    <w:name w:val="ENoteTTIndentHeading"/>
    <w:aliases w:val="enTTHi"/>
    <w:basedOn w:val="OPCParaBase"/>
    <w:rsid w:val="005B4F3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4F39"/>
    <w:pPr>
      <w:spacing w:before="60" w:line="240" w:lineRule="atLeast"/>
    </w:pPr>
    <w:rPr>
      <w:sz w:val="16"/>
    </w:rPr>
  </w:style>
  <w:style w:type="paragraph" w:customStyle="1" w:styleId="MadeunderText">
    <w:name w:val="MadeunderText"/>
    <w:basedOn w:val="OPCParaBase"/>
    <w:next w:val="Normal"/>
    <w:rsid w:val="005B4F39"/>
    <w:pPr>
      <w:spacing w:before="240"/>
    </w:pPr>
    <w:rPr>
      <w:sz w:val="24"/>
      <w:szCs w:val="24"/>
    </w:rPr>
  </w:style>
  <w:style w:type="paragraph" w:customStyle="1" w:styleId="ENotesHeading3">
    <w:name w:val="ENotesHeading 3"/>
    <w:aliases w:val="Enh3"/>
    <w:basedOn w:val="OPCParaBase"/>
    <w:next w:val="Normal"/>
    <w:rsid w:val="005B4F39"/>
    <w:pPr>
      <w:keepNext/>
      <w:spacing w:before="120" w:line="240" w:lineRule="auto"/>
      <w:outlineLvl w:val="4"/>
    </w:pPr>
    <w:rPr>
      <w:b/>
      <w:szCs w:val="24"/>
    </w:rPr>
  </w:style>
  <w:style w:type="character" w:customStyle="1" w:styleId="CharSubPartTextCASA">
    <w:name w:val="CharSubPartText(CASA)"/>
    <w:basedOn w:val="OPCCharBase"/>
    <w:uiPriority w:val="1"/>
    <w:rsid w:val="005B4F39"/>
  </w:style>
  <w:style w:type="character" w:customStyle="1" w:styleId="CharSubPartNoCASA">
    <w:name w:val="CharSubPartNo(CASA)"/>
    <w:basedOn w:val="OPCCharBase"/>
    <w:uiPriority w:val="1"/>
    <w:rsid w:val="005B4F39"/>
  </w:style>
  <w:style w:type="paragraph" w:customStyle="1" w:styleId="ENoteTTIndentHeadingSub">
    <w:name w:val="ENoteTTIndentHeadingSub"/>
    <w:aliases w:val="enTTHis"/>
    <w:basedOn w:val="OPCParaBase"/>
    <w:rsid w:val="005B4F39"/>
    <w:pPr>
      <w:keepNext/>
      <w:spacing w:before="60" w:line="240" w:lineRule="atLeast"/>
      <w:ind w:left="340"/>
    </w:pPr>
    <w:rPr>
      <w:b/>
      <w:sz w:val="16"/>
    </w:rPr>
  </w:style>
  <w:style w:type="paragraph" w:customStyle="1" w:styleId="ENoteTTiSub">
    <w:name w:val="ENoteTTiSub"/>
    <w:aliases w:val="enttis"/>
    <w:basedOn w:val="OPCParaBase"/>
    <w:rsid w:val="005B4F39"/>
    <w:pPr>
      <w:keepNext/>
      <w:spacing w:before="60" w:line="240" w:lineRule="atLeast"/>
      <w:ind w:left="340"/>
    </w:pPr>
    <w:rPr>
      <w:sz w:val="16"/>
    </w:rPr>
  </w:style>
  <w:style w:type="paragraph" w:customStyle="1" w:styleId="SubDivisionMigration">
    <w:name w:val="SubDivisionMigration"/>
    <w:aliases w:val="sdm"/>
    <w:basedOn w:val="OPCParaBase"/>
    <w:rsid w:val="005B4F3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4F3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B4F39"/>
    <w:pPr>
      <w:spacing w:before="122" w:line="240" w:lineRule="auto"/>
      <w:ind w:left="1985" w:hanging="851"/>
    </w:pPr>
    <w:rPr>
      <w:sz w:val="18"/>
    </w:rPr>
  </w:style>
  <w:style w:type="paragraph" w:customStyle="1" w:styleId="FreeForm">
    <w:name w:val="FreeForm"/>
    <w:rsid w:val="005B4F39"/>
    <w:rPr>
      <w:rFonts w:ascii="Arial" w:hAnsi="Arial"/>
      <w:sz w:val="22"/>
    </w:rPr>
  </w:style>
  <w:style w:type="paragraph" w:customStyle="1" w:styleId="SOText">
    <w:name w:val="SO Text"/>
    <w:aliases w:val="sot"/>
    <w:link w:val="SOTextChar"/>
    <w:rsid w:val="005B4F3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4F39"/>
    <w:rPr>
      <w:sz w:val="22"/>
    </w:rPr>
  </w:style>
  <w:style w:type="paragraph" w:customStyle="1" w:styleId="SOTextNote">
    <w:name w:val="SO TextNote"/>
    <w:aliases w:val="sont"/>
    <w:basedOn w:val="SOText"/>
    <w:qFormat/>
    <w:rsid w:val="005B4F39"/>
    <w:pPr>
      <w:spacing w:before="122" w:line="198" w:lineRule="exact"/>
      <w:ind w:left="1843" w:hanging="709"/>
    </w:pPr>
    <w:rPr>
      <w:sz w:val="18"/>
    </w:rPr>
  </w:style>
  <w:style w:type="paragraph" w:customStyle="1" w:styleId="SOPara">
    <w:name w:val="SO Para"/>
    <w:aliases w:val="soa"/>
    <w:basedOn w:val="SOText"/>
    <w:link w:val="SOParaChar"/>
    <w:qFormat/>
    <w:rsid w:val="005B4F39"/>
    <w:pPr>
      <w:tabs>
        <w:tab w:val="right" w:pos="1786"/>
      </w:tabs>
      <w:spacing w:before="40"/>
      <w:ind w:left="2070" w:hanging="936"/>
    </w:pPr>
  </w:style>
  <w:style w:type="character" w:customStyle="1" w:styleId="SOParaChar">
    <w:name w:val="SO Para Char"/>
    <w:aliases w:val="soa Char"/>
    <w:basedOn w:val="DefaultParagraphFont"/>
    <w:link w:val="SOPara"/>
    <w:rsid w:val="005B4F39"/>
    <w:rPr>
      <w:sz w:val="22"/>
    </w:rPr>
  </w:style>
  <w:style w:type="paragraph" w:customStyle="1" w:styleId="FileName">
    <w:name w:val="FileName"/>
    <w:basedOn w:val="Normal"/>
    <w:rsid w:val="005B4F39"/>
  </w:style>
  <w:style w:type="paragraph" w:customStyle="1" w:styleId="TableHeading">
    <w:name w:val="TableHeading"/>
    <w:aliases w:val="th"/>
    <w:basedOn w:val="OPCParaBase"/>
    <w:next w:val="Tabletext"/>
    <w:rsid w:val="005B4F39"/>
    <w:pPr>
      <w:keepNext/>
      <w:spacing w:before="60" w:line="240" w:lineRule="atLeast"/>
    </w:pPr>
    <w:rPr>
      <w:b/>
      <w:sz w:val="20"/>
    </w:rPr>
  </w:style>
  <w:style w:type="paragraph" w:customStyle="1" w:styleId="SOHeadBold">
    <w:name w:val="SO HeadBold"/>
    <w:aliases w:val="sohb"/>
    <w:basedOn w:val="SOText"/>
    <w:next w:val="SOText"/>
    <w:link w:val="SOHeadBoldChar"/>
    <w:qFormat/>
    <w:rsid w:val="005B4F39"/>
    <w:rPr>
      <w:b/>
    </w:rPr>
  </w:style>
  <w:style w:type="character" w:customStyle="1" w:styleId="SOHeadBoldChar">
    <w:name w:val="SO HeadBold Char"/>
    <w:aliases w:val="sohb Char"/>
    <w:basedOn w:val="DefaultParagraphFont"/>
    <w:link w:val="SOHeadBold"/>
    <w:rsid w:val="005B4F39"/>
    <w:rPr>
      <w:b/>
      <w:sz w:val="22"/>
    </w:rPr>
  </w:style>
  <w:style w:type="paragraph" w:customStyle="1" w:styleId="SOHeadItalic">
    <w:name w:val="SO HeadItalic"/>
    <w:aliases w:val="sohi"/>
    <w:basedOn w:val="SOText"/>
    <w:next w:val="SOText"/>
    <w:link w:val="SOHeadItalicChar"/>
    <w:qFormat/>
    <w:rsid w:val="005B4F39"/>
    <w:rPr>
      <w:i/>
    </w:rPr>
  </w:style>
  <w:style w:type="character" w:customStyle="1" w:styleId="SOHeadItalicChar">
    <w:name w:val="SO HeadItalic Char"/>
    <w:aliases w:val="sohi Char"/>
    <w:basedOn w:val="DefaultParagraphFont"/>
    <w:link w:val="SOHeadItalic"/>
    <w:rsid w:val="005B4F39"/>
    <w:rPr>
      <w:i/>
      <w:sz w:val="22"/>
    </w:rPr>
  </w:style>
  <w:style w:type="paragraph" w:customStyle="1" w:styleId="SOBullet">
    <w:name w:val="SO Bullet"/>
    <w:aliases w:val="sotb"/>
    <w:basedOn w:val="SOText"/>
    <w:link w:val="SOBulletChar"/>
    <w:qFormat/>
    <w:rsid w:val="005B4F39"/>
    <w:pPr>
      <w:ind w:left="1559" w:hanging="425"/>
    </w:pPr>
  </w:style>
  <w:style w:type="character" w:customStyle="1" w:styleId="SOBulletChar">
    <w:name w:val="SO Bullet Char"/>
    <w:aliases w:val="sotb Char"/>
    <w:basedOn w:val="DefaultParagraphFont"/>
    <w:link w:val="SOBullet"/>
    <w:rsid w:val="005B4F39"/>
    <w:rPr>
      <w:sz w:val="22"/>
    </w:rPr>
  </w:style>
  <w:style w:type="paragraph" w:customStyle="1" w:styleId="SOBulletNote">
    <w:name w:val="SO BulletNote"/>
    <w:aliases w:val="sonb"/>
    <w:basedOn w:val="SOTextNote"/>
    <w:link w:val="SOBulletNoteChar"/>
    <w:qFormat/>
    <w:rsid w:val="005B4F39"/>
    <w:pPr>
      <w:tabs>
        <w:tab w:val="left" w:pos="1560"/>
      </w:tabs>
      <w:ind w:left="2268" w:hanging="1134"/>
    </w:pPr>
  </w:style>
  <w:style w:type="character" w:customStyle="1" w:styleId="SOBulletNoteChar">
    <w:name w:val="SO BulletNote Char"/>
    <w:aliases w:val="sonb Char"/>
    <w:basedOn w:val="DefaultParagraphFont"/>
    <w:link w:val="SOBulletNote"/>
    <w:rsid w:val="005B4F39"/>
    <w:rPr>
      <w:sz w:val="18"/>
    </w:rPr>
  </w:style>
  <w:style w:type="paragraph" w:customStyle="1" w:styleId="SOText2">
    <w:name w:val="SO Text2"/>
    <w:aliases w:val="sot2"/>
    <w:basedOn w:val="Normal"/>
    <w:next w:val="SOText"/>
    <w:link w:val="SOText2Char"/>
    <w:rsid w:val="005B4F3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4F39"/>
    <w:rPr>
      <w:sz w:val="22"/>
    </w:rPr>
  </w:style>
  <w:style w:type="paragraph" w:customStyle="1" w:styleId="SubPartCASA">
    <w:name w:val="SubPart(CASA)"/>
    <w:aliases w:val="csp"/>
    <w:basedOn w:val="OPCParaBase"/>
    <w:next w:val="ActHead3"/>
    <w:rsid w:val="005B4F3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B4F39"/>
    <w:rPr>
      <w:rFonts w:eastAsia="Times New Roman" w:cs="Times New Roman"/>
      <w:sz w:val="22"/>
      <w:lang w:eastAsia="en-AU"/>
    </w:rPr>
  </w:style>
  <w:style w:type="character" w:customStyle="1" w:styleId="notetextChar">
    <w:name w:val="note(text) Char"/>
    <w:aliases w:val="n Char"/>
    <w:basedOn w:val="DefaultParagraphFont"/>
    <w:link w:val="notetext"/>
    <w:rsid w:val="005B4F39"/>
    <w:rPr>
      <w:rFonts w:eastAsia="Times New Roman" w:cs="Times New Roman"/>
      <w:sz w:val="18"/>
      <w:lang w:eastAsia="en-AU"/>
    </w:rPr>
  </w:style>
  <w:style w:type="character" w:customStyle="1" w:styleId="Heading1Char">
    <w:name w:val="Heading 1 Char"/>
    <w:basedOn w:val="DefaultParagraphFont"/>
    <w:link w:val="Heading1"/>
    <w:uiPriority w:val="9"/>
    <w:rsid w:val="005B4F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4F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4F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B4F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B4F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B4F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B4F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B4F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B4F3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B4F39"/>
  </w:style>
  <w:style w:type="character" w:customStyle="1" w:styleId="charlegsubtitle1">
    <w:name w:val="charlegsubtitle1"/>
    <w:basedOn w:val="DefaultParagraphFont"/>
    <w:rsid w:val="005B4F39"/>
    <w:rPr>
      <w:rFonts w:ascii="Arial" w:hAnsi="Arial" w:cs="Arial" w:hint="default"/>
      <w:b/>
      <w:bCs/>
      <w:sz w:val="28"/>
      <w:szCs w:val="28"/>
    </w:rPr>
  </w:style>
  <w:style w:type="paragraph" w:styleId="Index1">
    <w:name w:val="index 1"/>
    <w:basedOn w:val="Normal"/>
    <w:next w:val="Normal"/>
    <w:autoRedefine/>
    <w:rsid w:val="005B4F39"/>
    <w:pPr>
      <w:ind w:left="240" w:hanging="240"/>
    </w:pPr>
  </w:style>
  <w:style w:type="paragraph" w:styleId="Index2">
    <w:name w:val="index 2"/>
    <w:basedOn w:val="Normal"/>
    <w:next w:val="Normal"/>
    <w:autoRedefine/>
    <w:rsid w:val="005B4F39"/>
    <w:pPr>
      <w:ind w:left="480" w:hanging="240"/>
    </w:pPr>
  </w:style>
  <w:style w:type="paragraph" w:styleId="Index3">
    <w:name w:val="index 3"/>
    <w:basedOn w:val="Normal"/>
    <w:next w:val="Normal"/>
    <w:autoRedefine/>
    <w:rsid w:val="005B4F39"/>
    <w:pPr>
      <w:ind w:left="720" w:hanging="240"/>
    </w:pPr>
  </w:style>
  <w:style w:type="paragraph" w:styleId="Index4">
    <w:name w:val="index 4"/>
    <w:basedOn w:val="Normal"/>
    <w:next w:val="Normal"/>
    <w:autoRedefine/>
    <w:rsid w:val="005B4F39"/>
    <w:pPr>
      <w:ind w:left="960" w:hanging="240"/>
    </w:pPr>
  </w:style>
  <w:style w:type="paragraph" w:styleId="Index5">
    <w:name w:val="index 5"/>
    <w:basedOn w:val="Normal"/>
    <w:next w:val="Normal"/>
    <w:autoRedefine/>
    <w:rsid w:val="005B4F39"/>
    <w:pPr>
      <w:ind w:left="1200" w:hanging="240"/>
    </w:pPr>
  </w:style>
  <w:style w:type="paragraph" w:styleId="Index6">
    <w:name w:val="index 6"/>
    <w:basedOn w:val="Normal"/>
    <w:next w:val="Normal"/>
    <w:autoRedefine/>
    <w:rsid w:val="005B4F39"/>
    <w:pPr>
      <w:ind w:left="1440" w:hanging="240"/>
    </w:pPr>
  </w:style>
  <w:style w:type="paragraph" w:styleId="Index7">
    <w:name w:val="index 7"/>
    <w:basedOn w:val="Normal"/>
    <w:next w:val="Normal"/>
    <w:autoRedefine/>
    <w:rsid w:val="005B4F39"/>
    <w:pPr>
      <w:ind w:left="1680" w:hanging="240"/>
    </w:pPr>
  </w:style>
  <w:style w:type="paragraph" w:styleId="Index8">
    <w:name w:val="index 8"/>
    <w:basedOn w:val="Normal"/>
    <w:next w:val="Normal"/>
    <w:autoRedefine/>
    <w:rsid w:val="005B4F39"/>
    <w:pPr>
      <w:ind w:left="1920" w:hanging="240"/>
    </w:pPr>
  </w:style>
  <w:style w:type="paragraph" w:styleId="Index9">
    <w:name w:val="index 9"/>
    <w:basedOn w:val="Normal"/>
    <w:next w:val="Normal"/>
    <w:autoRedefine/>
    <w:rsid w:val="005B4F39"/>
    <w:pPr>
      <w:ind w:left="2160" w:hanging="240"/>
    </w:pPr>
  </w:style>
  <w:style w:type="paragraph" w:styleId="NormalIndent">
    <w:name w:val="Normal Indent"/>
    <w:basedOn w:val="Normal"/>
    <w:rsid w:val="005B4F39"/>
    <w:pPr>
      <w:ind w:left="720"/>
    </w:pPr>
  </w:style>
  <w:style w:type="paragraph" w:styleId="FootnoteText">
    <w:name w:val="footnote text"/>
    <w:basedOn w:val="Normal"/>
    <w:link w:val="FootnoteTextChar"/>
    <w:rsid w:val="005B4F39"/>
    <w:rPr>
      <w:sz w:val="20"/>
    </w:rPr>
  </w:style>
  <w:style w:type="character" w:customStyle="1" w:styleId="FootnoteTextChar">
    <w:name w:val="Footnote Text Char"/>
    <w:basedOn w:val="DefaultParagraphFont"/>
    <w:link w:val="FootnoteText"/>
    <w:rsid w:val="005B4F39"/>
  </w:style>
  <w:style w:type="paragraph" w:styleId="CommentText">
    <w:name w:val="annotation text"/>
    <w:basedOn w:val="Normal"/>
    <w:link w:val="CommentTextChar"/>
    <w:rsid w:val="005B4F39"/>
    <w:rPr>
      <w:sz w:val="20"/>
    </w:rPr>
  </w:style>
  <w:style w:type="character" w:customStyle="1" w:styleId="CommentTextChar">
    <w:name w:val="Comment Text Char"/>
    <w:basedOn w:val="DefaultParagraphFont"/>
    <w:link w:val="CommentText"/>
    <w:rsid w:val="005B4F39"/>
  </w:style>
  <w:style w:type="paragraph" w:styleId="IndexHeading">
    <w:name w:val="index heading"/>
    <w:basedOn w:val="Normal"/>
    <w:next w:val="Index1"/>
    <w:rsid w:val="005B4F39"/>
    <w:rPr>
      <w:rFonts w:ascii="Arial" w:hAnsi="Arial" w:cs="Arial"/>
      <w:b/>
      <w:bCs/>
    </w:rPr>
  </w:style>
  <w:style w:type="paragraph" w:styleId="Caption">
    <w:name w:val="caption"/>
    <w:basedOn w:val="Normal"/>
    <w:next w:val="Normal"/>
    <w:qFormat/>
    <w:rsid w:val="005B4F39"/>
    <w:pPr>
      <w:spacing w:before="120" w:after="120"/>
    </w:pPr>
    <w:rPr>
      <w:b/>
      <w:bCs/>
      <w:sz w:val="20"/>
    </w:rPr>
  </w:style>
  <w:style w:type="paragraph" w:styleId="TableofFigures">
    <w:name w:val="table of figures"/>
    <w:basedOn w:val="Normal"/>
    <w:next w:val="Normal"/>
    <w:rsid w:val="005B4F39"/>
    <w:pPr>
      <w:ind w:left="480" w:hanging="480"/>
    </w:pPr>
  </w:style>
  <w:style w:type="paragraph" w:styleId="EnvelopeAddress">
    <w:name w:val="envelope address"/>
    <w:basedOn w:val="Normal"/>
    <w:rsid w:val="005B4F3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B4F39"/>
    <w:rPr>
      <w:rFonts w:ascii="Arial" w:hAnsi="Arial" w:cs="Arial"/>
      <w:sz w:val="20"/>
    </w:rPr>
  </w:style>
  <w:style w:type="character" w:styleId="FootnoteReference">
    <w:name w:val="footnote reference"/>
    <w:basedOn w:val="DefaultParagraphFont"/>
    <w:rsid w:val="005B4F39"/>
    <w:rPr>
      <w:rFonts w:ascii="Times New Roman" w:hAnsi="Times New Roman"/>
      <w:sz w:val="20"/>
      <w:vertAlign w:val="superscript"/>
    </w:rPr>
  </w:style>
  <w:style w:type="character" w:styleId="CommentReference">
    <w:name w:val="annotation reference"/>
    <w:basedOn w:val="DefaultParagraphFont"/>
    <w:rsid w:val="005B4F39"/>
    <w:rPr>
      <w:sz w:val="16"/>
      <w:szCs w:val="16"/>
    </w:rPr>
  </w:style>
  <w:style w:type="character" w:styleId="PageNumber">
    <w:name w:val="page number"/>
    <w:basedOn w:val="DefaultParagraphFont"/>
    <w:rsid w:val="005B4F39"/>
  </w:style>
  <w:style w:type="character" w:styleId="EndnoteReference">
    <w:name w:val="endnote reference"/>
    <w:basedOn w:val="DefaultParagraphFont"/>
    <w:rsid w:val="005B4F39"/>
    <w:rPr>
      <w:vertAlign w:val="superscript"/>
    </w:rPr>
  </w:style>
  <w:style w:type="paragraph" w:styleId="EndnoteText">
    <w:name w:val="endnote text"/>
    <w:basedOn w:val="Normal"/>
    <w:link w:val="EndnoteTextChar"/>
    <w:rsid w:val="005B4F39"/>
    <w:rPr>
      <w:sz w:val="20"/>
    </w:rPr>
  </w:style>
  <w:style w:type="character" w:customStyle="1" w:styleId="EndnoteTextChar">
    <w:name w:val="Endnote Text Char"/>
    <w:basedOn w:val="DefaultParagraphFont"/>
    <w:link w:val="EndnoteText"/>
    <w:rsid w:val="005B4F39"/>
  </w:style>
  <w:style w:type="paragraph" w:styleId="TableofAuthorities">
    <w:name w:val="table of authorities"/>
    <w:basedOn w:val="Normal"/>
    <w:next w:val="Normal"/>
    <w:rsid w:val="005B4F39"/>
    <w:pPr>
      <w:ind w:left="240" w:hanging="240"/>
    </w:pPr>
  </w:style>
  <w:style w:type="paragraph" w:styleId="MacroText">
    <w:name w:val="macro"/>
    <w:link w:val="MacroTextChar"/>
    <w:rsid w:val="005B4F3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B4F39"/>
    <w:rPr>
      <w:rFonts w:ascii="Courier New" w:eastAsia="Times New Roman" w:hAnsi="Courier New" w:cs="Courier New"/>
      <w:lang w:eastAsia="en-AU"/>
    </w:rPr>
  </w:style>
  <w:style w:type="paragraph" w:styleId="TOAHeading">
    <w:name w:val="toa heading"/>
    <w:basedOn w:val="Normal"/>
    <w:next w:val="Normal"/>
    <w:rsid w:val="005B4F39"/>
    <w:pPr>
      <w:spacing w:before="120"/>
    </w:pPr>
    <w:rPr>
      <w:rFonts w:ascii="Arial" w:hAnsi="Arial" w:cs="Arial"/>
      <w:b/>
      <w:bCs/>
    </w:rPr>
  </w:style>
  <w:style w:type="paragraph" w:styleId="List">
    <w:name w:val="List"/>
    <w:basedOn w:val="Normal"/>
    <w:rsid w:val="005B4F39"/>
    <w:pPr>
      <w:ind w:left="283" w:hanging="283"/>
    </w:pPr>
  </w:style>
  <w:style w:type="paragraph" w:styleId="ListBullet">
    <w:name w:val="List Bullet"/>
    <w:basedOn w:val="Normal"/>
    <w:autoRedefine/>
    <w:rsid w:val="005B4F39"/>
    <w:pPr>
      <w:tabs>
        <w:tab w:val="num" w:pos="360"/>
      </w:tabs>
      <w:ind w:left="360" w:hanging="360"/>
    </w:pPr>
  </w:style>
  <w:style w:type="paragraph" w:styleId="ListNumber">
    <w:name w:val="List Number"/>
    <w:basedOn w:val="Normal"/>
    <w:rsid w:val="005B4F39"/>
    <w:pPr>
      <w:tabs>
        <w:tab w:val="num" w:pos="360"/>
      </w:tabs>
      <w:ind w:left="360" w:hanging="360"/>
    </w:pPr>
  </w:style>
  <w:style w:type="paragraph" w:styleId="List2">
    <w:name w:val="List 2"/>
    <w:basedOn w:val="Normal"/>
    <w:rsid w:val="005B4F39"/>
    <w:pPr>
      <w:ind w:left="566" w:hanging="283"/>
    </w:pPr>
  </w:style>
  <w:style w:type="paragraph" w:styleId="List3">
    <w:name w:val="List 3"/>
    <w:basedOn w:val="Normal"/>
    <w:rsid w:val="005B4F39"/>
    <w:pPr>
      <w:ind w:left="849" w:hanging="283"/>
    </w:pPr>
  </w:style>
  <w:style w:type="paragraph" w:styleId="List4">
    <w:name w:val="List 4"/>
    <w:basedOn w:val="Normal"/>
    <w:rsid w:val="005B4F39"/>
    <w:pPr>
      <w:ind w:left="1132" w:hanging="283"/>
    </w:pPr>
  </w:style>
  <w:style w:type="paragraph" w:styleId="List5">
    <w:name w:val="List 5"/>
    <w:basedOn w:val="Normal"/>
    <w:rsid w:val="005B4F39"/>
    <w:pPr>
      <w:ind w:left="1415" w:hanging="283"/>
    </w:pPr>
  </w:style>
  <w:style w:type="paragraph" w:styleId="ListBullet2">
    <w:name w:val="List Bullet 2"/>
    <w:basedOn w:val="Normal"/>
    <w:autoRedefine/>
    <w:rsid w:val="005B4F39"/>
    <w:pPr>
      <w:tabs>
        <w:tab w:val="num" w:pos="360"/>
      </w:tabs>
    </w:pPr>
  </w:style>
  <w:style w:type="paragraph" w:styleId="ListBullet3">
    <w:name w:val="List Bullet 3"/>
    <w:basedOn w:val="Normal"/>
    <w:autoRedefine/>
    <w:rsid w:val="005B4F39"/>
    <w:pPr>
      <w:tabs>
        <w:tab w:val="num" w:pos="926"/>
      </w:tabs>
      <w:ind w:left="926" w:hanging="360"/>
    </w:pPr>
  </w:style>
  <w:style w:type="paragraph" w:styleId="ListBullet4">
    <w:name w:val="List Bullet 4"/>
    <w:basedOn w:val="Normal"/>
    <w:autoRedefine/>
    <w:rsid w:val="005B4F39"/>
    <w:pPr>
      <w:tabs>
        <w:tab w:val="num" w:pos="1209"/>
      </w:tabs>
      <w:ind w:left="1209" w:hanging="360"/>
    </w:pPr>
  </w:style>
  <w:style w:type="paragraph" w:styleId="ListBullet5">
    <w:name w:val="List Bullet 5"/>
    <w:basedOn w:val="Normal"/>
    <w:autoRedefine/>
    <w:rsid w:val="005B4F39"/>
    <w:pPr>
      <w:tabs>
        <w:tab w:val="num" w:pos="1492"/>
      </w:tabs>
      <w:ind w:left="1492" w:hanging="360"/>
    </w:pPr>
  </w:style>
  <w:style w:type="paragraph" w:styleId="ListNumber2">
    <w:name w:val="List Number 2"/>
    <w:basedOn w:val="Normal"/>
    <w:rsid w:val="005B4F39"/>
    <w:pPr>
      <w:tabs>
        <w:tab w:val="num" w:pos="643"/>
      </w:tabs>
      <w:ind w:left="643" w:hanging="360"/>
    </w:pPr>
  </w:style>
  <w:style w:type="paragraph" w:styleId="ListNumber3">
    <w:name w:val="List Number 3"/>
    <w:basedOn w:val="Normal"/>
    <w:rsid w:val="005B4F39"/>
    <w:pPr>
      <w:tabs>
        <w:tab w:val="num" w:pos="926"/>
      </w:tabs>
      <w:ind w:left="926" w:hanging="360"/>
    </w:pPr>
  </w:style>
  <w:style w:type="paragraph" w:styleId="ListNumber4">
    <w:name w:val="List Number 4"/>
    <w:basedOn w:val="Normal"/>
    <w:rsid w:val="005B4F39"/>
    <w:pPr>
      <w:tabs>
        <w:tab w:val="num" w:pos="1209"/>
      </w:tabs>
      <w:ind w:left="1209" w:hanging="360"/>
    </w:pPr>
  </w:style>
  <w:style w:type="paragraph" w:styleId="ListNumber5">
    <w:name w:val="List Number 5"/>
    <w:basedOn w:val="Normal"/>
    <w:rsid w:val="005B4F39"/>
    <w:pPr>
      <w:tabs>
        <w:tab w:val="num" w:pos="1492"/>
      </w:tabs>
      <w:ind w:left="1492" w:hanging="360"/>
    </w:pPr>
  </w:style>
  <w:style w:type="paragraph" w:styleId="Title">
    <w:name w:val="Title"/>
    <w:basedOn w:val="Normal"/>
    <w:link w:val="TitleChar"/>
    <w:qFormat/>
    <w:rsid w:val="005B4F39"/>
    <w:pPr>
      <w:spacing w:before="240" w:after="60"/>
    </w:pPr>
    <w:rPr>
      <w:rFonts w:ascii="Arial" w:hAnsi="Arial" w:cs="Arial"/>
      <w:b/>
      <w:bCs/>
      <w:sz w:val="40"/>
      <w:szCs w:val="40"/>
    </w:rPr>
  </w:style>
  <w:style w:type="character" w:customStyle="1" w:styleId="TitleChar">
    <w:name w:val="Title Char"/>
    <w:basedOn w:val="DefaultParagraphFont"/>
    <w:link w:val="Title"/>
    <w:rsid w:val="005B4F39"/>
    <w:rPr>
      <w:rFonts w:ascii="Arial" w:hAnsi="Arial" w:cs="Arial"/>
      <w:b/>
      <w:bCs/>
      <w:sz w:val="40"/>
      <w:szCs w:val="40"/>
    </w:rPr>
  </w:style>
  <w:style w:type="paragraph" w:styleId="Closing">
    <w:name w:val="Closing"/>
    <w:basedOn w:val="Normal"/>
    <w:link w:val="ClosingChar"/>
    <w:rsid w:val="005B4F39"/>
    <w:pPr>
      <w:ind w:left="4252"/>
    </w:pPr>
  </w:style>
  <w:style w:type="character" w:customStyle="1" w:styleId="ClosingChar">
    <w:name w:val="Closing Char"/>
    <w:basedOn w:val="DefaultParagraphFont"/>
    <w:link w:val="Closing"/>
    <w:rsid w:val="005B4F39"/>
    <w:rPr>
      <w:sz w:val="22"/>
    </w:rPr>
  </w:style>
  <w:style w:type="paragraph" w:styleId="Signature">
    <w:name w:val="Signature"/>
    <w:basedOn w:val="Normal"/>
    <w:link w:val="SignatureChar"/>
    <w:rsid w:val="005B4F39"/>
    <w:pPr>
      <w:ind w:left="4252"/>
    </w:pPr>
  </w:style>
  <w:style w:type="character" w:customStyle="1" w:styleId="SignatureChar">
    <w:name w:val="Signature Char"/>
    <w:basedOn w:val="DefaultParagraphFont"/>
    <w:link w:val="Signature"/>
    <w:rsid w:val="005B4F39"/>
    <w:rPr>
      <w:sz w:val="22"/>
    </w:rPr>
  </w:style>
  <w:style w:type="paragraph" w:styleId="BodyText">
    <w:name w:val="Body Text"/>
    <w:basedOn w:val="Normal"/>
    <w:link w:val="BodyTextChar"/>
    <w:rsid w:val="005B4F39"/>
    <w:pPr>
      <w:spacing w:after="120"/>
    </w:pPr>
  </w:style>
  <w:style w:type="character" w:customStyle="1" w:styleId="BodyTextChar">
    <w:name w:val="Body Text Char"/>
    <w:basedOn w:val="DefaultParagraphFont"/>
    <w:link w:val="BodyText"/>
    <w:rsid w:val="005B4F39"/>
    <w:rPr>
      <w:sz w:val="22"/>
    </w:rPr>
  </w:style>
  <w:style w:type="paragraph" w:styleId="BodyTextIndent">
    <w:name w:val="Body Text Indent"/>
    <w:basedOn w:val="Normal"/>
    <w:link w:val="BodyTextIndentChar"/>
    <w:rsid w:val="005B4F39"/>
    <w:pPr>
      <w:spacing w:after="120"/>
      <w:ind w:left="283"/>
    </w:pPr>
  </w:style>
  <w:style w:type="character" w:customStyle="1" w:styleId="BodyTextIndentChar">
    <w:name w:val="Body Text Indent Char"/>
    <w:basedOn w:val="DefaultParagraphFont"/>
    <w:link w:val="BodyTextIndent"/>
    <w:rsid w:val="005B4F39"/>
    <w:rPr>
      <w:sz w:val="22"/>
    </w:rPr>
  </w:style>
  <w:style w:type="paragraph" w:styleId="ListContinue">
    <w:name w:val="List Continue"/>
    <w:basedOn w:val="Normal"/>
    <w:rsid w:val="005B4F39"/>
    <w:pPr>
      <w:spacing w:after="120"/>
      <w:ind w:left="283"/>
    </w:pPr>
  </w:style>
  <w:style w:type="paragraph" w:styleId="ListContinue2">
    <w:name w:val="List Continue 2"/>
    <w:basedOn w:val="Normal"/>
    <w:rsid w:val="005B4F39"/>
    <w:pPr>
      <w:spacing w:after="120"/>
      <w:ind w:left="566"/>
    </w:pPr>
  </w:style>
  <w:style w:type="paragraph" w:styleId="ListContinue3">
    <w:name w:val="List Continue 3"/>
    <w:basedOn w:val="Normal"/>
    <w:rsid w:val="005B4F39"/>
    <w:pPr>
      <w:spacing w:after="120"/>
      <w:ind w:left="849"/>
    </w:pPr>
  </w:style>
  <w:style w:type="paragraph" w:styleId="ListContinue4">
    <w:name w:val="List Continue 4"/>
    <w:basedOn w:val="Normal"/>
    <w:rsid w:val="005B4F39"/>
    <w:pPr>
      <w:spacing w:after="120"/>
      <w:ind w:left="1132"/>
    </w:pPr>
  </w:style>
  <w:style w:type="paragraph" w:styleId="ListContinue5">
    <w:name w:val="List Continue 5"/>
    <w:basedOn w:val="Normal"/>
    <w:rsid w:val="005B4F39"/>
    <w:pPr>
      <w:spacing w:after="120"/>
      <w:ind w:left="1415"/>
    </w:pPr>
  </w:style>
  <w:style w:type="paragraph" w:styleId="MessageHeader">
    <w:name w:val="Message Header"/>
    <w:basedOn w:val="Normal"/>
    <w:link w:val="MessageHeaderChar"/>
    <w:rsid w:val="005B4F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B4F39"/>
    <w:rPr>
      <w:rFonts w:ascii="Arial" w:hAnsi="Arial" w:cs="Arial"/>
      <w:sz w:val="22"/>
      <w:shd w:val="pct20" w:color="auto" w:fill="auto"/>
    </w:rPr>
  </w:style>
  <w:style w:type="paragraph" w:styleId="Subtitle">
    <w:name w:val="Subtitle"/>
    <w:basedOn w:val="Normal"/>
    <w:link w:val="SubtitleChar"/>
    <w:qFormat/>
    <w:rsid w:val="005B4F39"/>
    <w:pPr>
      <w:spacing w:after="60"/>
      <w:jc w:val="center"/>
      <w:outlineLvl w:val="1"/>
    </w:pPr>
    <w:rPr>
      <w:rFonts w:ascii="Arial" w:hAnsi="Arial" w:cs="Arial"/>
    </w:rPr>
  </w:style>
  <w:style w:type="character" w:customStyle="1" w:styleId="SubtitleChar">
    <w:name w:val="Subtitle Char"/>
    <w:basedOn w:val="DefaultParagraphFont"/>
    <w:link w:val="Subtitle"/>
    <w:rsid w:val="005B4F39"/>
    <w:rPr>
      <w:rFonts w:ascii="Arial" w:hAnsi="Arial" w:cs="Arial"/>
      <w:sz w:val="22"/>
    </w:rPr>
  </w:style>
  <w:style w:type="paragraph" w:styleId="Salutation">
    <w:name w:val="Salutation"/>
    <w:basedOn w:val="Normal"/>
    <w:next w:val="Normal"/>
    <w:link w:val="SalutationChar"/>
    <w:rsid w:val="005B4F39"/>
  </w:style>
  <w:style w:type="character" w:customStyle="1" w:styleId="SalutationChar">
    <w:name w:val="Salutation Char"/>
    <w:basedOn w:val="DefaultParagraphFont"/>
    <w:link w:val="Salutation"/>
    <w:rsid w:val="005B4F39"/>
    <w:rPr>
      <w:sz w:val="22"/>
    </w:rPr>
  </w:style>
  <w:style w:type="paragraph" w:styleId="Date">
    <w:name w:val="Date"/>
    <w:basedOn w:val="Normal"/>
    <w:next w:val="Normal"/>
    <w:link w:val="DateChar"/>
    <w:rsid w:val="005B4F39"/>
  </w:style>
  <w:style w:type="character" w:customStyle="1" w:styleId="DateChar">
    <w:name w:val="Date Char"/>
    <w:basedOn w:val="DefaultParagraphFont"/>
    <w:link w:val="Date"/>
    <w:rsid w:val="005B4F39"/>
    <w:rPr>
      <w:sz w:val="22"/>
    </w:rPr>
  </w:style>
  <w:style w:type="paragraph" w:styleId="BodyTextFirstIndent">
    <w:name w:val="Body Text First Indent"/>
    <w:basedOn w:val="BodyText"/>
    <w:link w:val="BodyTextFirstIndentChar"/>
    <w:rsid w:val="005B4F39"/>
    <w:pPr>
      <w:ind w:firstLine="210"/>
    </w:pPr>
  </w:style>
  <w:style w:type="character" w:customStyle="1" w:styleId="BodyTextFirstIndentChar">
    <w:name w:val="Body Text First Indent Char"/>
    <w:basedOn w:val="BodyTextChar"/>
    <w:link w:val="BodyTextFirstIndent"/>
    <w:rsid w:val="005B4F39"/>
    <w:rPr>
      <w:sz w:val="22"/>
    </w:rPr>
  </w:style>
  <w:style w:type="paragraph" w:styleId="BodyTextFirstIndent2">
    <w:name w:val="Body Text First Indent 2"/>
    <w:basedOn w:val="BodyTextIndent"/>
    <w:link w:val="BodyTextFirstIndent2Char"/>
    <w:rsid w:val="005B4F39"/>
    <w:pPr>
      <w:ind w:firstLine="210"/>
    </w:pPr>
  </w:style>
  <w:style w:type="character" w:customStyle="1" w:styleId="BodyTextFirstIndent2Char">
    <w:name w:val="Body Text First Indent 2 Char"/>
    <w:basedOn w:val="BodyTextIndentChar"/>
    <w:link w:val="BodyTextFirstIndent2"/>
    <w:rsid w:val="005B4F39"/>
    <w:rPr>
      <w:sz w:val="22"/>
    </w:rPr>
  </w:style>
  <w:style w:type="paragraph" w:styleId="BodyText2">
    <w:name w:val="Body Text 2"/>
    <w:basedOn w:val="Normal"/>
    <w:link w:val="BodyText2Char"/>
    <w:rsid w:val="005B4F39"/>
    <w:pPr>
      <w:spacing w:after="120" w:line="480" w:lineRule="auto"/>
    </w:pPr>
  </w:style>
  <w:style w:type="character" w:customStyle="1" w:styleId="BodyText2Char">
    <w:name w:val="Body Text 2 Char"/>
    <w:basedOn w:val="DefaultParagraphFont"/>
    <w:link w:val="BodyText2"/>
    <w:rsid w:val="005B4F39"/>
    <w:rPr>
      <w:sz w:val="22"/>
    </w:rPr>
  </w:style>
  <w:style w:type="paragraph" w:styleId="BodyText3">
    <w:name w:val="Body Text 3"/>
    <w:basedOn w:val="Normal"/>
    <w:link w:val="BodyText3Char"/>
    <w:rsid w:val="005B4F39"/>
    <w:pPr>
      <w:spacing w:after="120"/>
    </w:pPr>
    <w:rPr>
      <w:sz w:val="16"/>
      <w:szCs w:val="16"/>
    </w:rPr>
  </w:style>
  <w:style w:type="character" w:customStyle="1" w:styleId="BodyText3Char">
    <w:name w:val="Body Text 3 Char"/>
    <w:basedOn w:val="DefaultParagraphFont"/>
    <w:link w:val="BodyText3"/>
    <w:rsid w:val="005B4F39"/>
    <w:rPr>
      <w:sz w:val="16"/>
      <w:szCs w:val="16"/>
    </w:rPr>
  </w:style>
  <w:style w:type="paragraph" w:styleId="BodyTextIndent2">
    <w:name w:val="Body Text Indent 2"/>
    <w:basedOn w:val="Normal"/>
    <w:link w:val="BodyTextIndent2Char"/>
    <w:rsid w:val="005B4F39"/>
    <w:pPr>
      <w:spacing w:after="120" w:line="480" w:lineRule="auto"/>
      <w:ind w:left="283"/>
    </w:pPr>
  </w:style>
  <w:style w:type="character" w:customStyle="1" w:styleId="BodyTextIndent2Char">
    <w:name w:val="Body Text Indent 2 Char"/>
    <w:basedOn w:val="DefaultParagraphFont"/>
    <w:link w:val="BodyTextIndent2"/>
    <w:rsid w:val="005B4F39"/>
    <w:rPr>
      <w:sz w:val="22"/>
    </w:rPr>
  </w:style>
  <w:style w:type="paragraph" w:styleId="BodyTextIndent3">
    <w:name w:val="Body Text Indent 3"/>
    <w:basedOn w:val="Normal"/>
    <w:link w:val="BodyTextIndent3Char"/>
    <w:rsid w:val="005B4F39"/>
    <w:pPr>
      <w:spacing w:after="120"/>
      <w:ind w:left="283"/>
    </w:pPr>
    <w:rPr>
      <w:sz w:val="16"/>
      <w:szCs w:val="16"/>
    </w:rPr>
  </w:style>
  <w:style w:type="character" w:customStyle="1" w:styleId="BodyTextIndent3Char">
    <w:name w:val="Body Text Indent 3 Char"/>
    <w:basedOn w:val="DefaultParagraphFont"/>
    <w:link w:val="BodyTextIndent3"/>
    <w:rsid w:val="005B4F39"/>
    <w:rPr>
      <w:sz w:val="16"/>
      <w:szCs w:val="16"/>
    </w:rPr>
  </w:style>
  <w:style w:type="paragraph" w:styleId="BlockText">
    <w:name w:val="Block Text"/>
    <w:basedOn w:val="Normal"/>
    <w:rsid w:val="005B4F39"/>
    <w:pPr>
      <w:spacing w:after="120"/>
      <w:ind w:left="1440" w:right="1440"/>
    </w:pPr>
  </w:style>
  <w:style w:type="character" w:styleId="Hyperlink">
    <w:name w:val="Hyperlink"/>
    <w:basedOn w:val="DefaultParagraphFont"/>
    <w:rsid w:val="005B4F39"/>
    <w:rPr>
      <w:color w:val="0000FF"/>
      <w:u w:val="single"/>
    </w:rPr>
  </w:style>
  <w:style w:type="character" w:styleId="FollowedHyperlink">
    <w:name w:val="FollowedHyperlink"/>
    <w:basedOn w:val="DefaultParagraphFont"/>
    <w:rsid w:val="005B4F39"/>
    <w:rPr>
      <w:color w:val="800080"/>
      <w:u w:val="single"/>
    </w:rPr>
  </w:style>
  <w:style w:type="character" w:styleId="Strong">
    <w:name w:val="Strong"/>
    <w:basedOn w:val="DefaultParagraphFont"/>
    <w:qFormat/>
    <w:rsid w:val="005B4F39"/>
    <w:rPr>
      <w:b/>
      <w:bCs/>
    </w:rPr>
  </w:style>
  <w:style w:type="character" w:styleId="Emphasis">
    <w:name w:val="Emphasis"/>
    <w:basedOn w:val="DefaultParagraphFont"/>
    <w:qFormat/>
    <w:rsid w:val="005B4F39"/>
    <w:rPr>
      <w:i/>
      <w:iCs/>
    </w:rPr>
  </w:style>
  <w:style w:type="paragraph" w:styleId="DocumentMap">
    <w:name w:val="Document Map"/>
    <w:basedOn w:val="Normal"/>
    <w:link w:val="DocumentMapChar"/>
    <w:rsid w:val="005B4F39"/>
    <w:pPr>
      <w:shd w:val="clear" w:color="auto" w:fill="000080"/>
    </w:pPr>
    <w:rPr>
      <w:rFonts w:ascii="Tahoma" w:hAnsi="Tahoma" w:cs="Tahoma"/>
    </w:rPr>
  </w:style>
  <w:style w:type="character" w:customStyle="1" w:styleId="DocumentMapChar">
    <w:name w:val="Document Map Char"/>
    <w:basedOn w:val="DefaultParagraphFont"/>
    <w:link w:val="DocumentMap"/>
    <w:rsid w:val="005B4F39"/>
    <w:rPr>
      <w:rFonts w:ascii="Tahoma" w:hAnsi="Tahoma" w:cs="Tahoma"/>
      <w:sz w:val="22"/>
      <w:shd w:val="clear" w:color="auto" w:fill="000080"/>
    </w:rPr>
  </w:style>
  <w:style w:type="paragraph" w:styleId="PlainText">
    <w:name w:val="Plain Text"/>
    <w:basedOn w:val="Normal"/>
    <w:link w:val="PlainTextChar"/>
    <w:rsid w:val="005B4F39"/>
    <w:rPr>
      <w:rFonts w:ascii="Courier New" w:hAnsi="Courier New" w:cs="Courier New"/>
      <w:sz w:val="20"/>
    </w:rPr>
  </w:style>
  <w:style w:type="character" w:customStyle="1" w:styleId="PlainTextChar">
    <w:name w:val="Plain Text Char"/>
    <w:basedOn w:val="DefaultParagraphFont"/>
    <w:link w:val="PlainText"/>
    <w:rsid w:val="005B4F39"/>
    <w:rPr>
      <w:rFonts w:ascii="Courier New" w:hAnsi="Courier New" w:cs="Courier New"/>
    </w:rPr>
  </w:style>
  <w:style w:type="paragraph" w:styleId="E-mailSignature">
    <w:name w:val="E-mail Signature"/>
    <w:basedOn w:val="Normal"/>
    <w:link w:val="E-mailSignatureChar"/>
    <w:rsid w:val="005B4F39"/>
  </w:style>
  <w:style w:type="character" w:customStyle="1" w:styleId="E-mailSignatureChar">
    <w:name w:val="E-mail Signature Char"/>
    <w:basedOn w:val="DefaultParagraphFont"/>
    <w:link w:val="E-mailSignature"/>
    <w:rsid w:val="005B4F39"/>
    <w:rPr>
      <w:sz w:val="22"/>
    </w:rPr>
  </w:style>
  <w:style w:type="paragraph" w:styleId="NormalWeb">
    <w:name w:val="Normal (Web)"/>
    <w:basedOn w:val="Normal"/>
    <w:rsid w:val="005B4F39"/>
  </w:style>
  <w:style w:type="character" w:styleId="HTMLAcronym">
    <w:name w:val="HTML Acronym"/>
    <w:basedOn w:val="DefaultParagraphFont"/>
    <w:rsid w:val="005B4F39"/>
  </w:style>
  <w:style w:type="paragraph" w:styleId="HTMLAddress">
    <w:name w:val="HTML Address"/>
    <w:basedOn w:val="Normal"/>
    <w:link w:val="HTMLAddressChar"/>
    <w:rsid w:val="005B4F39"/>
    <w:rPr>
      <w:i/>
      <w:iCs/>
    </w:rPr>
  </w:style>
  <w:style w:type="character" w:customStyle="1" w:styleId="HTMLAddressChar">
    <w:name w:val="HTML Address Char"/>
    <w:basedOn w:val="DefaultParagraphFont"/>
    <w:link w:val="HTMLAddress"/>
    <w:rsid w:val="005B4F39"/>
    <w:rPr>
      <w:i/>
      <w:iCs/>
      <w:sz w:val="22"/>
    </w:rPr>
  </w:style>
  <w:style w:type="character" w:styleId="HTMLCite">
    <w:name w:val="HTML Cite"/>
    <w:basedOn w:val="DefaultParagraphFont"/>
    <w:rsid w:val="005B4F39"/>
    <w:rPr>
      <w:i/>
      <w:iCs/>
    </w:rPr>
  </w:style>
  <w:style w:type="character" w:styleId="HTMLCode">
    <w:name w:val="HTML Code"/>
    <w:basedOn w:val="DefaultParagraphFont"/>
    <w:rsid w:val="005B4F39"/>
    <w:rPr>
      <w:rFonts w:ascii="Courier New" w:hAnsi="Courier New" w:cs="Courier New"/>
      <w:sz w:val="20"/>
      <w:szCs w:val="20"/>
    </w:rPr>
  </w:style>
  <w:style w:type="character" w:styleId="HTMLDefinition">
    <w:name w:val="HTML Definition"/>
    <w:basedOn w:val="DefaultParagraphFont"/>
    <w:rsid w:val="005B4F39"/>
    <w:rPr>
      <w:i/>
      <w:iCs/>
    </w:rPr>
  </w:style>
  <w:style w:type="character" w:styleId="HTMLKeyboard">
    <w:name w:val="HTML Keyboard"/>
    <w:basedOn w:val="DefaultParagraphFont"/>
    <w:rsid w:val="005B4F39"/>
    <w:rPr>
      <w:rFonts w:ascii="Courier New" w:hAnsi="Courier New" w:cs="Courier New"/>
      <w:sz w:val="20"/>
      <w:szCs w:val="20"/>
    </w:rPr>
  </w:style>
  <w:style w:type="paragraph" w:styleId="HTMLPreformatted">
    <w:name w:val="HTML Preformatted"/>
    <w:basedOn w:val="Normal"/>
    <w:link w:val="HTMLPreformattedChar"/>
    <w:rsid w:val="005B4F39"/>
    <w:rPr>
      <w:rFonts w:ascii="Courier New" w:hAnsi="Courier New" w:cs="Courier New"/>
      <w:sz w:val="20"/>
    </w:rPr>
  </w:style>
  <w:style w:type="character" w:customStyle="1" w:styleId="HTMLPreformattedChar">
    <w:name w:val="HTML Preformatted Char"/>
    <w:basedOn w:val="DefaultParagraphFont"/>
    <w:link w:val="HTMLPreformatted"/>
    <w:rsid w:val="005B4F39"/>
    <w:rPr>
      <w:rFonts w:ascii="Courier New" w:hAnsi="Courier New" w:cs="Courier New"/>
    </w:rPr>
  </w:style>
  <w:style w:type="character" w:styleId="HTMLSample">
    <w:name w:val="HTML Sample"/>
    <w:basedOn w:val="DefaultParagraphFont"/>
    <w:rsid w:val="005B4F39"/>
    <w:rPr>
      <w:rFonts w:ascii="Courier New" w:hAnsi="Courier New" w:cs="Courier New"/>
    </w:rPr>
  </w:style>
  <w:style w:type="character" w:styleId="HTMLTypewriter">
    <w:name w:val="HTML Typewriter"/>
    <w:basedOn w:val="DefaultParagraphFont"/>
    <w:rsid w:val="005B4F39"/>
    <w:rPr>
      <w:rFonts w:ascii="Courier New" w:hAnsi="Courier New" w:cs="Courier New"/>
      <w:sz w:val="20"/>
      <w:szCs w:val="20"/>
    </w:rPr>
  </w:style>
  <w:style w:type="character" w:styleId="HTMLVariable">
    <w:name w:val="HTML Variable"/>
    <w:basedOn w:val="DefaultParagraphFont"/>
    <w:rsid w:val="005B4F39"/>
    <w:rPr>
      <w:i/>
      <w:iCs/>
    </w:rPr>
  </w:style>
  <w:style w:type="paragraph" w:styleId="CommentSubject">
    <w:name w:val="annotation subject"/>
    <w:basedOn w:val="CommentText"/>
    <w:next w:val="CommentText"/>
    <w:link w:val="CommentSubjectChar"/>
    <w:rsid w:val="005B4F39"/>
    <w:rPr>
      <w:b/>
      <w:bCs/>
    </w:rPr>
  </w:style>
  <w:style w:type="character" w:customStyle="1" w:styleId="CommentSubjectChar">
    <w:name w:val="Comment Subject Char"/>
    <w:basedOn w:val="CommentTextChar"/>
    <w:link w:val="CommentSubject"/>
    <w:rsid w:val="005B4F39"/>
    <w:rPr>
      <w:b/>
      <w:bCs/>
    </w:rPr>
  </w:style>
  <w:style w:type="numbering" w:styleId="1ai">
    <w:name w:val="Outline List 1"/>
    <w:basedOn w:val="NoList"/>
    <w:rsid w:val="005B4F39"/>
    <w:pPr>
      <w:numPr>
        <w:numId w:val="14"/>
      </w:numPr>
    </w:pPr>
  </w:style>
  <w:style w:type="numbering" w:styleId="111111">
    <w:name w:val="Outline List 2"/>
    <w:basedOn w:val="NoList"/>
    <w:rsid w:val="005B4F39"/>
    <w:pPr>
      <w:numPr>
        <w:numId w:val="15"/>
      </w:numPr>
    </w:pPr>
  </w:style>
  <w:style w:type="numbering" w:styleId="ArticleSection">
    <w:name w:val="Outline List 3"/>
    <w:basedOn w:val="NoList"/>
    <w:rsid w:val="005B4F39"/>
    <w:pPr>
      <w:numPr>
        <w:numId w:val="17"/>
      </w:numPr>
    </w:pPr>
  </w:style>
  <w:style w:type="table" w:styleId="TableSimple1">
    <w:name w:val="Table Simple 1"/>
    <w:basedOn w:val="TableNormal"/>
    <w:rsid w:val="005B4F3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B4F3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B4F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B4F3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B4F3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B4F3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B4F3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B4F3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B4F3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B4F3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B4F3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B4F3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B4F3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B4F3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B4F3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B4F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B4F3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B4F3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B4F3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B4F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B4F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B4F3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B4F3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B4F3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B4F3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B4F3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B4F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B4F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B4F3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B4F3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B4F3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B4F3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B4F3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B4F3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B4F3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B4F3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B4F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B4F3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4F3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B4F3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B4F3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B4F3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B4F3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B4F39"/>
    <w:rPr>
      <w:rFonts w:eastAsia="Times New Roman" w:cs="Times New Roman"/>
      <w:b/>
      <w:kern w:val="28"/>
      <w:sz w:val="24"/>
      <w:lang w:eastAsia="en-AU"/>
    </w:rPr>
  </w:style>
  <w:style w:type="paragraph" w:styleId="Bibliography">
    <w:name w:val="Bibliography"/>
    <w:basedOn w:val="Normal"/>
    <w:next w:val="Normal"/>
    <w:uiPriority w:val="37"/>
    <w:semiHidden/>
    <w:unhideWhenUsed/>
    <w:rsid w:val="005B4F39"/>
  </w:style>
  <w:style w:type="character" w:styleId="BookTitle">
    <w:name w:val="Book Title"/>
    <w:basedOn w:val="DefaultParagraphFont"/>
    <w:uiPriority w:val="33"/>
    <w:qFormat/>
    <w:rsid w:val="005B4F39"/>
    <w:rPr>
      <w:b/>
      <w:bCs/>
      <w:i/>
      <w:iCs/>
      <w:spacing w:val="5"/>
    </w:rPr>
  </w:style>
  <w:style w:type="table" w:styleId="ColorfulGrid">
    <w:name w:val="Colorful Grid"/>
    <w:basedOn w:val="TableNormal"/>
    <w:uiPriority w:val="73"/>
    <w:semiHidden/>
    <w:unhideWhenUsed/>
    <w:rsid w:val="005B4F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B4F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B4F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B4F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B4F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B4F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B4F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B4F3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B4F3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B4F3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B4F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B4F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B4F3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B4F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B4F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B4F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B4F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B4F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B4F3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B4F3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B4F3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B4F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B4F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B4F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B4F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B4F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B4F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B4F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B4F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B4F3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B4F3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B4F3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B4F3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B4F3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B4F3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B4F3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B4F3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B4F3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B4F3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B4F3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B4F3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B4F3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B4F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B4F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B4F3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B4F3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B4F3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B4F3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B4F3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B4F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B4F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B4F3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B4F3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B4F3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B4F3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B4F3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B4F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B4F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B4F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B4F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B4F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B4F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B4F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B4F3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B4F3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B4F3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B4F3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B4F3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B4F3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B4F3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B4F3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B4F3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B4F3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B4F3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B4F3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B4F3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B4F3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B4F39"/>
    <w:rPr>
      <w:color w:val="2B579A"/>
      <w:shd w:val="clear" w:color="auto" w:fill="E1DFDD"/>
    </w:rPr>
  </w:style>
  <w:style w:type="character" w:styleId="IntenseEmphasis">
    <w:name w:val="Intense Emphasis"/>
    <w:basedOn w:val="DefaultParagraphFont"/>
    <w:uiPriority w:val="21"/>
    <w:qFormat/>
    <w:rsid w:val="005B4F39"/>
    <w:rPr>
      <w:i/>
      <w:iCs/>
      <w:color w:val="4F81BD" w:themeColor="accent1"/>
    </w:rPr>
  </w:style>
  <w:style w:type="paragraph" w:styleId="IntenseQuote">
    <w:name w:val="Intense Quote"/>
    <w:basedOn w:val="Normal"/>
    <w:next w:val="Normal"/>
    <w:link w:val="IntenseQuoteChar"/>
    <w:uiPriority w:val="30"/>
    <w:qFormat/>
    <w:rsid w:val="005B4F3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B4F39"/>
    <w:rPr>
      <w:i/>
      <w:iCs/>
      <w:color w:val="4F81BD" w:themeColor="accent1"/>
      <w:sz w:val="22"/>
    </w:rPr>
  </w:style>
  <w:style w:type="character" w:styleId="IntenseReference">
    <w:name w:val="Intense Reference"/>
    <w:basedOn w:val="DefaultParagraphFont"/>
    <w:uiPriority w:val="32"/>
    <w:qFormat/>
    <w:rsid w:val="005B4F39"/>
    <w:rPr>
      <w:b/>
      <w:bCs/>
      <w:smallCaps/>
      <w:color w:val="4F81BD" w:themeColor="accent1"/>
      <w:spacing w:val="5"/>
    </w:rPr>
  </w:style>
  <w:style w:type="table" w:styleId="LightGrid">
    <w:name w:val="Light Grid"/>
    <w:basedOn w:val="TableNormal"/>
    <w:uiPriority w:val="62"/>
    <w:semiHidden/>
    <w:unhideWhenUsed/>
    <w:rsid w:val="005B4F3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B4F3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B4F3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B4F3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B4F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B4F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B4F3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B4F3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B4F3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B4F3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B4F3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B4F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B4F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B4F3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B4F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B4F3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B4F3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B4F3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B4F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B4F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B4F3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B4F39"/>
    <w:pPr>
      <w:ind w:left="720"/>
      <w:contextualSpacing/>
    </w:pPr>
  </w:style>
  <w:style w:type="table" w:styleId="ListTable1Light">
    <w:name w:val="List Table 1 Light"/>
    <w:basedOn w:val="TableNormal"/>
    <w:uiPriority w:val="46"/>
    <w:rsid w:val="005B4F3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B4F3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B4F3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B4F3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B4F3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B4F3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B4F3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B4F3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B4F3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B4F3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B4F3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B4F3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B4F3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B4F3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B4F3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B4F3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B4F3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B4F3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B4F3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B4F3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B4F3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B4F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B4F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B4F3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B4F3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B4F3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B4F3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B4F3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B4F3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B4F3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B4F3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B4F3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B4F3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B4F3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B4F3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B4F3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B4F3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B4F3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B4F3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B4F3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B4F3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B4F3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B4F3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B4F3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B4F3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B4F3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B4F3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B4F3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B4F3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B4F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B4F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B4F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B4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B4F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B4F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B4F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B4F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B4F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B4F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B4F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B4F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B4F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B4F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B4F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B4F3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B4F3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B4F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B4F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B4F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B4F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B4F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B4F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B4F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B4F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B4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B4F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B4F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B4F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B4F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B4F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B4F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B4F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B4F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B4F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B4F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B4F39"/>
    <w:rPr>
      <w:color w:val="2B579A"/>
      <w:shd w:val="clear" w:color="auto" w:fill="E1DFDD"/>
    </w:rPr>
  </w:style>
  <w:style w:type="paragraph" w:styleId="NoSpacing">
    <w:name w:val="No Spacing"/>
    <w:uiPriority w:val="1"/>
    <w:qFormat/>
    <w:rsid w:val="005B4F39"/>
    <w:rPr>
      <w:sz w:val="22"/>
    </w:rPr>
  </w:style>
  <w:style w:type="paragraph" w:styleId="NoteHeading">
    <w:name w:val="Note Heading"/>
    <w:basedOn w:val="Normal"/>
    <w:next w:val="Normal"/>
    <w:link w:val="NoteHeadingChar"/>
    <w:uiPriority w:val="99"/>
    <w:semiHidden/>
    <w:unhideWhenUsed/>
    <w:rsid w:val="005B4F39"/>
    <w:pPr>
      <w:spacing w:line="240" w:lineRule="auto"/>
    </w:pPr>
  </w:style>
  <w:style w:type="character" w:customStyle="1" w:styleId="NoteHeadingChar">
    <w:name w:val="Note Heading Char"/>
    <w:basedOn w:val="DefaultParagraphFont"/>
    <w:link w:val="NoteHeading"/>
    <w:uiPriority w:val="99"/>
    <w:semiHidden/>
    <w:rsid w:val="005B4F39"/>
    <w:rPr>
      <w:sz w:val="22"/>
    </w:rPr>
  </w:style>
  <w:style w:type="character" w:styleId="PlaceholderText">
    <w:name w:val="Placeholder Text"/>
    <w:basedOn w:val="DefaultParagraphFont"/>
    <w:uiPriority w:val="99"/>
    <w:semiHidden/>
    <w:rsid w:val="005B4F39"/>
    <w:rPr>
      <w:color w:val="808080"/>
    </w:rPr>
  </w:style>
  <w:style w:type="table" w:styleId="PlainTable1">
    <w:name w:val="Plain Table 1"/>
    <w:basedOn w:val="TableNormal"/>
    <w:uiPriority w:val="41"/>
    <w:rsid w:val="005B4F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B4F3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B4F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B4F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B4F3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B4F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4F39"/>
    <w:rPr>
      <w:i/>
      <w:iCs/>
      <w:color w:val="404040" w:themeColor="text1" w:themeTint="BF"/>
      <w:sz w:val="22"/>
    </w:rPr>
  </w:style>
  <w:style w:type="character" w:styleId="SmartHyperlink">
    <w:name w:val="Smart Hyperlink"/>
    <w:basedOn w:val="DefaultParagraphFont"/>
    <w:uiPriority w:val="99"/>
    <w:semiHidden/>
    <w:unhideWhenUsed/>
    <w:rsid w:val="005B4F39"/>
    <w:rPr>
      <w:u w:val="dotted"/>
    </w:rPr>
  </w:style>
  <w:style w:type="character" w:styleId="SubtleEmphasis">
    <w:name w:val="Subtle Emphasis"/>
    <w:basedOn w:val="DefaultParagraphFont"/>
    <w:uiPriority w:val="19"/>
    <w:qFormat/>
    <w:rsid w:val="005B4F39"/>
    <w:rPr>
      <w:i/>
      <w:iCs/>
      <w:color w:val="404040" w:themeColor="text1" w:themeTint="BF"/>
    </w:rPr>
  </w:style>
  <w:style w:type="character" w:styleId="SubtleReference">
    <w:name w:val="Subtle Reference"/>
    <w:basedOn w:val="DefaultParagraphFont"/>
    <w:uiPriority w:val="31"/>
    <w:qFormat/>
    <w:rsid w:val="005B4F39"/>
    <w:rPr>
      <w:smallCaps/>
      <w:color w:val="5A5A5A" w:themeColor="text1" w:themeTint="A5"/>
    </w:rPr>
  </w:style>
  <w:style w:type="table" w:styleId="TableGridLight">
    <w:name w:val="Grid Table Light"/>
    <w:basedOn w:val="TableNormal"/>
    <w:uiPriority w:val="40"/>
    <w:rsid w:val="005B4F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B4F3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B4F39"/>
    <w:rPr>
      <w:color w:val="605E5C"/>
      <w:shd w:val="clear" w:color="auto" w:fill="E1DFDD"/>
    </w:rPr>
  </w:style>
  <w:style w:type="character" w:customStyle="1" w:styleId="TabletextChar">
    <w:name w:val="Tabletext Char"/>
    <w:aliases w:val="tt Char"/>
    <w:basedOn w:val="DefaultParagraphFont"/>
    <w:link w:val="Tabletext"/>
    <w:rsid w:val="00DE106D"/>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oleObject" Target="embeddings/oleObject2.bin"/><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42</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S574FYTY5PW6-349572302-1383</_dlc_DocId>
    <_dlc_DocIdUrl xmlns="fe39d773-a83d-4623-ae74-f25711a76616">
      <Url>https://austreasury.sharepoint.com/sites/leg-cord-function/_layouts/15/DocIdRedir.aspx?ID=S574FYTY5PW6-349572302-1383</Url>
      <Description>S574FYTY5PW6-349572302-1383</Description>
    </_dlc_DocIdUrl>
  </documentManagement>
</p:properties>
</file>

<file path=customXml/itemProps1.xml><?xml version="1.0" encoding="utf-8"?>
<ds:datastoreItem xmlns:ds="http://schemas.openxmlformats.org/officeDocument/2006/customXml" ds:itemID="{327BECFE-2BFC-4C7E-8087-AFA6468514B3}">
  <ds:schemaRefs>
    <ds:schemaRef ds:uri="http://schemas.microsoft.com/sharepoint/v3/contenttype/forms"/>
  </ds:schemaRefs>
</ds:datastoreItem>
</file>

<file path=customXml/itemProps2.xml><?xml version="1.0" encoding="utf-8"?>
<ds:datastoreItem xmlns:ds="http://schemas.openxmlformats.org/officeDocument/2006/customXml" ds:itemID="{2C19F155-0E1E-4A3C-9502-9F78870D66B0}">
  <ds:schemaRefs>
    <ds:schemaRef ds:uri="http://schemas.microsoft.com/sharepoint/events"/>
  </ds:schemaRefs>
</ds:datastoreItem>
</file>

<file path=customXml/itemProps3.xml><?xml version="1.0" encoding="utf-8"?>
<ds:datastoreItem xmlns:ds="http://schemas.openxmlformats.org/officeDocument/2006/customXml" ds:itemID="{222659B3-3BCD-452B-89DF-68BD6446F24E}">
  <ds:schemaRefs>
    <ds:schemaRef ds:uri="http://schemas.openxmlformats.org/officeDocument/2006/bibliography"/>
  </ds:schemaRefs>
</ds:datastoreItem>
</file>

<file path=customXml/itemProps4.xml><?xml version="1.0" encoding="utf-8"?>
<ds:datastoreItem xmlns:ds="http://schemas.openxmlformats.org/officeDocument/2006/customXml" ds:itemID="{6C4711B2-C190-432E-BF6F-EC2462B9B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7759B-A7FB-4D06-8BA7-3711477E17E5}">
  <ds:schemaRefs>
    <ds:schemaRef ds:uri="9a91be02-49fe-4568-a0ce-30550d2c0542"/>
    <ds:schemaRef ds:uri="http://schemas.microsoft.com/office/2006/documentManagement/types"/>
    <ds:schemaRef ds:uri="http://purl.org/dc/dcmitype/"/>
    <ds:schemaRef ds:uri="http://schemas.microsoft.com/office/2006/metadata/properties"/>
    <ds:schemaRef ds:uri="http://www.w3.org/XML/1998/namespace"/>
    <ds:schemaRef ds:uri="fe39d773-a83d-4623-ae74-f25711a76616"/>
    <ds:schemaRef ds:uri="http://purl.org/dc/terms/"/>
    <ds:schemaRef ds:uri="http://schemas.openxmlformats.org/package/2006/metadata/core-properties"/>
    <ds:schemaRef ds:uri="http://purl.org/dc/elements/1.1/"/>
    <ds:schemaRef ds:uri="42f4cb5a-261c-4c59-b165-7132460581a3"/>
    <ds:schemaRef ds:uri="http://schemas.microsoft.com/office/infopath/2007/PartnerControls"/>
    <ds:schemaRef ds:uri="ff38c824-6e29-4496-8487-69f397e7ed29"/>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12</Pages>
  <Words>2376</Words>
  <Characters>13547</Characters>
  <Application>Microsoft Office Word</Application>
  <DocSecurity>0</DocSecurity>
  <PresentationFormat/>
  <Lines>112</Lines>
  <Paragraphs>31</Paragraphs>
  <ScaleCrop>false</ScaleCrop>
  <HeadingPairs>
    <vt:vector size="2" baseType="variant">
      <vt:variant>
        <vt:lpstr>Title</vt:lpstr>
      </vt:variant>
      <vt:variant>
        <vt:i4>1</vt:i4>
      </vt:variant>
    </vt:vector>
  </HeadingPairs>
  <TitlesOfParts>
    <vt:vector size="1" baseType="lpstr">
      <vt:lpstr>Corporations (Fees) Amendment (Takeovers) Regulations 2024</vt:lpstr>
    </vt:vector>
  </TitlesOfParts>
  <Manager/>
  <Company/>
  <LinksUpToDate>false</LinksUpToDate>
  <CharactersWithSpaces>15892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2024-11-20T07:26:00Z</cp:lastPrinted>
  <dcterms:created xsi:type="dcterms:W3CDTF">2024-11-24T23:03:00Z</dcterms:created>
  <dcterms:modified xsi:type="dcterms:W3CDTF">2024-12-12T03:57:00Z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Corporations (Fees) Amendment (Takeovers)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OPC67179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eActivity">
    <vt:lpwstr>35;#Legislation management|cb630f2f-9155-496b-ad0f-d960eb1bf90c</vt:lpwstr>
  </property>
  <property fmtid="{D5CDD505-2E9C-101B-9397-08002B2CF9AE}" pid="19" name="eTopic">
    <vt:lpwstr>36;#Legislation Coordination|58c6712e-e847-48f4-81ab-b25e2bbd3986</vt:lpwstr>
  </property>
  <property fmtid="{D5CDD505-2E9C-101B-9397-08002B2CF9AE}" pid="20" name="eTheme">
    <vt:lpwstr>1;#Law Design|318dd2d2-18da-4b8e-a458-14db2c1af95f</vt:lpwstr>
  </property>
  <property fmtid="{D5CDD505-2E9C-101B-9397-08002B2CF9AE}" pid="21" name="_dlc_DocIdItemGuid">
    <vt:lpwstr>5807b903-8ba9-4b1b-9252-0e86db711cd2</vt:lpwstr>
  </property>
  <property fmtid="{D5CDD505-2E9C-101B-9397-08002B2CF9AE}" pid="22" name="Theme">
    <vt:lpwstr>1;#Law Design|318dd2d2-18da-4b8e-a458-14db2c1af95f</vt:lpwstr>
  </property>
  <property fmtid="{D5CDD505-2E9C-101B-9397-08002B2CF9AE}" pid="23" name="TSYStatus">
    <vt:lpwstr/>
  </property>
  <property fmtid="{D5CDD505-2E9C-101B-9397-08002B2CF9AE}" pid="24" name="eDocumentType">
    <vt:lpwstr>42;#Legislation|25c35cca-98fe-4d3e-a63c-3dda1c39f3ec</vt:lpwstr>
  </property>
  <property fmtid="{D5CDD505-2E9C-101B-9397-08002B2CF9AE}" pid="25" name="MSIP_Label_4f932d64-9ab1-4d9b-81d2-a3a8b82dd47d_Enabled">
    <vt:lpwstr>true</vt:lpwstr>
  </property>
  <property fmtid="{D5CDD505-2E9C-101B-9397-08002B2CF9AE}" pid="26" name="MSIP_Label_4f932d64-9ab1-4d9b-81d2-a3a8b82dd47d_SetDate">
    <vt:lpwstr>2024-12-12T03:57:01Z</vt:lpwstr>
  </property>
  <property fmtid="{D5CDD505-2E9C-101B-9397-08002B2CF9AE}" pid="27" name="MSIP_Label_4f932d64-9ab1-4d9b-81d2-a3a8b82dd47d_Method">
    <vt:lpwstr>Privileged</vt:lpwstr>
  </property>
  <property fmtid="{D5CDD505-2E9C-101B-9397-08002B2CF9AE}" pid="28" name="MSIP_Label_4f932d64-9ab1-4d9b-81d2-a3a8b82dd47d_Name">
    <vt:lpwstr>OFFICIAL No Visual Marking</vt:lpwstr>
  </property>
  <property fmtid="{D5CDD505-2E9C-101B-9397-08002B2CF9AE}" pid="29" name="MSIP_Label_4f932d64-9ab1-4d9b-81d2-a3a8b82dd47d_SiteId">
    <vt:lpwstr>214f1646-2021-47cc-8397-e3d3a7ba7d9d</vt:lpwstr>
  </property>
  <property fmtid="{D5CDD505-2E9C-101B-9397-08002B2CF9AE}" pid="30" name="MSIP_Label_4f932d64-9ab1-4d9b-81d2-a3a8b82dd47d_ActionId">
    <vt:lpwstr>ece48d67-bd3c-482b-92ec-6059e34bb251</vt:lpwstr>
  </property>
  <property fmtid="{D5CDD505-2E9C-101B-9397-08002B2CF9AE}" pid="31" name="MSIP_Label_4f932d64-9ab1-4d9b-81d2-a3a8b82dd47d_ContentBits">
    <vt:lpwstr>0</vt:lpwstr>
  </property>
</Properties>
</file>