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55DF" w14:textId="4604CB5B" w:rsidR="00384135" w:rsidRPr="00B61AD3" w:rsidRDefault="00192C86" w:rsidP="00C646C3">
      <w:pPr>
        <w:spacing w:line="240" w:lineRule="auto"/>
        <w:contextualSpacing/>
        <w:jc w:val="center"/>
        <w:rPr>
          <w:rFonts w:eastAsia="Times New Roman" w:cs="Times New Roman"/>
          <w:b/>
          <w:szCs w:val="22"/>
          <w:u w:val="single"/>
          <w:lang w:eastAsia="en-AU"/>
        </w:rPr>
      </w:pPr>
      <w:r w:rsidRPr="00B61AD3">
        <w:rPr>
          <w:rFonts w:eastAsia="Times New Roman" w:cs="Times New Roman"/>
          <w:b/>
          <w:szCs w:val="22"/>
          <w:u w:val="single"/>
          <w:lang w:eastAsia="en-AU"/>
        </w:rPr>
        <w:t xml:space="preserve">REPLACEMENT </w:t>
      </w:r>
      <w:r w:rsidR="00384135" w:rsidRPr="00B61AD3">
        <w:rPr>
          <w:rFonts w:eastAsia="Times New Roman" w:cs="Times New Roman"/>
          <w:b/>
          <w:szCs w:val="22"/>
          <w:u w:val="single"/>
          <w:lang w:eastAsia="en-AU"/>
        </w:rPr>
        <w:t>EXPLANATORY STATEMENT</w:t>
      </w:r>
    </w:p>
    <w:p w14:paraId="61F4258D" w14:textId="77777777" w:rsidR="00384135" w:rsidRPr="00B61AD3" w:rsidRDefault="00384135" w:rsidP="00C646C3">
      <w:pPr>
        <w:spacing w:line="240" w:lineRule="auto"/>
        <w:contextualSpacing/>
        <w:rPr>
          <w:rFonts w:eastAsia="Times New Roman" w:cs="Times New Roman"/>
          <w:iCs/>
          <w:szCs w:val="22"/>
          <w:lang w:eastAsia="en-AU"/>
        </w:rPr>
      </w:pPr>
    </w:p>
    <w:p w14:paraId="6E516E62" w14:textId="77777777" w:rsidR="00384135" w:rsidRPr="00B61AD3" w:rsidRDefault="00384135" w:rsidP="00C646C3">
      <w:pPr>
        <w:spacing w:line="240" w:lineRule="auto"/>
        <w:contextualSpacing/>
        <w:jc w:val="center"/>
        <w:rPr>
          <w:rFonts w:eastAsia="Times New Roman" w:cs="Times New Roman"/>
          <w:i/>
          <w:szCs w:val="22"/>
          <w:lang w:eastAsia="en-AU"/>
        </w:rPr>
      </w:pPr>
      <w:r w:rsidRPr="00B61AD3">
        <w:rPr>
          <w:rFonts w:eastAsia="Times New Roman" w:cs="Times New Roman"/>
          <w:i/>
          <w:szCs w:val="22"/>
          <w:lang w:eastAsia="en-AU"/>
        </w:rPr>
        <w:t>Therapeutic Goods Act 1989</w:t>
      </w:r>
    </w:p>
    <w:p w14:paraId="45048F7A" w14:textId="77777777" w:rsidR="00384135" w:rsidRPr="00B61AD3" w:rsidRDefault="00384135" w:rsidP="00C646C3">
      <w:pPr>
        <w:spacing w:line="240" w:lineRule="auto"/>
        <w:contextualSpacing/>
        <w:rPr>
          <w:rFonts w:eastAsia="Times New Roman" w:cs="Times New Roman"/>
          <w:iCs/>
          <w:szCs w:val="22"/>
          <w:lang w:eastAsia="en-AU"/>
        </w:rPr>
      </w:pPr>
    </w:p>
    <w:p w14:paraId="5B01081F" w14:textId="2E18B3EE" w:rsidR="00384135" w:rsidRPr="00B61AD3" w:rsidRDefault="00384135" w:rsidP="00C646C3">
      <w:pPr>
        <w:spacing w:line="240" w:lineRule="auto"/>
        <w:contextualSpacing/>
        <w:jc w:val="center"/>
        <w:rPr>
          <w:rFonts w:eastAsia="Times New Roman" w:cs="Times New Roman"/>
          <w:i/>
          <w:szCs w:val="22"/>
          <w:lang w:eastAsia="en-AU"/>
        </w:rPr>
      </w:pPr>
      <w:r w:rsidRPr="00B61AD3">
        <w:rPr>
          <w:rFonts w:eastAsia="Times New Roman" w:cs="Times New Roman"/>
          <w:i/>
          <w:szCs w:val="22"/>
          <w:lang w:eastAsia="en-AU"/>
        </w:rPr>
        <w:t>T</w:t>
      </w:r>
      <w:bookmarkStart w:id="0" w:name="_Hlk181869107"/>
      <w:r w:rsidRPr="00B61AD3">
        <w:rPr>
          <w:rFonts w:eastAsia="Times New Roman" w:cs="Times New Roman"/>
          <w:i/>
          <w:szCs w:val="22"/>
          <w:lang w:eastAsia="en-AU"/>
        </w:rPr>
        <w:t>herapeutic Goods Legislation Amendment (2024 Measures No. 3) Regulations 2024</w:t>
      </w:r>
      <w:bookmarkEnd w:id="0"/>
    </w:p>
    <w:p w14:paraId="1A61308E" w14:textId="77777777" w:rsidR="00A56E80" w:rsidRPr="00B61AD3" w:rsidRDefault="00A56E80" w:rsidP="00C646C3">
      <w:pPr>
        <w:spacing w:line="240" w:lineRule="auto"/>
        <w:contextualSpacing/>
        <w:rPr>
          <w:rFonts w:cs="Times New Roman"/>
          <w:szCs w:val="22"/>
        </w:rPr>
      </w:pPr>
    </w:p>
    <w:p w14:paraId="7BD4852B" w14:textId="723E7061" w:rsidR="002244ED" w:rsidRPr="00B61AD3" w:rsidRDefault="00343471" w:rsidP="00C646C3">
      <w:pPr>
        <w:spacing w:line="240" w:lineRule="auto"/>
        <w:contextualSpacing/>
        <w:rPr>
          <w:rStyle w:val="OPCCharBase"/>
          <w:rFonts w:cs="Times New Roman"/>
          <w:szCs w:val="22"/>
        </w:rPr>
      </w:pPr>
      <w:r w:rsidRPr="00B61AD3">
        <w:rPr>
          <w:rStyle w:val="OPCCharBase"/>
          <w:rFonts w:cs="Times New Roman"/>
          <w:szCs w:val="22"/>
        </w:rPr>
        <w:t xml:space="preserve">The </w:t>
      </w:r>
      <w:r w:rsidR="00220AF6" w:rsidRPr="00B61AD3">
        <w:rPr>
          <w:rFonts w:cs="Times New Roman"/>
          <w:i/>
          <w:iCs/>
          <w:szCs w:val="22"/>
          <w:lang w:eastAsia="en-AU"/>
        </w:rPr>
        <w:t>Therapeutic Goods Legislation Amendment (2024 Measures No. 3) Regulations 2024</w:t>
      </w:r>
      <w:r w:rsidR="00220AF6" w:rsidRPr="00B61AD3">
        <w:rPr>
          <w:rFonts w:cs="Times New Roman"/>
          <w:szCs w:val="22"/>
          <w:lang w:eastAsia="en-AU"/>
        </w:rPr>
        <w:t xml:space="preserve"> (the Regulations) </w:t>
      </w:r>
      <w:r w:rsidRPr="00B61AD3">
        <w:rPr>
          <w:rStyle w:val="OPCCharBase"/>
          <w:rFonts w:cs="Times New Roman"/>
          <w:szCs w:val="22"/>
        </w:rPr>
        <w:t>further support the Australian Government’s vaping reforms by clarifying the circumstances in which notified vaping goods are exempt from inclusion in the Australian Register of Therapeutic Goods (the Register)</w:t>
      </w:r>
      <w:r w:rsidR="00244B41" w:rsidRPr="00B61AD3">
        <w:rPr>
          <w:rStyle w:val="OPCCharBase"/>
          <w:rFonts w:cs="Times New Roman"/>
          <w:szCs w:val="22"/>
        </w:rPr>
        <w:t xml:space="preserve"> but able to be lawfully imported into</w:t>
      </w:r>
      <w:r w:rsidR="00683340" w:rsidRPr="00B61AD3">
        <w:rPr>
          <w:rStyle w:val="OPCCharBase"/>
          <w:rFonts w:cs="Times New Roman"/>
          <w:szCs w:val="22"/>
        </w:rPr>
        <w:t xml:space="preserve"> or manufactured, possessed or supplied in Australia</w:t>
      </w:r>
      <w:r w:rsidRPr="00B61AD3">
        <w:rPr>
          <w:rStyle w:val="OPCCharBase"/>
          <w:rFonts w:cs="Times New Roman"/>
          <w:szCs w:val="22"/>
        </w:rPr>
        <w:t>.</w:t>
      </w:r>
    </w:p>
    <w:p w14:paraId="60C2E9A1" w14:textId="77777777" w:rsidR="00343471" w:rsidRPr="00B61AD3" w:rsidRDefault="00343471" w:rsidP="00C646C3">
      <w:pPr>
        <w:spacing w:line="240" w:lineRule="auto"/>
        <w:contextualSpacing/>
        <w:rPr>
          <w:rFonts w:cs="Times New Roman"/>
          <w:szCs w:val="22"/>
        </w:rPr>
      </w:pPr>
    </w:p>
    <w:p w14:paraId="5BF840B7" w14:textId="452647E3" w:rsidR="005915C8" w:rsidRPr="00B61AD3" w:rsidRDefault="005915C8" w:rsidP="00C646C3">
      <w:pPr>
        <w:spacing w:line="240" w:lineRule="auto"/>
        <w:contextualSpacing/>
        <w:rPr>
          <w:rStyle w:val="OPCCharBase"/>
          <w:rFonts w:cs="Times New Roman"/>
          <w:szCs w:val="22"/>
          <w:lang w:eastAsia="en-AU"/>
        </w:rPr>
      </w:pPr>
      <w:r w:rsidRPr="00B61AD3">
        <w:rPr>
          <w:rStyle w:val="OPCCharBase"/>
          <w:rFonts w:cs="Times New Roman"/>
          <w:szCs w:val="22"/>
          <w:lang w:eastAsia="en-AU"/>
        </w:rPr>
        <w:t xml:space="preserve">The </w:t>
      </w:r>
      <w:r w:rsidRPr="00B61AD3">
        <w:rPr>
          <w:rStyle w:val="OPCCharBase"/>
          <w:rFonts w:cs="Times New Roman"/>
          <w:i/>
          <w:iCs/>
          <w:szCs w:val="22"/>
          <w:lang w:eastAsia="en-AU"/>
        </w:rPr>
        <w:t>Therapeutic Goods Act 1989</w:t>
      </w:r>
      <w:r w:rsidRPr="00B61AD3">
        <w:rPr>
          <w:rStyle w:val="OPCCharBase"/>
          <w:rFonts w:cs="Times New Roman"/>
          <w:szCs w:val="22"/>
          <w:lang w:eastAsia="en-AU"/>
        </w:rPr>
        <w:t xml:space="preserve"> (</w:t>
      </w:r>
      <w:r w:rsidRPr="00B61AD3">
        <w:rPr>
          <w:rStyle w:val="OPCCharBase"/>
          <w:rFonts w:cs="Times New Roman"/>
          <w:bCs/>
          <w:szCs w:val="22"/>
          <w:lang w:eastAsia="en-AU"/>
        </w:rPr>
        <w:t>the Act</w:t>
      </w:r>
      <w:r w:rsidRPr="00B61AD3">
        <w:rPr>
          <w:rStyle w:val="OPCCharBase"/>
          <w:rFonts w:cs="Times New Roman"/>
          <w:szCs w:val="22"/>
          <w:lang w:eastAsia="en-AU"/>
        </w:rPr>
        <w:t xml:space="preserve">) establishes and maintains a national system of controls for the quality, safety, efficacy or performance, and timely availability of therapeutic goods used in, or exported from, Australia. </w:t>
      </w:r>
      <w:r w:rsidR="004F3153" w:rsidRPr="00B61AD3">
        <w:rPr>
          <w:rStyle w:val="OPCCharBase"/>
          <w:rFonts w:cs="Times New Roman"/>
          <w:szCs w:val="22"/>
          <w:lang w:eastAsia="en-AU"/>
        </w:rPr>
        <w:t xml:space="preserve">It also provides for the establishment and maintenance of a national system of controls for the importation, manufacture, supply, commercial possession, advertising and export of vaping goods. </w:t>
      </w:r>
      <w:r w:rsidRPr="00B61AD3">
        <w:rPr>
          <w:rStyle w:val="OPCCharBase"/>
          <w:rFonts w:cs="Times New Roman"/>
          <w:szCs w:val="22"/>
          <w:lang w:eastAsia="en-AU"/>
        </w:rPr>
        <w:t>Subsection 63(1) of the Act enables the Governor-General to make regulations, not inconsistent with the Act, prescribing matters that are required or permitted by the Act, or necessary or convenient to be prescribed for carrying out or giving effect to the Act.</w:t>
      </w:r>
    </w:p>
    <w:p w14:paraId="6D01DD01" w14:textId="77777777" w:rsidR="006C2FB4" w:rsidRPr="00B61AD3" w:rsidRDefault="006C2FB4" w:rsidP="00C646C3">
      <w:pPr>
        <w:spacing w:line="240" w:lineRule="auto"/>
        <w:contextualSpacing/>
        <w:rPr>
          <w:rStyle w:val="OPCCharBase"/>
          <w:rFonts w:cs="Times New Roman"/>
          <w:szCs w:val="22"/>
          <w:lang w:eastAsia="en-AU"/>
        </w:rPr>
      </w:pPr>
    </w:p>
    <w:p w14:paraId="0381BDA1" w14:textId="18888F4D" w:rsidR="006C2FB4" w:rsidRPr="00B61AD3" w:rsidRDefault="006C2FB4" w:rsidP="00C646C3">
      <w:pPr>
        <w:spacing w:line="240" w:lineRule="auto"/>
        <w:contextualSpacing/>
        <w:rPr>
          <w:rStyle w:val="OPCCharBase"/>
          <w:rFonts w:cs="Times New Roman"/>
          <w:szCs w:val="22"/>
          <w:lang w:eastAsia="en-AU"/>
        </w:rPr>
      </w:pPr>
      <w:r w:rsidRPr="00B61AD3">
        <w:rPr>
          <w:rStyle w:val="OPCCharBase"/>
          <w:rFonts w:cs="Times New Roman"/>
          <w:szCs w:val="22"/>
          <w:lang w:eastAsia="en-AU"/>
        </w:rPr>
        <w:t>Subsection 18(1) of the Act provides that the regulations may exempt, subject to conditions</w:t>
      </w:r>
      <w:r w:rsidR="00702D91" w:rsidRPr="00B61AD3">
        <w:rPr>
          <w:rStyle w:val="OPCCharBase"/>
          <w:rFonts w:cs="Times New Roman"/>
          <w:szCs w:val="22"/>
          <w:lang w:eastAsia="en-AU"/>
        </w:rPr>
        <w:t xml:space="preserve"> (if any)</w:t>
      </w:r>
      <w:r w:rsidRPr="00B61AD3">
        <w:rPr>
          <w:rStyle w:val="OPCCharBase"/>
          <w:rFonts w:cs="Times New Roman"/>
          <w:szCs w:val="22"/>
          <w:lang w:eastAsia="en-AU"/>
        </w:rPr>
        <w:t xml:space="preserve"> specified in the regulations, specified therapeutic goods, or a specified class of therapeutic goods from the operation of Part 3-2 of the Act (except section 31A and sections 31C to 31F). Similarly</w:t>
      </w:r>
      <w:r w:rsidR="00220AF6" w:rsidRPr="00B61AD3">
        <w:rPr>
          <w:rStyle w:val="OPCCharBase"/>
          <w:rFonts w:cs="Times New Roman"/>
          <w:szCs w:val="22"/>
          <w:lang w:eastAsia="en-AU"/>
        </w:rPr>
        <w:t>,</w:t>
      </w:r>
      <w:r w:rsidRPr="00B61AD3">
        <w:rPr>
          <w:rStyle w:val="OPCCharBase"/>
          <w:rFonts w:cs="Times New Roman"/>
          <w:szCs w:val="22"/>
          <w:lang w:eastAsia="en-AU"/>
        </w:rPr>
        <w:t xml:space="preserve"> in relation to medical devices, </w:t>
      </w:r>
      <w:r w:rsidR="00492B60" w:rsidRPr="00B61AD3">
        <w:rPr>
          <w:rStyle w:val="OPCCharBase"/>
          <w:rFonts w:cs="Times New Roman"/>
          <w:szCs w:val="22"/>
          <w:lang w:eastAsia="en-AU"/>
        </w:rPr>
        <w:t xml:space="preserve">section </w:t>
      </w:r>
      <w:r w:rsidRPr="00B61AD3">
        <w:rPr>
          <w:rStyle w:val="OPCCharBase"/>
          <w:rFonts w:cs="Times New Roman"/>
          <w:szCs w:val="22"/>
          <w:lang w:eastAsia="en-AU"/>
        </w:rPr>
        <w:t>41HA</w:t>
      </w:r>
      <w:r w:rsidR="00702D91" w:rsidRPr="00B61AD3">
        <w:rPr>
          <w:rStyle w:val="OPCCharBase"/>
          <w:rFonts w:cs="Times New Roman"/>
          <w:szCs w:val="22"/>
          <w:lang w:eastAsia="en-AU"/>
        </w:rPr>
        <w:t xml:space="preserve"> </w:t>
      </w:r>
      <w:r w:rsidRPr="00B61AD3">
        <w:rPr>
          <w:rStyle w:val="OPCCharBase"/>
          <w:rFonts w:cs="Times New Roman"/>
          <w:szCs w:val="22"/>
          <w:lang w:eastAsia="en-AU"/>
        </w:rPr>
        <w:t>of the Act provides that the regulations may exempt, subject to conditions</w:t>
      </w:r>
      <w:r w:rsidR="00702D91" w:rsidRPr="00B61AD3">
        <w:rPr>
          <w:rStyle w:val="OPCCharBase"/>
          <w:rFonts w:cs="Times New Roman"/>
          <w:szCs w:val="22"/>
          <w:lang w:eastAsia="en-AU"/>
        </w:rPr>
        <w:t xml:space="preserve"> (if any)</w:t>
      </w:r>
      <w:r w:rsidRPr="00B61AD3">
        <w:rPr>
          <w:rStyle w:val="OPCCharBase"/>
          <w:rFonts w:cs="Times New Roman"/>
          <w:szCs w:val="22"/>
          <w:lang w:eastAsia="en-AU"/>
        </w:rPr>
        <w:t xml:space="preserve"> specified in the regulations, specified kinds of medical devices from the operation of Division 3 of Part 4-11 of the Act.</w:t>
      </w:r>
    </w:p>
    <w:p w14:paraId="5DD78CB0" w14:textId="77777777" w:rsidR="005915C8" w:rsidRPr="00B61AD3" w:rsidRDefault="005915C8" w:rsidP="00C646C3">
      <w:pPr>
        <w:spacing w:line="240" w:lineRule="auto"/>
        <w:contextualSpacing/>
        <w:rPr>
          <w:rFonts w:cs="Times New Roman"/>
          <w:szCs w:val="22"/>
          <w:lang w:eastAsia="en-AU"/>
        </w:rPr>
      </w:pPr>
    </w:p>
    <w:p w14:paraId="2B4F841B" w14:textId="683EE6E2" w:rsidR="007F61FC" w:rsidRPr="00B61AD3" w:rsidRDefault="00DD4A26" w:rsidP="00C646C3">
      <w:pPr>
        <w:spacing w:line="240" w:lineRule="auto"/>
        <w:contextualSpacing/>
        <w:rPr>
          <w:rFonts w:cs="Times New Roman"/>
          <w:szCs w:val="22"/>
          <w:lang w:eastAsia="en-AU"/>
        </w:rPr>
      </w:pPr>
      <w:r w:rsidRPr="00B61AD3">
        <w:rPr>
          <w:rFonts w:cs="Times New Roman"/>
          <w:szCs w:val="22"/>
          <w:lang w:eastAsia="en-AU"/>
        </w:rPr>
        <w:t xml:space="preserve">The </w:t>
      </w:r>
      <w:r w:rsidRPr="00B61AD3">
        <w:rPr>
          <w:rFonts w:cs="Times New Roman"/>
          <w:i/>
          <w:iCs/>
          <w:szCs w:val="22"/>
          <w:lang w:eastAsia="en-AU"/>
        </w:rPr>
        <w:t>Therapeutic Goods Legislation Amendment (Vaping) Regulations 2023</w:t>
      </w:r>
      <w:r w:rsidRPr="00B61AD3">
        <w:rPr>
          <w:rFonts w:cs="Times New Roman"/>
          <w:szCs w:val="22"/>
          <w:lang w:eastAsia="en-AU"/>
        </w:rPr>
        <w:t xml:space="preserve"> implemented the first stage of the Government’s vaping reforms by introduc</w:t>
      </w:r>
      <w:r w:rsidR="00492B60" w:rsidRPr="00B61AD3">
        <w:rPr>
          <w:rFonts w:cs="Times New Roman"/>
          <w:szCs w:val="22"/>
          <w:lang w:eastAsia="en-AU"/>
        </w:rPr>
        <w:t>ing</w:t>
      </w:r>
      <w:r w:rsidRPr="00B61AD3">
        <w:rPr>
          <w:rFonts w:cs="Times New Roman"/>
          <w:szCs w:val="22"/>
          <w:lang w:eastAsia="en-AU"/>
        </w:rPr>
        <w:t xml:space="preserve"> new exemptions in the </w:t>
      </w:r>
      <w:r w:rsidRPr="00B61AD3">
        <w:rPr>
          <w:rFonts w:cs="Times New Roman"/>
          <w:i/>
          <w:iCs/>
          <w:szCs w:val="22"/>
          <w:lang w:eastAsia="en-AU"/>
        </w:rPr>
        <w:t xml:space="preserve">Therapeutic Goods (Medical Devices) Regulations 2002 </w:t>
      </w:r>
      <w:r w:rsidRPr="00B61AD3">
        <w:rPr>
          <w:rFonts w:cs="Times New Roman"/>
          <w:szCs w:val="22"/>
          <w:lang w:eastAsia="en-AU"/>
        </w:rPr>
        <w:t xml:space="preserve">(the MD Regulations) and the </w:t>
      </w:r>
      <w:r w:rsidRPr="00B61AD3">
        <w:rPr>
          <w:rFonts w:cs="Times New Roman"/>
          <w:i/>
          <w:iCs/>
          <w:szCs w:val="22"/>
          <w:lang w:eastAsia="en-AU"/>
        </w:rPr>
        <w:t>Therapeutic Goods Regulations 1990</w:t>
      </w:r>
      <w:r w:rsidRPr="00B61AD3">
        <w:rPr>
          <w:rFonts w:cs="Times New Roman"/>
          <w:szCs w:val="22"/>
          <w:lang w:eastAsia="en-AU"/>
        </w:rPr>
        <w:t xml:space="preserve"> (the TG Regulations) for certain </w:t>
      </w:r>
      <w:r w:rsidR="00F9528F" w:rsidRPr="00B61AD3">
        <w:rPr>
          <w:rFonts w:cs="Times New Roman"/>
          <w:szCs w:val="22"/>
          <w:lang w:eastAsia="en-AU"/>
        </w:rPr>
        <w:t xml:space="preserve">therapeutic </w:t>
      </w:r>
      <w:r w:rsidRPr="00B61AD3">
        <w:rPr>
          <w:rFonts w:cs="Times New Roman"/>
          <w:szCs w:val="22"/>
          <w:lang w:eastAsia="en-AU"/>
        </w:rPr>
        <w:t>vaping goods</w:t>
      </w:r>
      <w:r w:rsidR="00492B60" w:rsidRPr="00B61AD3">
        <w:rPr>
          <w:rFonts w:cs="Times New Roman"/>
          <w:szCs w:val="22"/>
          <w:lang w:eastAsia="en-AU"/>
        </w:rPr>
        <w:t>.</w:t>
      </w:r>
      <w:r w:rsidR="000E3F06" w:rsidRPr="00B61AD3">
        <w:rPr>
          <w:rStyle w:val="OPCCharBase"/>
          <w:rFonts w:cs="Times New Roman"/>
          <w:szCs w:val="22"/>
        </w:rPr>
        <w:t xml:space="preserve"> </w:t>
      </w:r>
      <w:r w:rsidR="004F3153" w:rsidRPr="00B61AD3">
        <w:rPr>
          <w:rStyle w:val="OPCCharBase"/>
          <w:rFonts w:cs="Times New Roman"/>
          <w:szCs w:val="22"/>
        </w:rPr>
        <w:t xml:space="preserve">These amendments </w:t>
      </w:r>
      <w:r w:rsidR="000E3F06" w:rsidRPr="00B61AD3">
        <w:rPr>
          <w:rStyle w:val="OPCCharBase"/>
          <w:rFonts w:cs="Times New Roman"/>
          <w:szCs w:val="22"/>
        </w:rPr>
        <w:t>help ensure that the Therapeutic Goods Administration (TGA) is better able to regulate goods within the lawful supply chain and provide greater clarity to industry participants.</w:t>
      </w:r>
    </w:p>
    <w:p w14:paraId="3492D83E" w14:textId="77777777" w:rsidR="007F61FC" w:rsidRPr="00B61AD3" w:rsidRDefault="007F61FC" w:rsidP="00C646C3">
      <w:pPr>
        <w:spacing w:line="240" w:lineRule="auto"/>
        <w:contextualSpacing/>
        <w:rPr>
          <w:rFonts w:cs="Times New Roman"/>
          <w:szCs w:val="22"/>
          <w:lang w:eastAsia="en-AU"/>
        </w:rPr>
      </w:pPr>
    </w:p>
    <w:p w14:paraId="00144F7D" w14:textId="502C4F75" w:rsidR="00DD4A26" w:rsidRPr="00B61AD3" w:rsidRDefault="00492B60" w:rsidP="00C646C3">
      <w:pPr>
        <w:spacing w:line="240" w:lineRule="auto"/>
        <w:contextualSpacing/>
        <w:rPr>
          <w:rFonts w:cs="Times New Roman"/>
          <w:szCs w:val="22"/>
          <w:lang w:eastAsia="en-AU"/>
        </w:rPr>
      </w:pPr>
      <w:r w:rsidRPr="00B61AD3">
        <w:rPr>
          <w:rFonts w:cs="Times New Roman"/>
          <w:szCs w:val="22"/>
          <w:lang w:eastAsia="en-AU"/>
        </w:rPr>
        <w:t xml:space="preserve">The exemptions operate </w:t>
      </w:r>
      <w:r w:rsidR="00DD4A26" w:rsidRPr="00B61AD3">
        <w:rPr>
          <w:rFonts w:cs="Times New Roman"/>
          <w:szCs w:val="22"/>
          <w:lang w:eastAsia="en-AU"/>
        </w:rPr>
        <w:t xml:space="preserve">to exempt </w:t>
      </w:r>
      <w:r w:rsidRPr="00B61AD3">
        <w:rPr>
          <w:rFonts w:cs="Times New Roman"/>
          <w:szCs w:val="22"/>
          <w:lang w:eastAsia="en-AU"/>
        </w:rPr>
        <w:t xml:space="preserve">certain therapeutic </w:t>
      </w:r>
      <w:r w:rsidR="00F9528F" w:rsidRPr="00B61AD3">
        <w:rPr>
          <w:rFonts w:cs="Times New Roman"/>
          <w:szCs w:val="22"/>
          <w:lang w:eastAsia="en-AU"/>
        </w:rPr>
        <w:t xml:space="preserve">vaping goods </w:t>
      </w:r>
      <w:r w:rsidRPr="00B61AD3">
        <w:rPr>
          <w:rFonts w:cs="Times New Roman"/>
          <w:szCs w:val="22"/>
          <w:lang w:eastAsia="en-AU"/>
        </w:rPr>
        <w:t xml:space="preserve">for smoking cessation or the management of nicotine dependence </w:t>
      </w:r>
      <w:r w:rsidR="00DD4A26" w:rsidRPr="00B61AD3">
        <w:rPr>
          <w:rFonts w:cs="Times New Roman"/>
          <w:szCs w:val="22"/>
          <w:lang w:eastAsia="en-AU"/>
        </w:rPr>
        <w:t>from the requirement to be included in the Register, subject to specified conditions</w:t>
      </w:r>
      <w:r w:rsidRPr="00B61AD3">
        <w:rPr>
          <w:rFonts w:cs="Times New Roman"/>
          <w:szCs w:val="22"/>
          <w:lang w:eastAsia="en-AU"/>
        </w:rPr>
        <w:t>. This</w:t>
      </w:r>
      <w:r w:rsidR="00DD4A26" w:rsidRPr="00B61AD3">
        <w:rPr>
          <w:rFonts w:cs="Times New Roman"/>
          <w:szCs w:val="22"/>
          <w:lang w:eastAsia="en-AU"/>
        </w:rPr>
        <w:t xml:space="preserve"> includ</w:t>
      </w:r>
      <w:r w:rsidRPr="00B61AD3">
        <w:rPr>
          <w:rFonts w:cs="Times New Roman"/>
          <w:szCs w:val="22"/>
          <w:lang w:eastAsia="en-AU"/>
        </w:rPr>
        <w:t>es</w:t>
      </w:r>
      <w:r w:rsidR="00DD4A26" w:rsidRPr="00B61AD3">
        <w:rPr>
          <w:rFonts w:cs="Times New Roman"/>
          <w:szCs w:val="22"/>
          <w:lang w:eastAsia="en-AU"/>
        </w:rPr>
        <w:t xml:space="preserve"> the requirement for the sponsor to provide a notice to the </w:t>
      </w:r>
      <w:r w:rsidR="0051427B" w:rsidRPr="00B61AD3">
        <w:rPr>
          <w:rFonts w:cs="Times New Roman"/>
          <w:szCs w:val="22"/>
          <w:lang w:eastAsia="en-AU"/>
        </w:rPr>
        <w:t xml:space="preserve">TGA </w:t>
      </w:r>
      <w:r w:rsidR="00DD4A26" w:rsidRPr="00B61AD3">
        <w:rPr>
          <w:rFonts w:cs="Times New Roman"/>
          <w:szCs w:val="22"/>
          <w:lang w:eastAsia="en-AU"/>
        </w:rPr>
        <w:t>prior to the lawful importation, manufacture or supply of the goods in Australia. The exemptions are relevantly contained in item 2.17 of the table in Part 2 of Schedule 4 to the MD</w:t>
      </w:r>
      <w:r w:rsidR="00F9528F" w:rsidRPr="00B61AD3">
        <w:rPr>
          <w:rFonts w:cs="Times New Roman"/>
          <w:szCs w:val="22"/>
          <w:lang w:eastAsia="en-AU"/>
        </w:rPr>
        <w:t> </w:t>
      </w:r>
      <w:r w:rsidR="00DD4A26" w:rsidRPr="00B61AD3">
        <w:rPr>
          <w:rFonts w:cs="Times New Roman"/>
          <w:szCs w:val="22"/>
          <w:lang w:eastAsia="en-AU"/>
        </w:rPr>
        <w:t>Regulations and item</w:t>
      </w:r>
      <w:r w:rsidR="004F3153" w:rsidRPr="00B61AD3">
        <w:rPr>
          <w:rFonts w:cs="Times New Roman"/>
          <w:szCs w:val="22"/>
          <w:lang w:eastAsia="en-AU"/>
        </w:rPr>
        <w:t> </w:t>
      </w:r>
      <w:r w:rsidR="00DD4A26" w:rsidRPr="00B61AD3">
        <w:rPr>
          <w:rFonts w:cs="Times New Roman"/>
          <w:szCs w:val="22"/>
          <w:lang w:eastAsia="en-AU"/>
        </w:rPr>
        <w:t>15 of the table in Schedule 5A to the TG Regulations. In practice, these exemptions are referred to as the ‘notified vaping goods’ exemptions.</w:t>
      </w:r>
    </w:p>
    <w:p w14:paraId="4848F584" w14:textId="77777777" w:rsidR="00E133B5" w:rsidRPr="00B61AD3" w:rsidRDefault="00E133B5" w:rsidP="00C646C3">
      <w:pPr>
        <w:spacing w:line="240" w:lineRule="auto"/>
        <w:contextualSpacing/>
        <w:rPr>
          <w:rFonts w:cs="Times New Roman"/>
          <w:szCs w:val="22"/>
          <w:lang w:eastAsia="en-AU"/>
        </w:rPr>
      </w:pPr>
    </w:p>
    <w:p w14:paraId="31FF9754" w14:textId="423B75CC" w:rsidR="00E133B5" w:rsidRPr="00B61AD3" w:rsidRDefault="00E133B5" w:rsidP="00C646C3">
      <w:pPr>
        <w:spacing w:line="240" w:lineRule="auto"/>
        <w:contextualSpacing/>
        <w:rPr>
          <w:rFonts w:cs="Times New Roman"/>
          <w:szCs w:val="22"/>
          <w:lang w:eastAsia="en-AU"/>
        </w:rPr>
      </w:pPr>
      <w:r w:rsidRPr="00B61AD3">
        <w:rPr>
          <w:rFonts w:cs="Times New Roman"/>
          <w:szCs w:val="22"/>
          <w:lang w:eastAsia="en-AU"/>
        </w:rPr>
        <w:t>The</w:t>
      </w:r>
      <w:r w:rsidR="00220AF6" w:rsidRPr="00B61AD3">
        <w:rPr>
          <w:rFonts w:cs="Times New Roman"/>
          <w:szCs w:val="22"/>
          <w:lang w:eastAsia="en-AU"/>
        </w:rPr>
        <w:t xml:space="preserve"> </w:t>
      </w:r>
      <w:r w:rsidRPr="00B61AD3">
        <w:rPr>
          <w:rFonts w:cs="Times New Roman"/>
          <w:szCs w:val="22"/>
          <w:lang w:eastAsia="en-AU"/>
        </w:rPr>
        <w:t xml:space="preserve">Regulations amend the </w:t>
      </w:r>
      <w:r w:rsidRPr="00B61AD3">
        <w:rPr>
          <w:rFonts w:cs="Times New Roman"/>
          <w:bCs/>
          <w:szCs w:val="22"/>
          <w:lang w:eastAsia="en-AU"/>
        </w:rPr>
        <w:t>MD Regulations</w:t>
      </w:r>
      <w:r w:rsidRPr="00B61AD3">
        <w:rPr>
          <w:rFonts w:cs="Times New Roman"/>
          <w:szCs w:val="22"/>
          <w:lang w:eastAsia="en-AU"/>
        </w:rPr>
        <w:t xml:space="preserve"> and </w:t>
      </w:r>
      <w:r w:rsidRPr="00B61AD3">
        <w:rPr>
          <w:rFonts w:cs="Times New Roman"/>
          <w:bCs/>
          <w:szCs w:val="22"/>
          <w:lang w:eastAsia="en-AU"/>
        </w:rPr>
        <w:t>the TG Regulations</w:t>
      </w:r>
      <w:r w:rsidRPr="00B61AD3">
        <w:rPr>
          <w:rFonts w:cs="Times New Roman"/>
          <w:szCs w:val="22"/>
          <w:lang w:eastAsia="en-AU"/>
        </w:rPr>
        <w:t>, principally to clarify the</w:t>
      </w:r>
      <w:r w:rsidR="007D1F91" w:rsidRPr="00B61AD3">
        <w:rPr>
          <w:rFonts w:cs="Times New Roman"/>
          <w:szCs w:val="22"/>
          <w:lang w:eastAsia="en-AU"/>
        </w:rPr>
        <w:t xml:space="preserve"> circumstances in </w:t>
      </w:r>
      <w:r w:rsidR="006E0323" w:rsidRPr="00B61AD3">
        <w:rPr>
          <w:rFonts w:cs="Times New Roman"/>
          <w:szCs w:val="22"/>
          <w:lang w:eastAsia="en-AU"/>
        </w:rPr>
        <w:t>which</w:t>
      </w:r>
      <w:r w:rsidRPr="00B61AD3">
        <w:rPr>
          <w:rFonts w:cs="Times New Roman"/>
          <w:szCs w:val="22"/>
          <w:lang w:eastAsia="en-AU"/>
        </w:rPr>
        <w:t xml:space="preserve"> notified vaping</w:t>
      </w:r>
      <w:r w:rsidR="009831A6" w:rsidRPr="00B61AD3">
        <w:rPr>
          <w:rFonts w:cs="Times New Roman"/>
          <w:szCs w:val="22"/>
          <w:lang w:eastAsia="en-AU"/>
        </w:rPr>
        <w:t xml:space="preserve"> goods</w:t>
      </w:r>
      <w:r w:rsidRPr="00B61AD3">
        <w:rPr>
          <w:rFonts w:cs="Times New Roman"/>
          <w:szCs w:val="22"/>
          <w:lang w:eastAsia="en-AU"/>
        </w:rPr>
        <w:t xml:space="preserve"> </w:t>
      </w:r>
      <w:r w:rsidR="00E54F3F" w:rsidRPr="00B61AD3">
        <w:rPr>
          <w:rFonts w:cs="Times New Roman"/>
          <w:szCs w:val="22"/>
          <w:lang w:eastAsia="en-AU"/>
        </w:rPr>
        <w:t xml:space="preserve">are </w:t>
      </w:r>
      <w:r w:rsidRPr="00B61AD3">
        <w:rPr>
          <w:rFonts w:cs="Times New Roman"/>
          <w:szCs w:val="22"/>
          <w:lang w:eastAsia="en-AU"/>
        </w:rPr>
        <w:t>exempt.</w:t>
      </w:r>
    </w:p>
    <w:p w14:paraId="355D4B35" w14:textId="77777777" w:rsidR="00E133B5" w:rsidRPr="00B61AD3" w:rsidRDefault="00E133B5" w:rsidP="00C646C3">
      <w:pPr>
        <w:spacing w:line="240" w:lineRule="auto"/>
        <w:contextualSpacing/>
        <w:rPr>
          <w:rFonts w:cs="Times New Roman"/>
          <w:szCs w:val="22"/>
          <w:lang w:eastAsia="en-AU"/>
        </w:rPr>
      </w:pPr>
    </w:p>
    <w:p w14:paraId="571AF3FD" w14:textId="09F2AA48" w:rsidR="00E133B5" w:rsidRPr="00B61AD3" w:rsidRDefault="00E133B5" w:rsidP="00C646C3">
      <w:pPr>
        <w:spacing w:line="240" w:lineRule="auto"/>
        <w:contextualSpacing/>
        <w:rPr>
          <w:rFonts w:cs="Times New Roman"/>
          <w:szCs w:val="22"/>
          <w:lang w:eastAsia="en-AU"/>
        </w:rPr>
      </w:pPr>
      <w:r w:rsidRPr="00B61AD3">
        <w:rPr>
          <w:rFonts w:cs="Times New Roman"/>
          <w:szCs w:val="22"/>
          <w:lang w:eastAsia="en-AU"/>
        </w:rPr>
        <w:t>Specifically, the Regulations make minor amendments to the description of exempt notified vaping goods to specify that an exemption is only applicable where:</w:t>
      </w:r>
    </w:p>
    <w:p w14:paraId="2A364EE0" w14:textId="77777777" w:rsidR="00492B60" w:rsidRPr="00B61AD3" w:rsidRDefault="00492B60" w:rsidP="00C646C3">
      <w:pPr>
        <w:spacing w:line="240" w:lineRule="auto"/>
        <w:contextualSpacing/>
        <w:rPr>
          <w:rFonts w:cs="Times New Roman"/>
          <w:szCs w:val="22"/>
          <w:lang w:eastAsia="en-AU"/>
        </w:rPr>
      </w:pPr>
    </w:p>
    <w:p w14:paraId="400F128B" w14:textId="33AB01B2" w:rsidR="00E133B5" w:rsidRPr="00B61AD3" w:rsidRDefault="00E133B5" w:rsidP="00C646C3">
      <w:pPr>
        <w:numPr>
          <w:ilvl w:val="0"/>
          <w:numId w:val="15"/>
        </w:numPr>
        <w:spacing w:line="240" w:lineRule="auto"/>
        <w:contextualSpacing/>
        <w:rPr>
          <w:rFonts w:cs="Times New Roman"/>
          <w:szCs w:val="22"/>
          <w:lang w:eastAsia="en-AU"/>
        </w:rPr>
      </w:pPr>
      <w:r w:rsidRPr="00B61AD3">
        <w:rPr>
          <w:rFonts w:cs="Times New Roman"/>
          <w:szCs w:val="22"/>
          <w:lang w:eastAsia="en-AU"/>
        </w:rPr>
        <w:t>the sponsor has provided a relevant noti</w:t>
      </w:r>
      <w:r w:rsidR="00492B60" w:rsidRPr="00B61AD3">
        <w:rPr>
          <w:rFonts w:cs="Times New Roman"/>
          <w:szCs w:val="22"/>
          <w:lang w:eastAsia="en-AU"/>
        </w:rPr>
        <w:t>ce</w:t>
      </w:r>
      <w:r w:rsidRPr="00B61AD3">
        <w:rPr>
          <w:rFonts w:cs="Times New Roman"/>
          <w:szCs w:val="22"/>
          <w:lang w:eastAsia="en-AU"/>
        </w:rPr>
        <w:t xml:space="preserve"> to the </w:t>
      </w:r>
      <w:r w:rsidR="0051427B" w:rsidRPr="00B61AD3">
        <w:rPr>
          <w:rFonts w:cs="Times New Roman"/>
          <w:szCs w:val="22"/>
          <w:lang w:eastAsia="en-AU"/>
        </w:rPr>
        <w:t>TGA</w:t>
      </w:r>
      <w:r w:rsidRPr="00B61AD3">
        <w:rPr>
          <w:rFonts w:cs="Times New Roman"/>
          <w:szCs w:val="22"/>
          <w:lang w:eastAsia="en-AU"/>
        </w:rPr>
        <w:t>;</w:t>
      </w:r>
    </w:p>
    <w:p w14:paraId="42438C4F" w14:textId="77777777" w:rsidR="007F61FC" w:rsidRPr="00B61AD3" w:rsidRDefault="007F61FC" w:rsidP="00C646C3">
      <w:pPr>
        <w:spacing w:line="240" w:lineRule="auto"/>
        <w:ind w:left="720"/>
        <w:contextualSpacing/>
        <w:rPr>
          <w:rFonts w:cs="Times New Roman"/>
          <w:szCs w:val="22"/>
          <w:lang w:eastAsia="en-AU"/>
        </w:rPr>
      </w:pPr>
    </w:p>
    <w:p w14:paraId="1D472BF9" w14:textId="14F5E57A" w:rsidR="00E133B5" w:rsidRPr="00B61AD3" w:rsidRDefault="00E133B5" w:rsidP="00C646C3">
      <w:pPr>
        <w:numPr>
          <w:ilvl w:val="0"/>
          <w:numId w:val="15"/>
        </w:numPr>
        <w:spacing w:line="240" w:lineRule="auto"/>
        <w:contextualSpacing/>
        <w:rPr>
          <w:rFonts w:cs="Times New Roman"/>
          <w:szCs w:val="22"/>
          <w:lang w:eastAsia="en-AU"/>
        </w:rPr>
      </w:pPr>
      <w:r w:rsidRPr="00B61AD3">
        <w:rPr>
          <w:rFonts w:cs="Times New Roman"/>
          <w:szCs w:val="22"/>
          <w:lang w:eastAsia="en-AU"/>
        </w:rPr>
        <w:t>the sponsor has not withdrawn the noti</w:t>
      </w:r>
      <w:r w:rsidR="00492B60" w:rsidRPr="00B61AD3">
        <w:rPr>
          <w:rFonts w:cs="Times New Roman"/>
          <w:szCs w:val="22"/>
          <w:lang w:eastAsia="en-AU"/>
        </w:rPr>
        <w:t>ce</w:t>
      </w:r>
      <w:r w:rsidRPr="00B61AD3">
        <w:rPr>
          <w:rFonts w:cs="Times New Roman"/>
          <w:szCs w:val="22"/>
          <w:lang w:eastAsia="en-AU"/>
        </w:rPr>
        <w:t>; and</w:t>
      </w:r>
    </w:p>
    <w:p w14:paraId="69CB0EF3" w14:textId="77777777" w:rsidR="007F61FC" w:rsidRPr="00B61AD3" w:rsidRDefault="007F61FC" w:rsidP="00C646C3">
      <w:pPr>
        <w:spacing w:line="240" w:lineRule="auto"/>
        <w:contextualSpacing/>
        <w:rPr>
          <w:rFonts w:cs="Times New Roman"/>
          <w:szCs w:val="22"/>
          <w:lang w:eastAsia="en-AU"/>
        </w:rPr>
      </w:pPr>
    </w:p>
    <w:p w14:paraId="4E6EC241" w14:textId="03891A0B" w:rsidR="00E133B5" w:rsidRPr="00B61AD3" w:rsidRDefault="00E133B5" w:rsidP="00C646C3">
      <w:pPr>
        <w:numPr>
          <w:ilvl w:val="0"/>
          <w:numId w:val="15"/>
        </w:numPr>
        <w:spacing w:line="240" w:lineRule="auto"/>
        <w:contextualSpacing/>
        <w:rPr>
          <w:rFonts w:cs="Times New Roman"/>
          <w:szCs w:val="22"/>
          <w:lang w:eastAsia="en-AU"/>
        </w:rPr>
      </w:pPr>
      <w:r w:rsidRPr="00B61AD3">
        <w:rPr>
          <w:rFonts w:cs="Times New Roman"/>
          <w:szCs w:val="22"/>
          <w:lang w:eastAsia="en-AU"/>
        </w:rPr>
        <w:lastRenderedPageBreak/>
        <w:t>the Secretary has not declared that supply of the vaping goods should cease on certain grounds, principally relat</w:t>
      </w:r>
      <w:r w:rsidR="00492B60" w:rsidRPr="00B61AD3">
        <w:rPr>
          <w:rFonts w:cs="Times New Roman"/>
          <w:szCs w:val="22"/>
          <w:lang w:eastAsia="en-AU"/>
        </w:rPr>
        <w:t>ing</w:t>
      </w:r>
      <w:r w:rsidRPr="00B61AD3">
        <w:rPr>
          <w:rFonts w:cs="Times New Roman"/>
          <w:szCs w:val="22"/>
          <w:lang w:eastAsia="en-AU"/>
        </w:rPr>
        <w:t xml:space="preserve"> to the quality and safety of the vaping goods (</w:t>
      </w:r>
      <w:r w:rsidR="00492B60" w:rsidRPr="00B61AD3">
        <w:rPr>
          <w:rFonts w:cs="Times New Roman"/>
          <w:szCs w:val="22"/>
          <w:lang w:eastAsia="en-AU"/>
        </w:rPr>
        <w:t>which is known as</w:t>
      </w:r>
      <w:r w:rsidR="007F61FC" w:rsidRPr="00B61AD3">
        <w:rPr>
          <w:rFonts w:cs="Times New Roman"/>
          <w:szCs w:val="22"/>
          <w:lang w:eastAsia="en-AU"/>
        </w:rPr>
        <w:t xml:space="preserve"> a </w:t>
      </w:r>
      <w:r w:rsidR="00310310" w:rsidRPr="00B61AD3">
        <w:rPr>
          <w:rFonts w:cs="Times New Roman"/>
          <w:szCs w:val="22"/>
          <w:lang w:eastAsia="en-AU"/>
        </w:rPr>
        <w:t>‘</w:t>
      </w:r>
      <w:r w:rsidRPr="00B61AD3">
        <w:rPr>
          <w:rFonts w:cs="Times New Roman"/>
          <w:szCs w:val="22"/>
          <w:lang w:eastAsia="en-AU"/>
        </w:rPr>
        <w:t>cease supply determination</w:t>
      </w:r>
      <w:r w:rsidR="00310310" w:rsidRPr="00B61AD3">
        <w:rPr>
          <w:rFonts w:cs="Times New Roman"/>
          <w:szCs w:val="22"/>
          <w:lang w:eastAsia="en-AU"/>
        </w:rPr>
        <w:t>’</w:t>
      </w:r>
      <w:r w:rsidRPr="00B61AD3">
        <w:rPr>
          <w:rFonts w:cs="Times New Roman"/>
          <w:szCs w:val="22"/>
          <w:lang w:eastAsia="en-AU"/>
        </w:rPr>
        <w:t>).</w:t>
      </w:r>
    </w:p>
    <w:p w14:paraId="0A1F0671" w14:textId="77777777" w:rsidR="00E133B5" w:rsidRPr="00B61AD3" w:rsidRDefault="00E133B5" w:rsidP="00C646C3">
      <w:pPr>
        <w:spacing w:line="240" w:lineRule="auto"/>
        <w:contextualSpacing/>
        <w:rPr>
          <w:rStyle w:val="OPCCharBase"/>
          <w:rFonts w:cs="Times New Roman"/>
          <w:szCs w:val="22"/>
        </w:rPr>
      </w:pPr>
    </w:p>
    <w:p w14:paraId="3C35250F" w14:textId="2A9E0B28" w:rsidR="00E133B5" w:rsidRPr="00B61AD3" w:rsidRDefault="00E133B5" w:rsidP="00413112">
      <w:pPr>
        <w:spacing w:line="240" w:lineRule="auto"/>
        <w:contextualSpacing/>
        <w:rPr>
          <w:rStyle w:val="OPCCharBase"/>
          <w:rFonts w:cs="Times New Roman"/>
          <w:szCs w:val="22"/>
        </w:rPr>
      </w:pPr>
      <w:r w:rsidRPr="00B61AD3">
        <w:rPr>
          <w:rStyle w:val="OPCCharBase"/>
          <w:rFonts w:cs="Times New Roman"/>
          <w:szCs w:val="22"/>
        </w:rPr>
        <w:t xml:space="preserve">The Regulations also </w:t>
      </w:r>
      <w:r w:rsidR="00E8161D" w:rsidRPr="00B61AD3">
        <w:rPr>
          <w:rStyle w:val="OPCCharBase"/>
          <w:rFonts w:cs="Times New Roman"/>
          <w:szCs w:val="22"/>
        </w:rPr>
        <w:t>implement</w:t>
      </w:r>
      <w:r w:rsidRPr="00B61AD3">
        <w:rPr>
          <w:rStyle w:val="OPCCharBase"/>
          <w:rFonts w:cs="Times New Roman"/>
          <w:szCs w:val="22"/>
        </w:rPr>
        <w:t xml:space="preserve"> a small number of other, minor measures, including to:</w:t>
      </w:r>
    </w:p>
    <w:p w14:paraId="0A2E3326" w14:textId="77777777" w:rsidR="00492B60" w:rsidRPr="00B61AD3" w:rsidRDefault="00492B60" w:rsidP="00413112">
      <w:pPr>
        <w:spacing w:line="240" w:lineRule="auto"/>
        <w:contextualSpacing/>
        <w:rPr>
          <w:rStyle w:val="OPCCharBase"/>
          <w:rFonts w:cs="Times New Roman"/>
          <w:szCs w:val="22"/>
        </w:rPr>
      </w:pPr>
    </w:p>
    <w:p w14:paraId="5DDB8F28" w14:textId="0E3A38D2" w:rsidR="00E133B5" w:rsidRPr="00B61AD3" w:rsidRDefault="00E133B5" w:rsidP="00413112">
      <w:pPr>
        <w:pStyle w:val="ListParagraph"/>
        <w:numPr>
          <w:ilvl w:val="0"/>
          <w:numId w:val="17"/>
        </w:numPr>
        <w:spacing w:line="240" w:lineRule="auto"/>
        <w:rPr>
          <w:rStyle w:val="OPCCharBase"/>
          <w:rFonts w:cs="Times New Roman"/>
          <w:szCs w:val="22"/>
        </w:rPr>
      </w:pPr>
      <w:r w:rsidRPr="00B61AD3">
        <w:rPr>
          <w:rStyle w:val="OPCCharBase"/>
          <w:rFonts w:cs="Times New Roman"/>
          <w:szCs w:val="22"/>
        </w:rPr>
        <w:t xml:space="preserve">support the </w:t>
      </w:r>
      <w:r w:rsidRPr="00B61AD3">
        <w:rPr>
          <w:rFonts w:cs="Times New Roman"/>
          <w:szCs w:val="22"/>
          <w:lang w:eastAsia="en-AU"/>
        </w:rPr>
        <w:t>safety</w:t>
      </w:r>
      <w:r w:rsidRPr="00B61AD3">
        <w:rPr>
          <w:rStyle w:val="OPCCharBase"/>
          <w:rFonts w:cs="Times New Roman"/>
          <w:szCs w:val="22"/>
        </w:rPr>
        <w:t xml:space="preserve">, quality and performance of notified vaping goods by updating existing conditions to clarify that notified vaping goods must comply with current versions of the applicable </w:t>
      </w:r>
      <w:r w:rsidR="00310310" w:rsidRPr="00B61AD3">
        <w:rPr>
          <w:rStyle w:val="OPCCharBase"/>
          <w:rFonts w:cs="Times New Roman"/>
          <w:szCs w:val="22"/>
        </w:rPr>
        <w:t xml:space="preserve">product </w:t>
      </w:r>
      <w:r w:rsidRPr="00B61AD3">
        <w:rPr>
          <w:rStyle w:val="OPCCharBase"/>
          <w:rFonts w:cs="Times New Roman"/>
          <w:szCs w:val="22"/>
        </w:rPr>
        <w:t>standards, as updated and in force from time to time;</w:t>
      </w:r>
    </w:p>
    <w:p w14:paraId="59513952" w14:textId="77777777" w:rsidR="007F61FC" w:rsidRPr="00B61AD3" w:rsidRDefault="007F61FC" w:rsidP="00C646C3">
      <w:pPr>
        <w:pStyle w:val="ListParagraph"/>
        <w:spacing w:line="240" w:lineRule="auto"/>
        <w:rPr>
          <w:rStyle w:val="OPCCharBase"/>
          <w:rFonts w:cs="Times New Roman"/>
          <w:szCs w:val="22"/>
        </w:rPr>
      </w:pPr>
    </w:p>
    <w:p w14:paraId="5162FB82" w14:textId="77777777" w:rsidR="00F156FC" w:rsidRPr="00B61AD3" w:rsidRDefault="00F156FC" w:rsidP="00C646C3">
      <w:pPr>
        <w:pStyle w:val="ListParagraph"/>
        <w:numPr>
          <w:ilvl w:val="0"/>
          <w:numId w:val="17"/>
        </w:numPr>
        <w:spacing w:line="240" w:lineRule="auto"/>
        <w:rPr>
          <w:rFonts w:cs="Times New Roman"/>
          <w:szCs w:val="22"/>
        </w:rPr>
      </w:pPr>
      <w:r w:rsidRPr="00B61AD3">
        <w:rPr>
          <w:rStyle w:val="OPCCharBase"/>
          <w:rFonts w:cs="Times New Roman"/>
          <w:szCs w:val="22"/>
        </w:rPr>
        <w:t xml:space="preserve">support the TGA in </w:t>
      </w:r>
      <w:r w:rsidRPr="00B61AD3">
        <w:rPr>
          <w:rFonts w:cs="Times New Roman"/>
          <w:szCs w:val="22"/>
          <w:lang w:eastAsia="en-AU"/>
        </w:rPr>
        <w:t xml:space="preserve">monitoring the lawful supply of notified vaping goods, </w:t>
      </w:r>
      <w:r w:rsidRPr="00B61AD3">
        <w:rPr>
          <w:rStyle w:val="OPCCharBase"/>
          <w:rFonts w:cs="Times New Roman"/>
          <w:szCs w:val="22"/>
        </w:rPr>
        <w:t xml:space="preserve">by enabling the Secretary to require a sponsor to provide information </w:t>
      </w:r>
      <w:r w:rsidRPr="00B61AD3">
        <w:rPr>
          <w:rFonts w:cs="Times New Roman"/>
          <w:szCs w:val="22"/>
          <w:lang w:eastAsia="en-AU"/>
        </w:rPr>
        <w:t xml:space="preserve">in a specified form </w:t>
      </w:r>
      <w:r w:rsidRPr="00B61AD3">
        <w:rPr>
          <w:rStyle w:val="OPCCharBase"/>
          <w:rFonts w:cs="Times New Roman"/>
          <w:szCs w:val="22"/>
        </w:rPr>
        <w:t xml:space="preserve">about the supply of </w:t>
      </w:r>
      <w:r w:rsidRPr="00B61AD3">
        <w:rPr>
          <w:rFonts w:cs="Times New Roman"/>
          <w:szCs w:val="22"/>
          <w:lang w:eastAsia="en-AU"/>
        </w:rPr>
        <w:t>notified vaping goods; and</w:t>
      </w:r>
    </w:p>
    <w:p w14:paraId="222DA345" w14:textId="77777777" w:rsidR="007F61FC" w:rsidRPr="00B61AD3" w:rsidRDefault="007F61FC" w:rsidP="00C646C3">
      <w:pPr>
        <w:spacing w:line="240" w:lineRule="auto"/>
        <w:contextualSpacing/>
        <w:rPr>
          <w:rStyle w:val="OPCCharBase"/>
          <w:rFonts w:cs="Times New Roman"/>
          <w:szCs w:val="22"/>
        </w:rPr>
      </w:pPr>
    </w:p>
    <w:p w14:paraId="3B63A5DE" w14:textId="37CAAA6A" w:rsidR="00E133B5" w:rsidRPr="00B61AD3" w:rsidRDefault="00E133B5" w:rsidP="00C646C3">
      <w:pPr>
        <w:pStyle w:val="ListParagraph"/>
        <w:numPr>
          <w:ilvl w:val="0"/>
          <w:numId w:val="17"/>
        </w:numPr>
        <w:spacing w:line="240" w:lineRule="auto"/>
        <w:rPr>
          <w:rStyle w:val="OPCCharBase"/>
          <w:rFonts w:cs="Times New Roman"/>
          <w:szCs w:val="22"/>
        </w:rPr>
      </w:pPr>
      <w:r w:rsidRPr="00B61AD3">
        <w:rPr>
          <w:rStyle w:val="OPCCharBase"/>
          <w:rFonts w:cs="Times New Roman"/>
          <w:szCs w:val="22"/>
        </w:rPr>
        <w:t xml:space="preserve">make a small number of other minor </w:t>
      </w:r>
      <w:r w:rsidR="00E8161D" w:rsidRPr="00B61AD3">
        <w:rPr>
          <w:rStyle w:val="OPCCharBase"/>
          <w:rFonts w:cs="Times New Roman"/>
          <w:szCs w:val="22"/>
        </w:rPr>
        <w:t>or anci</w:t>
      </w:r>
      <w:r w:rsidR="008041BA" w:rsidRPr="00B61AD3">
        <w:rPr>
          <w:rStyle w:val="OPCCharBase"/>
          <w:rFonts w:cs="Times New Roman"/>
          <w:szCs w:val="22"/>
        </w:rPr>
        <w:t>ll</w:t>
      </w:r>
      <w:r w:rsidR="006653D2" w:rsidRPr="00B61AD3">
        <w:rPr>
          <w:rStyle w:val="OPCCharBase"/>
          <w:rFonts w:cs="Times New Roman"/>
          <w:szCs w:val="22"/>
        </w:rPr>
        <w:t xml:space="preserve">ary </w:t>
      </w:r>
      <w:r w:rsidRPr="00B61AD3">
        <w:rPr>
          <w:rStyle w:val="OPCCharBase"/>
          <w:rFonts w:cs="Times New Roman"/>
          <w:szCs w:val="22"/>
        </w:rPr>
        <w:t xml:space="preserve">amendments, </w:t>
      </w:r>
      <w:r w:rsidR="00492B60" w:rsidRPr="00B61AD3">
        <w:rPr>
          <w:rStyle w:val="OPCCharBase"/>
          <w:rFonts w:cs="Times New Roman"/>
          <w:szCs w:val="22"/>
        </w:rPr>
        <w:t>including amendments</w:t>
      </w:r>
      <w:r w:rsidRPr="00B61AD3">
        <w:rPr>
          <w:rStyle w:val="OPCCharBase"/>
          <w:rFonts w:cs="Times New Roman"/>
          <w:szCs w:val="22"/>
        </w:rPr>
        <w:t xml:space="preserve"> to correct unintended errors.</w:t>
      </w:r>
    </w:p>
    <w:p w14:paraId="5418C28D" w14:textId="77777777" w:rsidR="00D95B16" w:rsidRPr="00B61AD3" w:rsidRDefault="00D95B16" w:rsidP="00C646C3">
      <w:pPr>
        <w:spacing w:line="240" w:lineRule="auto"/>
        <w:contextualSpacing/>
        <w:rPr>
          <w:rFonts w:cs="Times New Roman"/>
          <w:szCs w:val="22"/>
          <w:lang w:eastAsia="en-AU"/>
        </w:rPr>
      </w:pPr>
    </w:p>
    <w:p w14:paraId="3FC8857B" w14:textId="77777777" w:rsidR="00B801F8" w:rsidRPr="00B61AD3" w:rsidRDefault="00D95B16" w:rsidP="00C646C3">
      <w:pPr>
        <w:spacing w:line="240" w:lineRule="auto"/>
        <w:contextualSpacing/>
        <w:rPr>
          <w:rFonts w:cs="Times New Roman"/>
          <w:szCs w:val="22"/>
        </w:rPr>
      </w:pPr>
      <w:r w:rsidRPr="00B61AD3">
        <w:rPr>
          <w:rFonts w:cs="Times New Roman"/>
          <w:szCs w:val="22"/>
        </w:rPr>
        <w:t xml:space="preserve">Details of the Regulations are set out in </w:t>
      </w:r>
      <w:r w:rsidRPr="00B61AD3">
        <w:rPr>
          <w:rFonts w:cs="Times New Roman"/>
          <w:szCs w:val="22"/>
          <w:u w:val="single"/>
        </w:rPr>
        <w:t>Attachment A</w:t>
      </w:r>
      <w:r w:rsidRPr="00B61AD3">
        <w:rPr>
          <w:rFonts w:cs="Times New Roman"/>
          <w:szCs w:val="22"/>
        </w:rPr>
        <w:t>.</w:t>
      </w:r>
    </w:p>
    <w:p w14:paraId="0592E6C7" w14:textId="77777777" w:rsidR="005E023D" w:rsidRPr="00B61AD3" w:rsidRDefault="005E023D" w:rsidP="00C646C3">
      <w:pPr>
        <w:spacing w:line="240" w:lineRule="auto"/>
        <w:contextualSpacing/>
        <w:rPr>
          <w:rFonts w:cs="Times New Roman"/>
          <w:szCs w:val="22"/>
        </w:rPr>
      </w:pPr>
    </w:p>
    <w:p w14:paraId="799C5A5A" w14:textId="5F1A0DDE" w:rsidR="00B801F8" w:rsidRPr="00B61AD3" w:rsidRDefault="00B801F8" w:rsidP="00C646C3">
      <w:pPr>
        <w:spacing w:line="240" w:lineRule="auto"/>
        <w:contextualSpacing/>
        <w:rPr>
          <w:rFonts w:cs="Times New Roman"/>
          <w:szCs w:val="22"/>
        </w:rPr>
      </w:pPr>
      <w:r w:rsidRPr="00B61AD3">
        <w:rPr>
          <w:rFonts w:cs="Times New Roman"/>
          <w:szCs w:val="22"/>
        </w:rPr>
        <w:t xml:space="preserve">The Act specifies no conditions that need to be satisfied before the power to make the Regulations may be exercised. The Regulations are a legislative instrument for the purposes of the </w:t>
      </w:r>
      <w:r w:rsidRPr="00B61AD3">
        <w:rPr>
          <w:rFonts w:cs="Times New Roman"/>
          <w:i/>
          <w:iCs/>
          <w:szCs w:val="22"/>
        </w:rPr>
        <w:t>Legislation Act 2003</w:t>
      </w:r>
      <w:r w:rsidRPr="00B61AD3">
        <w:rPr>
          <w:rFonts w:cs="Times New Roman"/>
          <w:szCs w:val="22"/>
        </w:rPr>
        <w:t>.</w:t>
      </w:r>
    </w:p>
    <w:p w14:paraId="0C7CC25B" w14:textId="77777777" w:rsidR="005E023D" w:rsidRPr="00B61AD3" w:rsidRDefault="005E023D" w:rsidP="00C646C3">
      <w:pPr>
        <w:spacing w:line="240" w:lineRule="auto"/>
        <w:contextualSpacing/>
        <w:rPr>
          <w:rFonts w:cs="Times New Roman"/>
          <w:szCs w:val="22"/>
        </w:rPr>
      </w:pPr>
    </w:p>
    <w:p w14:paraId="6C02003C" w14:textId="1E826C2D" w:rsidR="0014673C" w:rsidRPr="00B61AD3" w:rsidRDefault="00B801F8" w:rsidP="00C646C3">
      <w:pPr>
        <w:spacing w:line="240" w:lineRule="auto"/>
        <w:contextualSpacing/>
        <w:rPr>
          <w:rFonts w:cs="Times New Roman"/>
          <w:szCs w:val="22"/>
        </w:rPr>
      </w:pPr>
      <w:r w:rsidRPr="00B61AD3">
        <w:rPr>
          <w:rFonts w:cs="Times New Roman"/>
          <w:szCs w:val="22"/>
        </w:rPr>
        <w:t>The Regulations commence on the day after registration on the Federal Register of Legislation</w:t>
      </w:r>
      <w:r w:rsidR="0014673C" w:rsidRPr="00B61AD3">
        <w:rPr>
          <w:rFonts w:cs="Times New Roman"/>
          <w:szCs w:val="22"/>
        </w:rPr>
        <w:t>.</w:t>
      </w:r>
    </w:p>
    <w:p w14:paraId="61BD5669" w14:textId="77777777" w:rsidR="0014673C" w:rsidRPr="00B61AD3" w:rsidRDefault="0014673C" w:rsidP="00C646C3">
      <w:pPr>
        <w:spacing w:line="240" w:lineRule="auto"/>
        <w:contextualSpacing/>
        <w:rPr>
          <w:rFonts w:cs="Times New Roman"/>
          <w:szCs w:val="22"/>
        </w:rPr>
      </w:pPr>
    </w:p>
    <w:p w14:paraId="5D166187" w14:textId="51AFD64E" w:rsidR="0014673C" w:rsidRPr="00B61AD3" w:rsidRDefault="0014673C" w:rsidP="00C646C3">
      <w:pPr>
        <w:spacing w:line="240" w:lineRule="auto"/>
        <w:contextualSpacing/>
        <w:rPr>
          <w:rFonts w:cs="Times New Roman"/>
          <w:b/>
          <w:bCs/>
          <w:szCs w:val="22"/>
        </w:rPr>
      </w:pPr>
      <w:r w:rsidRPr="00B61AD3">
        <w:rPr>
          <w:rFonts w:cs="Times New Roman"/>
          <w:b/>
          <w:bCs/>
          <w:szCs w:val="22"/>
        </w:rPr>
        <w:t>Consultation</w:t>
      </w:r>
    </w:p>
    <w:p w14:paraId="6491086E" w14:textId="77777777" w:rsidR="0014673C" w:rsidRPr="00B61AD3" w:rsidRDefault="0014673C" w:rsidP="00C646C3">
      <w:pPr>
        <w:spacing w:line="240" w:lineRule="auto"/>
        <w:contextualSpacing/>
        <w:rPr>
          <w:rFonts w:cs="Times New Roman"/>
          <w:szCs w:val="22"/>
        </w:rPr>
      </w:pPr>
    </w:p>
    <w:p w14:paraId="53662E8B" w14:textId="0A8789AE" w:rsidR="0014673C" w:rsidRPr="00B61AD3" w:rsidRDefault="00634B04" w:rsidP="00C646C3">
      <w:pPr>
        <w:spacing w:line="240" w:lineRule="auto"/>
        <w:contextualSpacing/>
        <w:rPr>
          <w:rFonts w:cs="Times New Roman"/>
          <w:szCs w:val="22"/>
          <w:lang w:eastAsia="en-AU"/>
        </w:rPr>
      </w:pPr>
      <w:r w:rsidRPr="00B61AD3">
        <w:rPr>
          <w:rFonts w:cs="Times New Roman"/>
          <w:szCs w:val="22"/>
          <w:lang w:eastAsia="en-AU"/>
        </w:rPr>
        <w:t>Specific c</w:t>
      </w:r>
      <w:r w:rsidR="005D5E11" w:rsidRPr="00B61AD3">
        <w:rPr>
          <w:rFonts w:cs="Times New Roman"/>
          <w:szCs w:val="22"/>
          <w:lang w:eastAsia="en-AU"/>
        </w:rPr>
        <w:t xml:space="preserve">onsultation was not undertaken </w:t>
      </w:r>
      <w:r w:rsidRPr="00B61AD3">
        <w:rPr>
          <w:rFonts w:cs="Times New Roman"/>
          <w:szCs w:val="22"/>
          <w:lang w:eastAsia="en-AU"/>
        </w:rPr>
        <w:t>in relation</w:t>
      </w:r>
      <w:r w:rsidR="0069212E" w:rsidRPr="00B61AD3">
        <w:rPr>
          <w:rFonts w:cs="Times New Roman"/>
          <w:szCs w:val="22"/>
          <w:lang w:eastAsia="en-AU"/>
        </w:rPr>
        <w:t xml:space="preserve"> to</w:t>
      </w:r>
      <w:r w:rsidRPr="00B61AD3">
        <w:rPr>
          <w:rFonts w:cs="Times New Roman"/>
          <w:szCs w:val="22"/>
          <w:lang w:eastAsia="en-AU"/>
        </w:rPr>
        <w:t xml:space="preserve"> </w:t>
      </w:r>
      <w:r w:rsidR="005D5E11" w:rsidRPr="00B61AD3">
        <w:rPr>
          <w:rFonts w:cs="Times New Roman"/>
          <w:szCs w:val="22"/>
          <w:lang w:eastAsia="en-AU"/>
        </w:rPr>
        <w:t xml:space="preserve">the </w:t>
      </w:r>
      <w:r w:rsidR="00492B60" w:rsidRPr="00B61AD3">
        <w:rPr>
          <w:rFonts w:cs="Times New Roman"/>
          <w:szCs w:val="22"/>
          <w:lang w:eastAsia="en-AU"/>
        </w:rPr>
        <w:t xml:space="preserve">Regulations </w:t>
      </w:r>
      <w:r w:rsidR="005D5E11" w:rsidRPr="00B61AD3">
        <w:rPr>
          <w:rFonts w:cs="Times New Roman"/>
          <w:szCs w:val="22"/>
          <w:lang w:eastAsia="en-AU"/>
        </w:rPr>
        <w:t>as the</w:t>
      </w:r>
      <w:r w:rsidR="00492B60" w:rsidRPr="00B61AD3">
        <w:rPr>
          <w:rFonts w:cs="Times New Roman"/>
          <w:szCs w:val="22"/>
          <w:lang w:eastAsia="en-AU"/>
        </w:rPr>
        <w:t xml:space="preserve"> measures</w:t>
      </w:r>
      <w:r w:rsidR="005D5E11" w:rsidRPr="00B61AD3">
        <w:rPr>
          <w:rFonts w:cs="Times New Roman"/>
          <w:szCs w:val="22"/>
          <w:lang w:eastAsia="en-AU"/>
        </w:rPr>
        <w:t xml:space="preserve"> are minor</w:t>
      </w:r>
      <w:r w:rsidR="00492B60" w:rsidRPr="00B61AD3">
        <w:rPr>
          <w:rFonts w:cs="Times New Roman"/>
          <w:szCs w:val="22"/>
          <w:lang w:eastAsia="en-AU"/>
        </w:rPr>
        <w:t>,</w:t>
      </w:r>
      <w:r w:rsidR="00B16F49" w:rsidRPr="00B61AD3">
        <w:rPr>
          <w:rFonts w:cs="Times New Roman"/>
          <w:szCs w:val="22"/>
          <w:lang w:eastAsia="en-AU"/>
        </w:rPr>
        <w:t xml:space="preserve"> machinery</w:t>
      </w:r>
      <w:r w:rsidR="005D5E11" w:rsidRPr="00B61AD3">
        <w:rPr>
          <w:rFonts w:cs="Times New Roman"/>
          <w:szCs w:val="22"/>
          <w:lang w:eastAsia="en-AU"/>
        </w:rPr>
        <w:t>, technical</w:t>
      </w:r>
      <w:r w:rsidR="00B16F49" w:rsidRPr="00B61AD3">
        <w:rPr>
          <w:rFonts w:cs="Times New Roman"/>
          <w:szCs w:val="22"/>
          <w:lang w:eastAsia="en-AU"/>
        </w:rPr>
        <w:t xml:space="preserve"> in nature</w:t>
      </w:r>
      <w:r w:rsidR="007F273F" w:rsidRPr="00B61AD3">
        <w:rPr>
          <w:rFonts w:cs="Times New Roman"/>
          <w:szCs w:val="22"/>
          <w:lang w:eastAsia="en-AU"/>
        </w:rPr>
        <w:t>,</w:t>
      </w:r>
      <w:r w:rsidR="005D5E11" w:rsidRPr="00B61AD3">
        <w:rPr>
          <w:rFonts w:cs="Times New Roman"/>
          <w:szCs w:val="22"/>
          <w:lang w:eastAsia="en-AU"/>
        </w:rPr>
        <w:t xml:space="preserve"> or consequential </w:t>
      </w:r>
      <w:r w:rsidR="007F273F" w:rsidRPr="00B61AD3">
        <w:rPr>
          <w:rFonts w:cs="Times New Roman"/>
          <w:szCs w:val="22"/>
          <w:lang w:eastAsia="en-AU"/>
        </w:rPr>
        <w:t xml:space="preserve">to </w:t>
      </w:r>
      <w:r w:rsidR="005D5E11" w:rsidRPr="00B61AD3">
        <w:rPr>
          <w:rFonts w:cs="Times New Roman"/>
          <w:szCs w:val="22"/>
          <w:lang w:eastAsia="en-AU"/>
        </w:rPr>
        <w:t>the broader reforms</w:t>
      </w:r>
      <w:r w:rsidR="00DD0102" w:rsidRPr="00B61AD3">
        <w:rPr>
          <w:rFonts w:cs="Times New Roman"/>
          <w:szCs w:val="22"/>
          <w:lang w:eastAsia="en-AU"/>
        </w:rPr>
        <w:t xml:space="preserve">. Significant consultation </w:t>
      </w:r>
      <w:r w:rsidR="00B74CE9" w:rsidRPr="00B61AD3">
        <w:rPr>
          <w:rFonts w:cs="Times New Roman"/>
          <w:szCs w:val="22"/>
          <w:lang w:eastAsia="en-AU"/>
        </w:rPr>
        <w:t>was separately</w:t>
      </w:r>
      <w:r w:rsidR="005D5E11" w:rsidRPr="00B61AD3">
        <w:rPr>
          <w:rFonts w:cs="Times New Roman"/>
          <w:szCs w:val="22"/>
          <w:lang w:eastAsia="en-AU"/>
        </w:rPr>
        <w:t xml:space="preserve"> undertaken by the TGA</w:t>
      </w:r>
      <w:r w:rsidR="0069212E" w:rsidRPr="00B61AD3">
        <w:rPr>
          <w:rFonts w:cs="Times New Roman"/>
          <w:szCs w:val="22"/>
          <w:lang w:eastAsia="en-AU"/>
        </w:rPr>
        <w:t xml:space="preserve"> in</w:t>
      </w:r>
      <w:r w:rsidR="00B74CE9" w:rsidRPr="00B61AD3">
        <w:rPr>
          <w:rFonts w:cs="Times New Roman"/>
          <w:szCs w:val="22"/>
          <w:lang w:eastAsia="en-AU"/>
        </w:rPr>
        <w:t xml:space="preserve"> </w:t>
      </w:r>
      <w:r w:rsidR="00B54891" w:rsidRPr="00B61AD3">
        <w:rPr>
          <w:rFonts w:cs="Times New Roman"/>
          <w:szCs w:val="22"/>
        </w:rPr>
        <w:t xml:space="preserve">relation to the Government’s vaping reform measures, which included the </w:t>
      </w:r>
      <w:r w:rsidR="00492B60" w:rsidRPr="00B61AD3">
        <w:rPr>
          <w:rFonts w:cs="Times New Roman"/>
          <w:i/>
          <w:iCs/>
          <w:szCs w:val="22"/>
        </w:rPr>
        <w:t xml:space="preserve">Therapeutic Goods Legislation Amendment (Vaping) Regulations </w:t>
      </w:r>
      <w:r w:rsidR="00B54891" w:rsidRPr="00B61AD3">
        <w:rPr>
          <w:rFonts w:cs="Times New Roman"/>
          <w:i/>
          <w:iCs/>
          <w:szCs w:val="22"/>
        </w:rPr>
        <w:t>2023</w:t>
      </w:r>
      <w:r w:rsidR="00B54891" w:rsidRPr="00B61AD3">
        <w:rPr>
          <w:rFonts w:cs="Times New Roman"/>
          <w:szCs w:val="22"/>
        </w:rPr>
        <w:t xml:space="preserve">, the </w:t>
      </w:r>
      <w:r w:rsidR="00B54891" w:rsidRPr="00B61AD3">
        <w:rPr>
          <w:rFonts w:cs="Times New Roman"/>
          <w:i/>
          <w:iCs/>
          <w:szCs w:val="22"/>
        </w:rPr>
        <w:t>Therapeutic Goods and Other Legislation Amendment (Vaping Reforms) Act 2024</w:t>
      </w:r>
      <w:r w:rsidR="00B54891" w:rsidRPr="00B61AD3">
        <w:rPr>
          <w:rFonts w:cs="Times New Roman"/>
          <w:szCs w:val="22"/>
        </w:rPr>
        <w:t>, and related legislative instruments</w:t>
      </w:r>
      <w:r w:rsidR="005D5E11" w:rsidRPr="00B61AD3">
        <w:rPr>
          <w:rFonts w:cs="Times New Roman"/>
          <w:szCs w:val="22"/>
          <w:lang w:eastAsia="en-AU"/>
        </w:rPr>
        <w:t>.</w:t>
      </w:r>
    </w:p>
    <w:p w14:paraId="7AD01A2D" w14:textId="501D96C0" w:rsidR="00994F79" w:rsidRPr="00B61AD3" w:rsidRDefault="00994F79" w:rsidP="00C646C3">
      <w:pPr>
        <w:spacing w:line="240" w:lineRule="auto"/>
        <w:contextualSpacing/>
        <w:rPr>
          <w:rFonts w:cs="Times New Roman"/>
          <w:szCs w:val="22"/>
        </w:rPr>
      </w:pPr>
    </w:p>
    <w:p w14:paraId="595DD910" w14:textId="466CE262" w:rsidR="002B327B" w:rsidRPr="00B61AD3" w:rsidRDefault="00994F79" w:rsidP="00C646C3">
      <w:pPr>
        <w:spacing w:line="240" w:lineRule="auto"/>
        <w:contextualSpacing/>
        <w:rPr>
          <w:rFonts w:cs="Times New Roman"/>
          <w:szCs w:val="22"/>
        </w:rPr>
      </w:pPr>
      <w:r w:rsidRPr="00B61AD3">
        <w:rPr>
          <w:rFonts w:cs="Times New Roman"/>
          <w:szCs w:val="22"/>
        </w:rPr>
        <w:t xml:space="preserve">The Office of Impact Analysis has advised that the preparation of an </w:t>
      </w:r>
      <w:r w:rsidR="00492B60" w:rsidRPr="00B61AD3">
        <w:rPr>
          <w:rFonts w:cs="Times New Roman"/>
          <w:szCs w:val="22"/>
        </w:rPr>
        <w:t>i</w:t>
      </w:r>
      <w:r w:rsidRPr="00B61AD3">
        <w:rPr>
          <w:rFonts w:cs="Times New Roman"/>
          <w:szCs w:val="22"/>
        </w:rPr>
        <w:t xml:space="preserve">mpact </w:t>
      </w:r>
      <w:r w:rsidR="00492B60" w:rsidRPr="00B61AD3">
        <w:rPr>
          <w:rFonts w:cs="Times New Roman"/>
          <w:szCs w:val="22"/>
        </w:rPr>
        <w:t>a</w:t>
      </w:r>
      <w:r w:rsidRPr="00B61AD3">
        <w:rPr>
          <w:rFonts w:cs="Times New Roman"/>
          <w:szCs w:val="22"/>
        </w:rPr>
        <w:t xml:space="preserve">nalysis in relation to the </w:t>
      </w:r>
      <w:r w:rsidR="00FD6062" w:rsidRPr="00B61AD3">
        <w:rPr>
          <w:rFonts w:cs="Times New Roman"/>
          <w:szCs w:val="22"/>
        </w:rPr>
        <w:t>Regulations</w:t>
      </w:r>
      <w:r w:rsidRPr="00B61AD3">
        <w:rPr>
          <w:rFonts w:cs="Times New Roman"/>
          <w:szCs w:val="22"/>
        </w:rPr>
        <w:t xml:space="preserve"> is not required (OIA24-08080).</w:t>
      </w:r>
    </w:p>
    <w:p w14:paraId="0E8C353B" w14:textId="77777777" w:rsidR="002B327B" w:rsidRPr="00B61AD3" w:rsidRDefault="002B327B" w:rsidP="00C646C3">
      <w:pPr>
        <w:spacing w:line="240" w:lineRule="auto"/>
        <w:contextualSpacing/>
        <w:rPr>
          <w:rFonts w:cs="Times New Roman"/>
          <w:szCs w:val="22"/>
        </w:rPr>
      </w:pPr>
    </w:p>
    <w:p w14:paraId="33E2CEFC" w14:textId="317171D1" w:rsidR="002B327B" w:rsidRPr="00B61AD3" w:rsidRDefault="002B327B" w:rsidP="00C646C3">
      <w:pPr>
        <w:autoSpaceDE w:val="0"/>
        <w:autoSpaceDN w:val="0"/>
        <w:adjustRightInd w:val="0"/>
        <w:spacing w:line="240" w:lineRule="auto"/>
        <w:contextualSpacing/>
        <w:jc w:val="right"/>
        <w:rPr>
          <w:rFonts w:cs="Times New Roman"/>
          <w:szCs w:val="22"/>
          <w14:ligatures w14:val="standardContextual"/>
        </w:rPr>
      </w:pPr>
      <w:r w:rsidRPr="00B61AD3">
        <w:rPr>
          <w:rFonts w:cs="Times New Roman"/>
          <w:szCs w:val="22"/>
          <w:u w:val="single"/>
          <w14:ligatures w14:val="standardContextual"/>
        </w:rPr>
        <w:t>Authority</w:t>
      </w:r>
      <w:r w:rsidRPr="00B61AD3">
        <w:rPr>
          <w:rFonts w:cs="Times New Roman"/>
          <w:szCs w:val="22"/>
          <w14:ligatures w14:val="standardContextual"/>
        </w:rPr>
        <w:t>: Subsection</w:t>
      </w:r>
      <w:r w:rsidR="0069212E" w:rsidRPr="00B61AD3">
        <w:rPr>
          <w:rFonts w:cs="Times New Roman"/>
          <w:szCs w:val="22"/>
          <w14:ligatures w14:val="standardContextual"/>
        </w:rPr>
        <w:t>s 3(1) (definition of ‘commercial quantity’),</w:t>
      </w:r>
      <w:r w:rsidR="0069212E" w:rsidRPr="00B61AD3">
        <w:rPr>
          <w:rFonts w:cs="Times New Roman"/>
          <w:szCs w:val="22"/>
          <w14:ligatures w14:val="standardContextual"/>
        </w:rPr>
        <w:br/>
        <w:t>18(1), 41HA(1) and</w:t>
      </w:r>
      <w:r w:rsidRPr="00B61AD3">
        <w:rPr>
          <w:rFonts w:cs="Times New Roman"/>
          <w:szCs w:val="22"/>
          <w14:ligatures w14:val="standardContextual"/>
        </w:rPr>
        <w:t xml:space="preserve"> 63(1)</w:t>
      </w:r>
      <w:r w:rsidR="0069212E" w:rsidRPr="00B61AD3">
        <w:rPr>
          <w:rFonts w:cs="Times New Roman"/>
          <w:szCs w:val="22"/>
          <w14:ligatures w14:val="standardContextual"/>
        </w:rPr>
        <w:br/>
      </w:r>
      <w:r w:rsidRPr="00B61AD3">
        <w:rPr>
          <w:rFonts w:cs="Times New Roman"/>
          <w:szCs w:val="22"/>
          <w14:ligatures w14:val="standardContextual"/>
        </w:rPr>
        <w:t xml:space="preserve">of the </w:t>
      </w:r>
      <w:r w:rsidRPr="00B61AD3">
        <w:rPr>
          <w:rFonts w:cs="Times New Roman"/>
          <w:i/>
          <w:iCs/>
          <w:szCs w:val="22"/>
          <w14:ligatures w14:val="standardContextual"/>
        </w:rPr>
        <w:t>Therapeutic Goods Act 1989</w:t>
      </w:r>
    </w:p>
    <w:p w14:paraId="39A3752B" w14:textId="005D18C7" w:rsidR="00384135" w:rsidRPr="00B61AD3" w:rsidRDefault="00384135" w:rsidP="00C646C3">
      <w:pPr>
        <w:spacing w:line="240" w:lineRule="auto"/>
        <w:contextualSpacing/>
        <w:rPr>
          <w:rFonts w:cs="Times New Roman"/>
          <w:b/>
          <w:bCs/>
          <w:szCs w:val="22"/>
        </w:rPr>
      </w:pPr>
      <w:r w:rsidRPr="00B61AD3">
        <w:rPr>
          <w:rFonts w:cs="Times New Roman"/>
          <w:szCs w:val="22"/>
        </w:rPr>
        <w:br w:type="page"/>
      </w:r>
    </w:p>
    <w:p w14:paraId="21835863" w14:textId="353353A1" w:rsidR="00384135" w:rsidRPr="00B61AD3" w:rsidRDefault="00384135" w:rsidP="00C646C3">
      <w:pPr>
        <w:spacing w:line="240" w:lineRule="auto"/>
        <w:ind w:left="6237" w:firstLine="3"/>
        <w:contextualSpacing/>
        <w:jc w:val="right"/>
        <w:rPr>
          <w:rFonts w:cs="Times New Roman"/>
          <w:b/>
          <w:szCs w:val="22"/>
          <w:u w:val="single"/>
        </w:rPr>
      </w:pPr>
      <w:r w:rsidRPr="00B61AD3">
        <w:rPr>
          <w:rFonts w:cs="Times New Roman"/>
          <w:b/>
          <w:szCs w:val="22"/>
          <w:u w:val="single"/>
        </w:rPr>
        <w:lastRenderedPageBreak/>
        <w:t>ATTACHMENT A</w:t>
      </w:r>
    </w:p>
    <w:p w14:paraId="46E29599" w14:textId="77777777" w:rsidR="00384135" w:rsidRPr="00B61AD3" w:rsidRDefault="00384135" w:rsidP="00C646C3">
      <w:pPr>
        <w:spacing w:line="240" w:lineRule="auto"/>
        <w:ind w:firstLine="3"/>
        <w:contextualSpacing/>
        <w:rPr>
          <w:rFonts w:cs="Times New Roman"/>
          <w:bCs/>
          <w:szCs w:val="22"/>
        </w:rPr>
      </w:pPr>
    </w:p>
    <w:p w14:paraId="7D91DAEE" w14:textId="77777777" w:rsidR="00384135" w:rsidRPr="00B61AD3" w:rsidRDefault="00384135" w:rsidP="00C646C3">
      <w:pPr>
        <w:spacing w:line="240" w:lineRule="auto"/>
        <w:ind w:firstLine="3"/>
        <w:contextualSpacing/>
        <w:rPr>
          <w:rFonts w:cs="Times New Roman"/>
          <w:bCs/>
          <w:szCs w:val="22"/>
        </w:rPr>
      </w:pPr>
    </w:p>
    <w:p w14:paraId="5F88E02F" w14:textId="32CEF1B0" w:rsidR="00384135" w:rsidRPr="00B61AD3" w:rsidRDefault="00384135" w:rsidP="00C646C3">
      <w:pPr>
        <w:spacing w:line="240" w:lineRule="auto"/>
        <w:ind w:firstLine="3"/>
        <w:contextualSpacing/>
        <w:rPr>
          <w:rFonts w:cs="Times New Roman"/>
          <w:b/>
          <w:bCs/>
          <w:i/>
          <w:iCs/>
          <w:caps/>
          <w:szCs w:val="22"/>
          <w:u w:val="single"/>
        </w:rPr>
      </w:pPr>
      <w:r w:rsidRPr="00B61AD3">
        <w:rPr>
          <w:rFonts w:cs="Times New Roman"/>
          <w:b/>
          <w:bCs/>
          <w:szCs w:val="22"/>
          <w:u w:val="single"/>
        </w:rPr>
        <w:t xml:space="preserve">Details of the </w:t>
      </w:r>
      <w:r w:rsidRPr="00B61AD3">
        <w:rPr>
          <w:rFonts w:cs="Times New Roman"/>
          <w:b/>
          <w:bCs/>
          <w:i/>
          <w:iCs/>
          <w:szCs w:val="22"/>
          <w:u w:val="single"/>
        </w:rPr>
        <w:t xml:space="preserve">Therapeutic Goods </w:t>
      </w:r>
      <w:r w:rsidR="0069212E" w:rsidRPr="00B61AD3">
        <w:rPr>
          <w:rFonts w:cs="Times New Roman"/>
          <w:b/>
          <w:bCs/>
          <w:i/>
          <w:iCs/>
          <w:szCs w:val="22"/>
          <w:u w:val="single"/>
        </w:rPr>
        <w:t xml:space="preserve">Legislation </w:t>
      </w:r>
      <w:r w:rsidRPr="00B61AD3">
        <w:rPr>
          <w:rFonts w:cs="Times New Roman"/>
          <w:b/>
          <w:bCs/>
          <w:i/>
          <w:iCs/>
          <w:szCs w:val="22"/>
          <w:u w:val="single"/>
        </w:rPr>
        <w:t xml:space="preserve">Amendment (2024 Measures No. </w:t>
      </w:r>
      <w:r w:rsidR="6A210A36" w:rsidRPr="00B61AD3">
        <w:rPr>
          <w:rFonts w:cs="Times New Roman"/>
          <w:b/>
          <w:bCs/>
          <w:i/>
          <w:iCs/>
          <w:szCs w:val="22"/>
          <w:u w:val="single"/>
        </w:rPr>
        <w:t>3</w:t>
      </w:r>
      <w:r w:rsidRPr="00B61AD3">
        <w:rPr>
          <w:rFonts w:cs="Times New Roman"/>
          <w:b/>
          <w:bCs/>
          <w:i/>
          <w:iCs/>
          <w:szCs w:val="22"/>
          <w:u w:val="single"/>
        </w:rPr>
        <w:t>) Regulations 2024</w:t>
      </w:r>
    </w:p>
    <w:p w14:paraId="194ACACD" w14:textId="77777777" w:rsidR="00E71A25" w:rsidRPr="00B61AD3" w:rsidRDefault="00E71A25" w:rsidP="00C646C3">
      <w:pPr>
        <w:spacing w:line="240" w:lineRule="auto"/>
        <w:contextualSpacing/>
        <w:rPr>
          <w:rFonts w:cs="Times New Roman"/>
          <w:szCs w:val="22"/>
        </w:rPr>
      </w:pPr>
    </w:p>
    <w:p w14:paraId="57B4DDAA" w14:textId="77777777" w:rsidR="00E71A25" w:rsidRPr="00B61AD3" w:rsidRDefault="00E71A25" w:rsidP="00C646C3">
      <w:pPr>
        <w:spacing w:line="240" w:lineRule="auto"/>
        <w:ind w:firstLine="3"/>
        <w:contextualSpacing/>
        <w:rPr>
          <w:rFonts w:cs="Times New Roman"/>
          <w:szCs w:val="22"/>
          <w:u w:val="single"/>
        </w:rPr>
      </w:pPr>
      <w:r w:rsidRPr="00B61AD3">
        <w:rPr>
          <w:rFonts w:cs="Times New Roman"/>
          <w:szCs w:val="22"/>
          <w:u w:val="single"/>
        </w:rPr>
        <w:t>Section 1 – Name</w:t>
      </w:r>
    </w:p>
    <w:p w14:paraId="50A8A00B" w14:textId="77777777" w:rsidR="00E71A25" w:rsidRPr="00B61AD3" w:rsidRDefault="00E71A25" w:rsidP="00C646C3">
      <w:pPr>
        <w:spacing w:line="240" w:lineRule="auto"/>
        <w:ind w:firstLine="3"/>
        <w:contextualSpacing/>
        <w:rPr>
          <w:rFonts w:cs="Times New Roman"/>
          <w:szCs w:val="22"/>
        </w:rPr>
      </w:pPr>
    </w:p>
    <w:p w14:paraId="7010A54D" w14:textId="00947C18" w:rsidR="00E71A25" w:rsidRPr="00B61AD3" w:rsidRDefault="00E71A25" w:rsidP="00C646C3">
      <w:pPr>
        <w:spacing w:line="240" w:lineRule="auto"/>
        <w:ind w:firstLine="3"/>
        <w:contextualSpacing/>
        <w:rPr>
          <w:rFonts w:cs="Times New Roman"/>
          <w:i/>
          <w:iCs/>
          <w:szCs w:val="22"/>
        </w:rPr>
      </w:pPr>
      <w:r w:rsidRPr="00B61AD3">
        <w:rPr>
          <w:rFonts w:cs="Times New Roman"/>
          <w:szCs w:val="22"/>
        </w:rPr>
        <w:t xml:space="preserve">This section provides that the title of the Regulations is the </w:t>
      </w:r>
      <w:r w:rsidRPr="00B61AD3">
        <w:rPr>
          <w:rFonts w:cs="Times New Roman"/>
          <w:i/>
          <w:iCs/>
          <w:szCs w:val="22"/>
        </w:rPr>
        <w:t>Therapeutic Goods Legislation Amendment (2024 Measures No. 3) Regulations 2024</w:t>
      </w:r>
      <w:r w:rsidR="000E3F06" w:rsidRPr="00B61AD3">
        <w:rPr>
          <w:rFonts w:cs="Times New Roman"/>
          <w:szCs w:val="22"/>
        </w:rPr>
        <w:t xml:space="preserve"> (the Regulations)</w:t>
      </w:r>
      <w:r w:rsidRPr="00B61AD3">
        <w:rPr>
          <w:rFonts w:cs="Times New Roman"/>
          <w:i/>
          <w:iCs/>
          <w:szCs w:val="22"/>
        </w:rPr>
        <w:t>.</w:t>
      </w:r>
    </w:p>
    <w:p w14:paraId="49A27CF9" w14:textId="77777777" w:rsidR="00E71A25" w:rsidRPr="00B61AD3" w:rsidRDefault="00E71A25" w:rsidP="00C646C3">
      <w:pPr>
        <w:spacing w:line="240" w:lineRule="auto"/>
        <w:ind w:firstLine="3"/>
        <w:contextualSpacing/>
        <w:rPr>
          <w:rFonts w:cs="Times New Roman"/>
          <w:szCs w:val="22"/>
        </w:rPr>
      </w:pPr>
    </w:p>
    <w:p w14:paraId="79A13BFD" w14:textId="77777777" w:rsidR="00E71A25" w:rsidRPr="00B61AD3" w:rsidRDefault="00E71A25" w:rsidP="00C646C3">
      <w:pPr>
        <w:spacing w:line="240" w:lineRule="auto"/>
        <w:ind w:firstLine="3"/>
        <w:contextualSpacing/>
        <w:rPr>
          <w:rFonts w:cs="Times New Roman"/>
          <w:szCs w:val="22"/>
          <w:u w:val="single"/>
        </w:rPr>
      </w:pPr>
      <w:r w:rsidRPr="00B61AD3">
        <w:rPr>
          <w:rFonts w:cs="Times New Roman"/>
          <w:szCs w:val="22"/>
          <w:u w:val="single"/>
        </w:rPr>
        <w:t>Section 2 – Commencement</w:t>
      </w:r>
    </w:p>
    <w:p w14:paraId="39874974" w14:textId="77777777" w:rsidR="00E71A25" w:rsidRPr="00B61AD3" w:rsidRDefault="00E71A25" w:rsidP="00C646C3">
      <w:pPr>
        <w:spacing w:line="240" w:lineRule="auto"/>
        <w:ind w:firstLine="3"/>
        <w:contextualSpacing/>
        <w:rPr>
          <w:rFonts w:cs="Times New Roman"/>
          <w:szCs w:val="22"/>
        </w:rPr>
      </w:pPr>
    </w:p>
    <w:p w14:paraId="1619BA64" w14:textId="11CFED0B" w:rsidR="00E71A25" w:rsidRPr="00B61AD3" w:rsidRDefault="00E71A25" w:rsidP="00C646C3">
      <w:pPr>
        <w:spacing w:line="240" w:lineRule="auto"/>
        <w:contextualSpacing/>
        <w:rPr>
          <w:rFonts w:cs="Times New Roman"/>
          <w:szCs w:val="22"/>
        </w:rPr>
      </w:pPr>
      <w:bookmarkStart w:id="1" w:name="_Hlk130823315"/>
      <w:r w:rsidRPr="00B61AD3">
        <w:rPr>
          <w:rFonts w:cs="Times New Roman"/>
          <w:szCs w:val="22"/>
        </w:rPr>
        <w:t xml:space="preserve">This section provides for the Regulations </w:t>
      </w:r>
      <w:r w:rsidR="000E3F06" w:rsidRPr="00B61AD3">
        <w:rPr>
          <w:rFonts w:cs="Times New Roman"/>
          <w:szCs w:val="22"/>
        </w:rPr>
        <w:t xml:space="preserve">to commence </w:t>
      </w:r>
      <w:r w:rsidRPr="00B61AD3">
        <w:rPr>
          <w:rFonts w:cs="Times New Roman"/>
          <w:szCs w:val="22"/>
        </w:rPr>
        <w:t>on the day after registration on the Federal Register of Legislation.</w:t>
      </w:r>
    </w:p>
    <w:bookmarkEnd w:id="1"/>
    <w:p w14:paraId="74103A3C" w14:textId="77777777" w:rsidR="00E71A25" w:rsidRPr="00B61AD3" w:rsidRDefault="00E71A25" w:rsidP="00C646C3">
      <w:pPr>
        <w:spacing w:line="240" w:lineRule="auto"/>
        <w:contextualSpacing/>
        <w:rPr>
          <w:rFonts w:cs="Times New Roman"/>
          <w:szCs w:val="22"/>
        </w:rPr>
      </w:pPr>
    </w:p>
    <w:p w14:paraId="2D96FA92" w14:textId="77777777" w:rsidR="00E71A25" w:rsidRPr="00B61AD3" w:rsidRDefault="00E71A25" w:rsidP="00C646C3">
      <w:pPr>
        <w:spacing w:line="240" w:lineRule="auto"/>
        <w:ind w:firstLine="3"/>
        <w:contextualSpacing/>
        <w:rPr>
          <w:rFonts w:cs="Times New Roman"/>
          <w:szCs w:val="22"/>
          <w:u w:val="single"/>
        </w:rPr>
      </w:pPr>
      <w:r w:rsidRPr="00B61AD3">
        <w:rPr>
          <w:rFonts w:cs="Times New Roman"/>
          <w:szCs w:val="22"/>
          <w:u w:val="single"/>
        </w:rPr>
        <w:t>Section 3 – Authority</w:t>
      </w:r>
    </w:p>
    <w:p w14:paraId="141786BD" w14:textId="77777777" w:rsidR="00E71A25" w:rsidRPr="00B61AD3" w:rsidRDefault="00E71A25" w:rsidP="00C646C3">
      <w:pPr>
        <w:spacing w:line="240" w:lineRule="auto"/>
        <w:ind w:firstLine="3"/>
        <w:contextualSpacing/>
        <w:rPr>
          <w:rFonts w:cs="Times New Roman"/>
          <w:szCs w:val="22"/>
        </w:rPr>
      </w:pPr>
    </w:p>
    <w:p w14:paraId="6598B003" w14:textId="4F09DD8D" w:rsidR="00E71A25" w:rsidRPr="00B61AD3" w:rsidRDefault="00E71A25" w:rsidP="00C646C3">
      <w:pPr>
        <w:spacing w:line="240" w:lineRule="auto"/>
        <w:ind w:firstLine="3"/>
        <w:contextualSpacing/>
        <w:rPr>
          <w:rFonts w:cs="Times New Roman"/>
          <w:szCs w:val="22"/>
        </w:rPr>
      </w:pPr>
      <w:r w:rsidRPr="00B61AD3">
        <w:rPr>
          <w:rFonts w:cs="Times New Roman"/>
          <w:szCs w:val="22"/>
        </w:rPr>
        <w:t>This section provide</w:t>
      </w:r>
      <w:r w:rsidR="00DA0E9E" w:rsidRPr="00B61AD3">
        <w:rPr>
          <w:rFonts w:cs="Times New Roman"/>
          <w:szCs w:val="22"/>
        </w:rPr>
        <w:t>s</w:t>
      </w:r>
      <w:r w:rsidRPr="00B61AD3">
        <w:rPr>
          <w:rFonts w:cs="Times New Roman"/>
          <w:szCs w:val="22"/>
        </w:rPr>
        <w:t xml:space="preserve"> that the </w:t>
      </w:r>
      <w:r w:rsidR="000E3F06" w:rsidRPr="00B61AD3">
        <w:rPr>
          <w:rFonts w:cs="Times New Roman"/>
          <w:i/>
          <w:iCs/>
          <w:szCs w:val="22"/>
        </w:rPr>
        <w:t>Therapeutic Goods Legislation Amendment (2024 Measures No. 3) Regulations 2024</w:t>
      </w:r>
      <w:r w:rsidR="000E3F06" w:rsidRPr="00B61AD3">
        <w:rPr>
          <w:rFonts w:cs="Times New Roman"/>
          <w:szCs w:val="22"/>
        </w:rPr>
        <w:t xml:space="preserve"> </w:t>
      </w:r>
      <w:r w:rsidR="000A7F89" w:rsidRPr="00B61AD3">
        <w:rPr>
          <w:rFonts w:cs="Times New Roman"/>
          <w:szCs w:val="22"/>
        </w:rPr>
        <w:t>are</w:t>
      </w:r>
      <w:r w:rsidRPr="00B61AD3">
        <w:rPr>
          <w:rFonts w:cs="Times New Roman"/>
          <w:szCs w:val="22"/>
        </w:rPr>
        <w:t xml:space="preserve"> made under the </w:t>
      </w:r>
      <w:r w:rsidRPr="00B61AD3">
        <w:rPr>
          <w:rFonts w:cs="Times New Roman"/>
          <w:i/>
          <w:iCs/>
          <w:szCs w:val="22"/>
        </w:rPr>
        <w:t xml:space="preserve">Therapeutic Goods Act 1989 </w:t>
      </w:r>
      <w:r w:rsidRPr="00B61AD3">
        <w:rPr>
          <w:rFonts w:cs="Times New Roman"/>
          <w:szCs w:val="22"/>
        </w:rPr>
        <w:t>(</w:t>
      </w:r>
      <w:r w:rsidRPr="00B61AD3">
        <w:rPr>
          <w:rFonts w:cs="Times New Roman"/>
          <w:bCs/>
          <w:szCs w:val="22"/>
        </w:rPr>
        <w:t>the Act</w:t>
      </w:r>
      <w:r w:rsidRPr="00B61AD3">
        <w:rPr>
          <w:rFonts w:cs="Times New Roman"/>
          <w:szCs w:val="22"/>
        </w:rPr>
        <w:t>).</w:t>
      </w:r>
    </w:p>
    <w:p w14:paraId="2DA55B80" w14:textId="77777777" w:rsidR="00E71A25" w:rsidRPr="00B61AD3" w:rsidRDefault="00E71A25" w:rsidP="00C646C3">
      <w:pPr>
        <w:spacing w:line="240" w:lineRule="auto"/>
        <w:ind w:firstLine="3"/>
        <w:contextualSpacing/>
        <w:rPr>
          <w:rFonts w:cs="Times New Roman"/>
          <w:szCs w:val="22"/>
        </w:rPr>
      </w:pPr>
    </w:p>
    <w:p w14:paraId="3BB4135E" w14:textId="77777777" w:rsidR="00E71A25" w:rsidRPr="00B61AD3" w:rsidRDefault="00E71A25" w:rsidP="00C646C3">
      <w:pPr>
        <w:spacing w:line="240" w:lineRule="auto"/>
        <w:ind w:firstLine="3"/>
        <w:contextualSpacing/>
        <w:rPr>
          <w:rFonts w:cs="Times New Roman"/>
          <w:szCs w:val="22"/>
          <w:u w:val="single"/>
        </w:rPr>
      </w:pPr>
      <w:r w:rsidRPr="00B61AD3">
        <w:rPr>
          <w:rFonts w:cs="Times New Roman"/>
          <w:szCs w:val="22"/>
          <w:u w:val="single"/>
        </w:rPr>
        <w:t>Section 4 – Schedules</w:t>
      </w:r>
    </w:p>
    <w:p w14:paraId="0657DD23" w14:textId="77777777" w:rsidR="00E71A25" w:rsidRPr="00B61AD3" w:rsidRDefault="00E71A25" w:rsidP="00C646C3">
      <w:pPr>
        <w:spacing w:line="240" w:lineRule="auto"/>
        <w:contextualSpacing/>
        <w:rPr>
          <w:rFonts w:cs="Times New Roman"/>
          <w:szCs w:val="22"/>
        </w:rPr>
      </w:pPr>
    </w:p>
    <w:p w14:paraId="3670B3D1" w14:textId="4EF10FCC" w:rsidR="000E08C8" w:rsidRPr="00B61AD3" w:rsidRDefault="00E71A25" w:rsidP="00C646C3">
      <w:pPr>
        <w:spacing w:line="240" w:lineRule="auto"/>
        <w:contextualSpacing/>
        <w:rPr>
          <w:rFonts w:cs="Times New Roman"/>
          <w:szCs w:val="22"/>
        </w:rPr>
      </w:pPr>
      <w:r w:rsidRPr="00B61AD3">
        <w:rPr>
          <w:rFonts w:cs="Times New Roman"/>
          <w:szCs w:val="22"/>
        </w:rPr>
        <w:t>This section provide</w:t>
      </w:r>
      <w:r w:rsidR="00DA0E9E" w:rsidRPr="00B61AD3">
        <w:rPr>
          <w:rFonts w:cs="Times New Roman"/>
          <w:szCs w:val="22"/>
        </w:rPr>
        <w:t>s</w:t>
      </w:r>
      <w:r w:rsidRPr="00B61AD3">
        <w:rPr>
          <w:rFonts w:cs="Times New Roman"/>
          <w:szCs w:val="22"/>
        </w:rPr>
        <w:t xml:space="preserve"> that each instrument that is specified in a Schedule to the Regulations is amended or repealed as set out in the applicable items in the Schedule concerned, and any other item in a Schedule to the Regulations </w:t>
      </w:r>
      <w:r w:rsidR="00FF78C9" w:rsidRPr="00B61AD3">
        <w:rPr>
          <w:rFonts w:cs="Times New Roman"/>
          <w:szCs w:val="22"/>
        </w:rPr>
        <w:t xml:space="preserve">has </w:t>
      </w:r>
      <w:r w:rsidRPr="00B61AD3">
        <w:rPr>
          <w:rFonts w:cs="Times New Roman"/>
          <w:szCs w:val="22"/>
        </w:rPr>
        <w:t>effect according to its terms.</w:t>
      </w:r>
    </w:p>
    <w:p w14:paraId="065590BC" w14:textId="77777777" w:rsidR="000E08C8" w:rsidRPr="00B61AD3" w:rsidRDefault="000E08C8" w:rsidP="00C646C3">
      <w:pPr>
        <w:spacing w:after="160" w:line="240" w:lineRule="auto"/>
        <w:contextualSpacing/>
        <w:rPr>
          <w:rFonts w:cs="Times New Roman"/>
          <w:szCs w:val="22"/>
        </w:rPr>
      </w:pPr>
      <w:r w:rsidRPr="00B61AD3">
        <w:rPr>
          <w:rFonts w:cs="Times New Roman"/>
          <w:szCs w:val="22"/>
        </w:rPr>
        <w:br w:type="page"/>
      </w:r>
    </w:p>
    <w:p w14:paraId="7E6AEE73" w14:textId="77777777" w:rsidR="009E537A" w:rsidRPr="00B61AD3" w:rsidRDefault="009E537A" w:rsidP="00C646C3">
      <w:pPr>
        <w:keepNext/>
        <w:keepLines/>
        <w:spacing w:line="240" w:lineRule="auto"/>
        <w:contextualSpacing/>
        <w:rPr>
          <w:rFonts w:cs="Times New Roman"/>
          <w:b/>
          <w:bCs/>
          <w:szCs w:val="22"/>
        </w:rPr>
      </w:pPr>
      <w:r w:rsidRPr="00B61AD3">
        <w:rPr>
          <w:rFonts w:cs="Times New Roman"/>
          <w:b/>
          <w:bCs/>
          <w:szCs w:val="22"/>
        </w:rPr>
        <w:lastRenderedPageBreak/>
        <w:t>Schedule 1—Amendments</w:t>
      </w:r>
    </w:p>
    <w:p w14:paraId="674ABD71" w14:textId="77777777" w:rsidR="009E537A" w:rsidRPr="00B61AD3" w:rsidRDefault="009E537A" w:rsidP="00C646C3">
      <w:pPr>
        <w:spacing w:line="240" w:lineRule="auto"/>
        <w:ind w:firstLine="3"/>
        <w:contextualSpacing/>
        <w:rPr>
          <w:rFonts w:cs="Times New Roman"/>
          <w:szCs w:val="22"/>
        </w:rPr>
      </w:pPr>
    </w:p>
    <w:p w14:paraId="39528812" w14:textId="77777777" w:rsidR="009E537A" w:rsidRPr="00B61AD3" w:rsidRDefault="009E537A" w:rsidP="00C646C3">
      <w:pPr>
        <w:spacing w:line="240" w:lineRule="auto"/>
        <w:ind w:firstLine="3"/>
        <w:contextualSpacing/>
        <w:rPr>
          <w:rFonts w:cs="Times New Roman"/>
          <w:szCs w:val="22"/>
          <w:u w:val="single"/>
        </w:rPr>
      </w:pPr>
      <w:r w:rsidRPr="00B61AD3">
        <w:rPr>
          <w:rFonts w:cs="Times New Roman"/>
          <w:szCs w:val="22"/>
          <w:u w:val="single"/>
        </w:rPr>
        <w:t>Part 1—Main amendments</w:t>
      </w:r>
    </w:p>
    <w:p w14:paraId="2E3AE339" w14:textId="77777777" w:rsidR="009E537A" w:rsidRPr="00B61AD3" w:rsidRDefault="009E537A" w:rsidP="00C646C3">
      <w:pPr>
        <w:spacing w:line="240" w:lineRule="auto"/>
        <w:ind w:firstLine="3"/>
        <w:contextualSpacing/>
        <w:rPr>
          <w:rFonts w:cs="Times New Roman"/>
          <w:szCs w:val="22"/>
        </w:rPr>
      </w:pPr>
    </w:p>
    <w:p w14:paraId="242BBC87" w14:textId="77777777" w:rsidR="009E537A" w:rsidRPr="00B61AD3" w:rsidRDefault="009E537A" w:rsidP="00C646C3">
      <w:pPr>
        <w:spacing w:line="240" w:lineRule="auto"/>
        <w:contextualSpacing/>
        <w:rPr>
          <w:rFonts w:cs="Times New Roman"/>
          <w:b/>
          <w:bCs/>
          <w:i/>
          <w:iCs/>
          <w:szCs w:val="22"/>
        </w:rPr>
      </w:pPr>
      <w:bookmarkStart w:id="2" w:name="_Toc179459725"/>
      <w:r w:rsidRPr="00B61AD3">
        <w:rPr>
          <w:rFonts w:cs="Times New Roman"/>
          <w:b/>
          <w:bCs/>
          <w:i/>
          <w:iCs/>
          <w:szCs w:val="22"/>
        </w:rPr>
        <w:t>Therapeutic Goods (Medical Devices) Regulations 200</w:t>
      </w:r>
      <w:bookmarkStart w:id="3" w:name="BK_S3P2L3C52"/>
      <w:bookmarkEnd w:id="3"/>
      <w:r w:rsidRPr="00B61AD3">
        <w:rPr>
          <w:rFonts w:cs="Times New Roman"/>
          <w:b/>
          <w:bCs/>
          <w:i/>
          <w:iCs/>
          <w:szCs w:val="22"/>
        </w:rPr>
        <w:t>2</w:t>
      </w:r>
      <w:bookmarkEnd w:id="2"/>
    </w:p>
    <w:p w14:paraId="3CEC5113" w14:textId="77777777" w:rsidR="009E537A" w:rsidRPr="00B61AD3" w:rsidRDefault="009E537A" w:rsidP="00C646C3">
      <w:pPr>
        <w:spacing w:line="240" w:lineRule="auto"/>
        <w:contextualSpacing/>
        <w:rPr>
          <w:rFonts w:cs="Times New Roman"/>
          <w:szCs w:val="22"/>
        </w:rPr>
      </w:pPr>
    </w:p>
    <w:p w14:paraId="040734EF" w14:textId="590395B8" w:rsidR="00482B95" w:rsidRPr="00B61AD3" w:rsidRDefault="004F3153" w:rsidP="00C646C3">
      <w:pPr>
        <w:spacing w:line="240" w:lineRule="auto"/>
        <w:contextualSpacing/>
        <w:rPr>
          <w:rFonts w:cs="Times New Roman"/>
          <w:i/>
          <w:iCs/>
          <w:szCs w:val="22"/>
          <w:u w:val="single"/>
        </w:rPr>
      </w:pPr>
      <w:r w:rsidRPr="00B61AD3">
        <w:rPr>
          <w:rFonts w:cs="Times New Roman"/>
          <w:i/>
          <w:iCs/>
          <w:szCs w:val="22"/>
          <w:u w:val="single"/>
        </w:rPr>
        <w:t>Minor</w:t>
      </w:r>
      <w:r w:rsidR="00C71B2A" w:rsidRPr="00B61AD3">
        <w:rPr>
          <w:rFonts w:cs="Times New Roman"/>
          <w:i/>
          <w:iCs/>
          <w:szCs w:val="22"/>
          <w:u w:val="single"/>
        </w:rPr>
        <w:t xml:space="preserve"> amendments</w:t>
      </w:r>
    </w:p>
    <w:p w14:paraId="10EE5E53" w14:textId="77777777" w:rsidR="00482B95" w:rsidRPr="00B61AD3" w:rsidRDefault="00482B95" w:rsidP="00C646C3">
      <w:pPr>
        <w:spacing w:line="240" w:lineRule="auto"/>
        <w:contextualSpacing/>
        <w:rPr>
          <w:rFonts w:cs="Times New Roman"/>
          <w:szCs w:val="22"/>
        </w:rPr>
      </w:pPr>
    </w:p>
    <w:p w14:paraId="50EF0B0F" w14:textId="767BBCCE" w:rsidR="009E537A" w:rsidRPr="00B61AD3" w:rsidRDefault="009E537A" w:rsidP="00C646C3">
      <w:pPr>
        <w:spacing w:line="240" w:lineRule="auto"/>
        <w:contextualSpacing/>
        <w:rPr>
          <w:rFonts w:cs="Times New Roman"/>
          <w:b/>
          <w:bCs/>
          <w:szCs w:val="22"/>
        </w:rPr>
      </w:pPr>
      <w:r w:rsidRPr="00B61AD3">
        <w:rPr>
          <w:rFonts w:cs="Times New Roman"/>
          <w:b/>
          <w:bCs/>
          <w:szCs w:val="22"/>
        </w:rPr>
        <w:t>Item 1 – Paragraph 10.7(1A)(c)</w:t>
      </w:r>
    </w:p>
    <w:p w14:paraId="0068D1BF" w14:textId="77777777" w:rsidR="005F01D0" w:rsidRPr="00B61AD3" w:rsidRDefault="005F01D0" w:rsidP="00C646C3">
      <w:pPr>
        <w:spacing w:line="240" w:lineRule="auto"/>
        <w:contextualSpacing/>
        <w:rPr>
          <w:rFonts w:cs="Times New Roman"/>
          <w:szCs w:val="22"/>
        </w:rPr>
      </w:pPr>
    </w:p>
    <w:p w14:paraId="44022A94" w14:textId="7A2DC305" w:rsidR="0069212E" w:rsidRPr="00B61AD3" w:rsidRDefault="00492B60" w:rsidP="00C646C3">
      <w:pPr>
        <w:spacing w:line="240" w:lineRule="auto"/>
        <w:contextualSpacing/>
        <w:rPr>
          <w:rFonts w:cs="Times New Roman"/>
          <w:szCs w:val="22"/>
        </w:rPr>
      </w:pPr>
      <w:r w:rsidRPr="00B61AD3">
        <w:rPr>
          <w:rFonts w:cs="Times New Roman"/>
          <w:szCs w:val="22"/>
        </w:rPr>
        <w:t>A decision</w:t>
      </w:r>
      <w:r w:rsidR="0069212E" w:rsidRPr="00B61AD3">
        <w:rPr>
          <w:rFonts w:cs="Times New Roman"/>
          <w:szCs w:val="22"/>
        </w:rPr>
        <w:t xml:space="preserve"> to make a medical device the subject of a determination as refer</w:t>
      </w:r>
      <w:r w:rsidRPr="00B61AD3">
        <w:rPr>
          <w:rFonts w:cs="Times New Roman"/>
          <w:szCs w:val="22"/>
        </w:rPr>
        <w:t>enced</w:t>
      </w:r>
      <w:r w:rsidR="0069212E" w:rsidRPr="00B61AD3">
        <w:rPr>
          <w:rFonts w:cs="Times New Roman"/>
          <w:szCs w:val="22"/>
        </w:rPr>
        <w:t xml:space="preserve"> in paragraph (e) of the column headed “Conditions” in item 2.17 of the table in Part 2 of Schedule 4 to the </w:t>
      </w:r>
      <w:r w:rsidR="00F9528F" w:rsidRPr="00B61AD3">
        <w:rPr>
          <w:rFonts w:cs="Times New Roman"/>
          <w:i/>
          <w:iCs/>
          <w:szCs w:val="22"/>
        </w:rPr>
        <w:t xml:space="preserve">Therapeutic Goods (Medical Devices) Regulations </w:t>
      </w:r>
      <w:r w:rsidR="00F9528F" w:rsidRPr="00B61AD3">
        <w:rPr>
          <w:rFonts w:cs="Times New Roman"/>
          <w:i/>
          <w:szCs w:val="22"/>
        </w:rPr>
        <w:t>2002</w:t>
      </w:r>
      <w:r w:rsidR="00F9528F" w:rsidRPr="00B61AD3">
        <w:rPr>
          <w:rFonts w:cs="Times New Roman"/>
          <w:szCs w:val="22"/>
        </w:rPr>
        <w:t xml:space="preserve"> (the </w:t>
      </w:r>
      <w:r w:rsidR="0069212E" w:rsidRPr="00B61AD3">
        <w:rPr>
          <w:rFonts w:cs="Times New Roman"/>
          <w:szCs w:val="22"/>
        </w:rPr>
        <w:t>MD</w:t>
      </w:r>
      <w:r w:rsidR="006C2FB4" w:rsidRPr="00B61AD3">
        <w:rPr>
          <w:rFonts w:cs="Times New Roman"/>
          <w:szCs w:val="22"/>
        </w:rPr>
        <w:t> </w:t>
      </w:r>
      <w:r w:rsidR="0069212E" w:rsidRPr="00B61AD3">
        <w:rPr>
          <w:rFonts w:cs="Times New Roman"/>
          <w:szCs w:val="22"/>
        </w:rPr>
        <w:t>Regulations</w:t>
      </w:r>
      <w:r w:rsidR="00F9528F" w:rsidRPr="00B61AD3">
        <w:rPr>
          <w:rFonts w:cs="Times New Roman"/>
          <w:szCs w:val="22"/>
        </w:rPr>
        <w:t>)</w:t>
      </w:r>
      <w:r w:rsidR="0069212E" w:rsidRPr="00B61AD3">
        <w:rPr>
          <w:rFonts w:cs="Times New Roman"/>
          <w:szCs w:val="22"/>
        </w:rPr>
        <w:t xml:space="preserve"> is merits reviewable by operation of paragraph 10.7(1A)(c) of the MD Regulations.</w:t>
      </w:r>
    </w:p>
    <w:p w14:paraId="65D7EA79" w14:textId="77777777" w:rsidR="0069212E" w:rsidRPr="00B61AD3" w:rsidRDefault="0069212E" w:rsidP="00C646C3">
      <w:pPr>
        <w:spacing w:line="240" w:lineRule="auto"/>
        <w:contextualSpacing/>
        <w:rPr>
          <w:rFonts w:cs="Times New Roman"/>
          <w:szCs w:val="22"/>
        </w:rPr>
      </w:pPr>
    </w:p>
    <w:p w14:paraId="2F1E9060" w14:textId="2701BE60" w:rsidR="0069212E" w:rsidRPr="00B61AD3" w:rsidRDefault="003F1470" w:rsidP="00C646C3">
      <w:pPr>
        <w:spacing w:line="240" w:lineRule="auto"/>
        <w:contextualSpacing/>
        <w:rPr>
          <w:rFonts w:cs="Times New Roman"/>
          <w:szCs w:val="22"/>
        </w:rPr>
      </w:pPr>
      <w:r w:rsidRPr="00B61AD3">
        <w:rPr>
          <w:rFonts w:cs="Times New Roman"/>
          <w:szCs w:val="22"/>
        </w:rPr>
        <w:t>This</w:t>
      </w:r>
      <w:r w:rsidR="005F01D0" w:rsidRPr="00B61AD3">
        <w:rPr>
          <w:rFonts w:cs="Times New Roman"/>
          <w:szCs w:val="22"/>
        </w:rPr>
        <w:t xml:space="preserve"> </w:t>
      </w:r>
      <w:r w:rsidR="0069212E" w:rsidRPr="00B61AD3">
        <w:rPr>
          <w:rFonts w:cs="Times New Roman"/>
          <w:szCs w:val="22"/>
        </w:rPr>
        <w:t xml:space="preserve">item </w:t>
      </w:r>
      <w:r w:rsidRPr="00B61AD3">
        <w:rPr>
          <w:rFonts w:cs="Times New Roman"/>
          <w:szCs w:val="22"/>
        </w:rPr>
        <w:t xml:space="preserve">makes a minor </w:t>
      </w:r>
      <w:r w:rsidR="003C3949" w:rsidRPr="00B61AD3">
        <w:rPr>
          <w:rFonts w:cs="Times New Roman"/>
          <w:szCs w:val="22"/>
        </w:rPr>
        <w:t>amend</w:t>
      </w:r>
      <w:r w:rsidR="00C57753" w:rsidRPr="00B61AD3">
        <w:rPr>
          <w:rFonts w:cs="Times New Roman"/>
          <w:szCs w:val="22"/>
        </w:rPr>
        <w:t>ment to</w:t>
      </w:r>
      <w:r w:rsidR="005F01D0" w:rsidRPr="00B61AD3">
        <w:rPr>
          <w:rFonts w:cs="Times New Roman"/>
          <w:szCs w:val="22"/>
        </w:rPr>
        <w:t xml:space="preserve"> paragraph 10.7(1A)(c) of </w:t>
      </w:r>
      <w:r w:rsidR="0069212E" w:rsidRPr="00B61AD3">
        <w:rPr>
          <w:rFonts w:cs="Times New Roman"/>
          <w:szCs w:val="22"/>
        </w:rPr>
        <w:t xml:space="preserve">the </w:t>
      </w:r>
      <w:r w:rsidR="005F01D0" w:rsidRPr="00B61AD3">
        <w:rPr>
          <w:rFonts w:cs="Times New Roman"/>
          <w:szCs w:val="22"/>
        </w:rPr>
        <w:t>MD</w:t>
      </w:r>
      <w:r w:rsidR="00544994" w:rsidRPr="00B61AD3">
        <w:rPr>
          <w:rFonts w:cs="Times New Roman"/>
          <w:szCs w:val="22"/>
        </w:rPr>
        <w:t> </w:t>
      </w:r>
      <w:r w:rsidR="005F01D0" w:rsidRPr="00B61AD3">
        <w:rPr>
          <w:rFonts w:cs="Times New Roman"/>
          <w:szCs w:val="22"/>
        </w:rPr>
        <w:t>Regulations</w:t>
      </w:r>
      <w:r w:rsidR="00544994" w:rsidRPr="00B61AD3">
        <w:rPr>
          <w:rFonts w:cs="Times New Roman"/>
          <w:szCs w:val="22"/>
        </w:rPr>
        <w:t xml:space="preserve"> to remove the words</w:t>
      </w:r>
      <w:r w:rsidR="00E258FD" w:rsidRPr="00B61AD3">
        <w:rPr>
          <w:rFonts w:cs="Times New Roman"/>
          <w:szCs w:val="22"/>
        </w:rPr>
        <w:t xml:space="preserve"> </w:t>
      </w:r>
      <w:r w:rsidR="005F01D0" w:rsidRPr="00B61AD3">
        <w:rPr>
          <w:rFonts w:cs="Times New Roman"/>
          <w:szCs w:val="22"/>
        </w:rPr>
        <w:t>‘</w:t>
      </w:r>
      <w:r w:rsidR="009530B3" w:rsidRPr="00B61AD3">
        <w:rPr>
          <w:rFonts w:cs="Times New Roman"/>
          <w:szCs w:val="22"/>
        </w:rPr>
        <w:t xml:space="preserve">paragraph (e) of the </w:t>
      </w:r>
      <w:r w:rsidR="005F01D0" w:rsidRPr="00B61AD3">
        <w:rPr>
          <w:rFonts w:cs="Times New Roman"/>
          <w:szCs w:val="22"/>
        </w:rPr>
        <w:t>column headed “Conditions”’ and</w:t>
      </w:r>
      <w:r w:rsidR="00154DE3" w:rsidRPr="00B61AD3">
        <w:rPr>
          <w:rFonts w:cs="Times New Roman"/>
          <w:szCs w:val="22"/>
        </w:rPr>
        <w:t xml:space="preserve"> replace with </w:t>
      </w:r>
      <w:r w:rsidR="005F01D0" w:rsidRPr="00B61AD3">
        <w:rPr>
          <w:rFonts w:cs="Times New Roman"/>
          <w:szCs w:val="22"/>
        </w:rPr>
        <w:t>‘</w:t>
      </w:r>
      <w:r w:rsidR="00154DE3" w:rsidRPr="00B61AD3">
        <w:rPr>
          <w:rFonts w:cs="Times New Roman"/>
          <w:szCs w:val="22"/>
        </w:rPr>
        <w:t xml:space="preserve">paragraph (d) of the </w:t>
      </w:r>
      <w:r w:rsidR="005F01D0" w:rsidRPr="00B61AD3">
        <w:rPr>
          <w:rFonts w:cs="Times New Roman"/>
          <w:szCs w:val="22"/>
        </w:rPr>
        <w:t>column headed “Kinds of medical devices”’.</w:t>
      </w:r>
    </w:p>
    <w:p w14:paraId="7A47A80F" w14:textId="77777777" w:rsidR="0069212E" w:rsidRPr="00B61AD3" w:rsidRDefault="0069212E" w:rsidP="00C646C3">
      <w:pPr>
        <w:spacing w:line="240" w:lineRule="auto"/>
        <w:contextualSpacing/>
        <w:rPr>
          <w:rFonts w:cs="Times New Roman"/>
          <w:szCs w:val="22"/>
        </w:rPr>
      </w:pPr>
    </w:p>
    <w:p w14:paraId="1662780F" w14:textId="08A231B3" w:rsidR="005F01D0" w:rsidRPr="00B61AD3" w:rsidRDefault="005F01D0" w:rsidP="00C646C3">
      <w:pPr>
        <w:spacing w:line="240" w:lineRule="auto"/>
        <w:contextualSpacing/>
        <w:rPr>
          <w:rFonts w:cs="Times New Roman"/>
          <w:szCs w:val="22"/>
        </w:rPr>
      </w:pPr>
      <w:r w:rsidRPr="00B61AD3">
        <w:rPr>
          <w:rFonts w:cs="Times New Roman"/>
          <w:szCs w:val="22"/>
        </w:rPr>
        <w:t xml:space="preserve">This amendment </w:t>
      </w:r>
      <w:r w:rsidR="00154DE3" w:rsidRPr="00B61AD3">
        <w:rPr>
          <w:rFonts w:cs="Times New Roman"/>
          <w:szCs w:val="22"/>
        </w:rPr>
        <w:t xml:space="preserve">is </w:t>
      </w:r>
      <w:r w:rsidRPr="00B61AD3">
        <w:rPr>
          <w:rFonts w:cs="Times New Roman"/>
          <w:szCs w:val="22"/>
        </w:rPr>
        <w:t>consequential to</w:t>
      </w:r>
      <w:r w:rsidR="00D33A61" w:rsidRPr="00B61AD3">
        <w:rPr>
          <w:rFonts w:cs="Times New Roman"/>
          <w:szCs w:val="22"/>
        </w:rPr>
        <w:t xml:space="preserve"> the amendments made below</w:t>
      </w:r>
      <w:r w:rsidR="0069212E" w:rsidRPr="00B61AD3">
        <w:rPr>
          <w:rFonts w:cs="Times New Roman"/>
          <w:szCs w:val="22"/>
        </w:rPr>
        <w:t xml:space="preserve"> to</w:t>
      </w:r>
      <w:r w:rsidR="006C2FB4" w:rsidRPr="00B61AD3">
        <w:rPr>
          <w:rFonts w:cs="Times New Roman"/>
          <w:szCs w:val="22"/>
        </w:rPr>
        <w:t>,</w:t>
      </w:r>
      <w:r w:rsidR="0069212E" w:rsidRPr="00B61AD3">
        <w:rPr>
          <w:rFonts w:cs="Times New Roman"/>
          <w:szCs w:val="22"/>
        </w:rPr>
        <w:t xml:space="preserve"> among other things</w:t>
      </w:r>
      <w:r w:rsidR="006C2FB4" w:rsidRPr="00B61AD3">
        <w:rPr>
          <w:rFonts w:cs="Times New Roman"/>
          <w:szCs w:val="22"/>
        </w:rPr>
        <w:t>,</w:t>
      </w:r>
      <w:r w:rsidR="0069212E" w:rsidRPr="00B61AD3">
        <w:rPr>
          <w:rFonts w:cs="Times New Roman"/>
          <w:szCs w:val="22"/>
        </w:rPr>
        <w:t xml:space="preserve"> </w:t>
      </w:r>
      <w:r w:rsidR="00492B60" w:rsidRPr="00B61AD3">
        <w:rPr>
          <w:rFonts w:cs="Times New Roman"/>
          <w:szCs w:val="22"/>
        </w:rPr>
        <w:t xml:space="preserve">transfer the relevant paragraph in item 2.17 of the table in Part 2 of Schedule 4 to the MD </w:t>
      </w:r>
      <w:r w:rsidR="00F9528F" w:rsidRPr="00B61AD3">
        <w:rPr>
          <w:rFonts w:cs="Times New Roman"/>
          <w:szCs w:val="22"/>
        </w:rPr>
        <w:t>R</w:t>
      </w:r>
      <w:r w:rsidR="00492B60" w:rsidRPr="00B61AD3">
        <w:rPr>
          <w:rFonts w:cs="Times New Roman"/>
          <w:szCs w:val="22"/>
        </w:rPr>
        <w:t>egulations from the column headed “Conditions” to the column headed “Kinds of medical devices”</w:t>
      </w:r>
      <w:r w:rsidR="0069212E" w:rsidRPr="00B61AD3">
        <w:rPr>
          <w:rFonts w:cs="Times New Roman"/>
          <w:szCs w:val="22"/>
        </w:rPr>
        <w:t xml:space="preserve">. This amendment </w:t>
      </w:r>
      <w:r w:rsidR="00A5555A" w:rsidRPr="00B61AD3">
        <w:rPr>
          <w:rFonts w:cs="Times New Roman"/>
          <w:szCs w:val="22"/>
        </w:rPr>
        <w:t>ensures</w:t>
      </w:r>
      <w:r w:rsidR="0069212E" w:rsidRPr="00B61AD3">
        <w:rPr>
          <w:rFonts w:cs="Times New Roman"/>
          <w:szCs w:val="22"/>
        </w:rPr>
        <w:t xml:space="preserve"> a sponsor</w:t>
      </w:r>
      <w:r w:rsidR="000605AF" w:rsidRPr="00B61AD3">
        <w:rPr>
          <w:rFonts w:cs="Times New Roman"/>
          <w:szCs w:val="22"/>
        </w:rPr>
        <w:t xml:space="preserve"> continues to have rights</w:t>
      </w:r>
      <w:r w:rsidR="0069212E" w:rsidRPr="00B61AD3">
        <w:rPr>
          <w:rFonts w:cs="Times New Roman"/>
          <w:szCs w:val="22"/>
        </w:rPr>
        <w:t xml:space="preserve"> to seek merits review</w:t>
      </w:r>
      <w:r w:rsidR="00D33A61" w:rsidRPr="00B61AD3">
        <w:rPr>
          <w:rFonts w:cs="Times New Roman"/>
          <w:szCs w:val="22"/>
        </w:rPr>
        <w:t>.</w:t>
      </w:r>
    </w:p>
    <w:p w14:paraId="0A35C189" w14:textId="77777777" w:rsidR="00C71B2A" w:rsidRPr="00B61AD3" w:rsidRDefault="00C71B2A" w:rsidP="00C646C3">
      <w:pPr>
        <w:spacing w:line="240" w:lineRule="auto"/>
        <w:contextualSpacing/>
        <w:rPr>
          <w:rFonts w:cs="Times New Roman"/>
          <w:szCs w:val="22"/>
        </w:rPr>
      </w:pPr>
    </w:p>
    <w:p w14:paraId="356C17AC" w14:textId="167093AD" w:rsidR="00C71B2A" w:rsidRPr="00B61AD3" w:rsidRDefault="00C71B2A" w:rsidP="00C646C3">
      <w:pPr>
        <w:spacing w:line="240" w:lineRule="auto"/>
        <w:contextualSpacing/>
        <w:rPr>
          <w:rFonts w:cs="Times New Roman"/>
          <w:i/>
          <w:iCs/>
          <w:szCs w:val="22"/>
          <w:u w:val="single"/>
        </w:rPr>
      </w:pPr>
      <w:bookmarkStart w:id="4" w:name="_Hlk193261304"/>
      <w:r w:rsidRPr="00B61AD3">
        <w:rPr>
          <w:rFonts w:cs="Times New Roman"/>
          <w:i/>
          <w:iCs/>
          <w:szCs w:val="22"/>
          <w:u w:val="single"/>
        </w:rPr>
        <w:t>Amendments to notified vaping goods exemptions</w:t>
      </w:r>
    </w:p>
    <w:p w14:paraId="5AA48B39" w14:textId="77777777" w:rsidR="005F01D0" w:rsidRPr="00B61AD3" w:rsidRDefault="005F01D0" w:rsidP="00C646C3">
      <w:pPr>
        <w:spacing w:line="240" w:lineRule="auto"/>
        <w:contextualSpacing/>
        <w:rPr>
          <w:rFonts w:cs="Times New Roman"/>
          <w:szCs w:val="22"/>
        </w:rPr>
      </w:pPr>
    </w:p>
    <w:p w14:paraId="54DAB416" w14:textId="4330499C" w:rsidR="008E07D9" w:rsidRPr="00B61AD3" w:rsidRDefault="004F3153" w:rsidP="008E07D9">
      <w:pPr>
        <w:spacing w:line="240" w:lineRule="auto"/>
        <w:contextualSpacing/>
        <w:rPr>
          <w:rFonts w:cs="Times New Roman"/>
          <w:i/>
          <w:iCs/>
          <w:szCs w:val="22"/>
        </w:rPr>
      </w:pPr>
      <w:r w:rsidRPr="00B61AD3">
        <w:rPr>
          <w:rFonts w:cs="Times New Roman"/>
          <w:i/>
          <w:iCs/>
          <w:szCs w:val="22"/>
        </w:rPr>
        <w:t>Background</w:t>
      </w:r>
    </w:p>
    <w:p w14:paraId="653B9179" w14:textId="77777777" w:rsidR="008E07D9" w:rsidRPr="00B61AD3" w:rsidRDefault="008E07D9" w:rsidP="008E07D9">
      <w:pPr>
        <w:spacing w:line="240" w:lineRule="auto"/>
        <w:contextualSpacing/>
        <w:rPr>
          <w:rFonts w:cs="Times New Roman"/>
          <w:szCs w:val="22"/>
        </w:rPr>
      </w:pPr>
    </w:p>
    <w:p w14:paraId="3948B4DC" w14:textId="77777777" w:rsidR="008E07D9" w:rsidRPr="00B61AD3" w:rsidRDefault="008E07D9" w:rsidP="008E07D9">
      <w:pPr>
        <w:spacing w:line="240" w:lineRule="auto"/>
        <w:contextualSpacing/>
        <w:rPr>
          <w:rFonts w:cs="Times New Roman"/>
          <w:szCs w:val="22"/>
        </w:rPr>
      </w:pPr>
      <w:r w:rsidRPr="00B61AD3">
        <w:rPr>
          <w:rFonts w:cs="Times New Roman"/>
          <w:szCs w:val="22"/>
        </w:rPr>
        <w:t xml:space="preserve">Paragraph 41HA(1)(b) of the </w:t>
      </w:r>
      <w:r w:rsidRPr="00B61AD3">
        <w:rPr>
          <w:rFonts w:cs="Times New Roman"/>
          <w:i/>
          <w:iCs/>
          <w:szCs w:val="22"/>
        </w:rPr>
        <w:t>Therapeutic Goods Act 1989</w:t>
      </w:r>
      <w:r w:rsidRPr="00B61AD3">
        <w:rPr>
          <w:rFonts w:cs="Times New Roman"/>
          <w:szCs w:val="22"/>
        </w:rPr>
        <w:t xml:space="preserve"> (the Act) provides that the regulations may exempt specified kinds of medical devices from the operation of Division 3 of Part 4-11 of the Act, and thereby exempt certain medical devices from the requirement to be included in the </w:t>
      </w:r>
      <w:r w:rsidRPr="00B61AD3">
        <w:rPr>
          <w:lang w:val="en-GB"/>
        </w:rPr>
        <w:t>Australian Register of Therapeutic Goods (the Register)</w:t>
      </w:r>
      <w:r w:rsidRPr="00B61AD3">
        <w:rPr>
          <w:rFonts w:cs="Times New Roman"/>
          <w:szCs w:val="22"/>
        </w:rPr>
        <w:t>. Subsection 41HA(2) provides that an exemption may be subject to conditions that are prescribed in the regulations.</w:t>
      </w:r>
    </w:p>
    <w:p w14:paraId="354F36F6" w14:textId="77777777" w:rsidR="008E07D9" w:rsidRPr="00B61AD3" w:rsidRDefault="008E07D9" w:rsidP="008E07D9">
      <w:pPr>
        <w:spacing w:line="240" w:lineRule="auto"/>
        <w:contextualSpacing/>
        <w:rPr>
          <w:rFonts w:cs="Times New Roman"/>
          <w:szCs w:val="22"/>
        </w:rPr>
      </w:pPr>
    </w:p>
    <w:p w14:paraId="3AFC4971" w14:textId="77777777" w:rsidR="008E07D9" w:rsidRPr="00B61AD3" w:rsidRDefault="008E07D9" w:rsidP="008E07D9">
      <w:pPr>
        <w:spacing w:line="240" w:lineRule="auto"/>
        <w:contextualSpacing/>
        <w:rPr>
          <w:rFonts w:cs="Times New Roman"/>
          <w:szCs w:val="22"/>
        </w:rPr>
      </w:pPr>
      <w:r w:rsidRPr="00B61AD3">
        <w:rPr>
          <w:rFonts w:cs="Times New Roman"/>
          <w:szCs w:val="22"/>
        </w:rPr>
        <w:t>Subregulation 7.1(2) of the</w:t>
      </w:r>
      <w:r w:rsidRPr="00B61AD3">
        <w:rPr>
          <w:rFonts w:cs="Times New Roman"/>
          <w:i/>
          <w:iCs/>
          <w:szCs w:val="22"/>
        </w:rPr>
        <w:t xml:space="preserve"> </w:t>
      </w:r>
      <w:r w:rsidRPr="00B61AD3">
        <w:rPr>
          <w:rFonts w:cs="Times New Roman"/>
          <w:szCs w:val="22"/>
        </w:rPr>
        <w:t>MD Regulations exempts medical devices mentioned in the column headed “Kinds of medical devices” of an item in Part 2 of Schedule 4 to the MD Regulations from the operation of Division 3 of Part 4-11 of the Act, subject to compliance with the conditions mentioned in the column headed “Conditions”.</w:t>
      </w:r>
    </w:p>
    <w:p w14:paraId="7B9A583A" w14:textId="77777777" w:rsidR="008E07D9" w:rsidRPr="00B61AD3" w:rsidRDefault="008E07D9" w:rsidP="008E07D9">
      <w:pPr>
        <w:spacing w:line="240" w:lineRule="auto"/>
        <w:contextualSpacing/>
        <w:rPr>
          <w:rFonts w:cs="Times New Roman"/>
          <w:szCs w:val="22"/>
        </w:rPr>
      </w:pPr>
    </w:p>
    <w:p w14:paraId="6B37A3A7" w14:textId="4D6356CE" w:rsidR="008E07D9" w:rsidRPr="00B61AD3" w:rsidRDefault="008E07D9" w:rsidP="008E07D9">
      <w:pPr>
        <w:spacing w:line="240" w:lineRule="auto"/>
        <w:contextualSpacing/>
        <w:rPr>
          <w:rFonts w:cs="Times New Roman"/>
          <w:szCs w:val="22"/>
        </w:rPr>
      </w:pPr>
      <w:r w:rsidRPr="00B61AD3">
        <w:rPr>
          <w:rFonts w:cs="Times New Roman"/>
          <w:szCs w:val="22"/>
        </w:rPr>
        <w:t>Relevantly, item 2.17 of the table in Part 2 of Schedule 4</w:t>
      </w:r>
      <w:r w:rsidR="00713E88" w:rsidRPr="00B61AD3">
        <w:rPr>
          <w:rFonts w:cs="Times New Roman"/>
          <w:szCs w:val="22"/>
        </w:rPr>
        <w:t xml:space="preserve"> to the MD Regulations</w:t>
      </w:r>
      <w:r w:rsidRPr="00B61AD3">
        <w:rPr>
          <w:rFonts w:cs="Times New Roman"/>
          <w:szCs w:val="22"/>
        </w:rPr>
        <w:t xml:space="preserve"> exempts medical devices that are therapeutic vaping devices or therapeutic vaping device accessories, subject to the conditions mentioned in the column headed “Conditions” of that item. In practice, this exemption is referred to as one of the ‘notified vaping goods’ exemptions.</w:t>
      </w:r>
    </w:p>
    <w:p w14:paraId="508E1DCD" w14:textId="77777777" w:rsidR="008E07D9" w:rsidRPr="00B61AD3" w:rsidRDefault="008E07D9" w:rsidP="008E07D9">
      <w:pPr>
        <w:spacing w:line="240" w:lineRule="auto"/>
        <w:contextualSpacing/>
        <w:rPr>
          <w:rFonts w:cs="Times New Roman"/>
          <w:szCs w:val="22"/>
        </w:rPr>
      </w:pPr>
    </w:p>
    <w:p w14:paraId="66C7FC36" w14:textId="7DCF0122" w:rsidR="008E07D9" w:rsidRPr="00B61AD3" w:rsidRDefault="008E07D9" w:rsidP="008E07D9">
      <w:pPr>
        <w:spacing w:line="240" w:lineRule="auto"/>
        <w:contextualSpacing/>
        <w:rPr>
          <w:rFonts w:cs="Times New Roman"/>
          <w:szCs w:val="22"/>
        </w:rPr>
      </w:pPr>
      <w:r w:rsidRPr="00B61AD3">
        <w:rPr>
          <w:rFonts w:cs="Times New Roman"/>
          <w:szCs w:val="22"/>
        </w:rPr>
        <w:t>It is appropriate for the conditions in item 2.17</w:t>
      </w:r>
      <w:r w:rsidR="00713E88" w:rsidRPr="00B61AD3">
        <w:rPr>
          <w:rFonts w:cs="Times New Roman"/>
          <w:szCs w:val="22"/>
        </w:rPr>
        <w:t xml:space="preserve"> of the table in Part 2 of Schedule 4 to the MD</w:t>
      </w:r>
      <w:r w:rsidR="004F3153" w:rsidRPr="00B61AD3">
        <w:rPr>
          <w:rFonts w:cs="Times New Roman"/>
          <w:szCs w:val="22"/>
        </w:rPr>
        <w:t> </w:t>
      </w:r>
      <w:r w:rsidR="00713E88" w:rsidRPr="00B61AD3">
        <w:rPr>
          <w:rFonts w:cs="Times New Roman"/>
          <w:szCs w:val="22"/>
        </w:rPr>
        <w:t>Regulations</w:t>
      </w:r>
      <w:r w:rsidRPr="00B61AD3">
        <w:rPr>
          <w:rFonts w:cs="Times New Roman"/>
          <w:szCs w:val="22"/>
        </w:rPr>
        <w:t xml:space="preserve">, including the conditions introduced or amended </w:t>
      </w:r>
      <w:r w:rsidR="004F3153" w:rsidRPr="00B61AD3">
        <w:rPr>
          <w:rFonts w:cs="Times New Roman"/>
          <w:szCs w:val="22"/>
        </w:rPr>
        <w:t xml:space="preserve">by items </w:t>
      </w:r>
      <w:r w:rsidR="00CA5787">
        <w:rPr>
          <w:rFonts w:cs="Times New Roman"/>
          <w:szCs w:val="22"/>
        </w:rPr>
        <w:t xml:space="preserve">mentioned </w:t>
      </w:r>
      <w:r w:rsidRPr="00B61AD3">
        <w:rPr>
          <w:rFonts w:cs="Times New Roman"/>
          <w:szCs w:val="22"/>
        </w:rPr>
        <w:t>below, to be contained in regulations rather than primary legislation because:</w:t>
      </w:r>
    </w:p>
    <w:p w14:paraId="212388C6" w14:textId="77777777" w:rsidR="008E07D9" w:rsidRPr="00B61AD3" w:rsidRDefault="008E07D9" w:rsidP="008E07D9">
      <w:pPr>
        <w:spacing w:line="240" w:lineRule="auto"/>
        <w:contextualSpacing/>
        <w:rPr>
          <w:rFonts w:cs="Times New Roman"/>
          <w:szCs w:val="22"/>
        </w:rPr>
      </w:pPr>
    </w:p>
    <w:p w14:paraId="6B42CFA5" w14:textId="34B1C9B2" w:rsidR="008E07D9" w:rsidRPr="00B61AD3" w:rsidRDefault="0024350D" w:rsidP="008E07D9">
      <w:pPr>
        <w:pStyle w:val="ListParagraph"/>
        <w:numPr>
          <w:ilvl w:val="0"/>
          <w:numId w:val="28"/>
        </w:numPr>
        <w:spacing w:line="240" w:lineRule="auto"/>
        <w:rPr>
          <w:rFonts w:cs="Times New Roman"/>
          <w:szCs w:val="22"/>
        </w:rPr>
      </w:pPr>
      <w:r w:rsidRPr="00B61AD3">
        <w:rPr>
          <w:rFonts w:cs="Times New Roman"/>
          <w:szCs w:val="22"/>
        </w:rPr>
        <w:t xml:space="preserve">as noted above, </w:t>
      </w:r>
      <w:r w:rsidR="008E07D9" w:rsidRPr="00B61AD3">
        <w:rPr>
          <w:rFonts w:cs="Times New Roman"/>
          <w:szCs w:val="22"/>
        </w:rPr>
        <w:t>section 41HA of the Act</w:t>
      </w:r>
      <w:r w:rsidR="004F3153" w:rsidRPr="00B61AD3">
        <w:rPr>
          <w:rFonts w:cs="Times New Roman"/>
          <w:szCs w:val="22"/>
        </w:rPr>
        <w:t xml:space="preserve"> provides for the regulations to exempt medical devices from the requirement to be included in the </w:t>
      </w:r>
      <w:r w:rsidRPr="00B61AD3">
        <w:rPr>
          <w:rFonts w:cs="Times New Roman"/>
          <w:szCs w:val="22"/>
        </w:rPr>
        <w:t>R</w:t>
      </w:r>
      <w:r w:rsidR="004F3153" w:rsidRPr="00B61AD3">
        <w:rPr>
          <w:rFonts w:cs="Times New Roman"/>
          <w:szCs w:val="22"/>
        </w:rPr>
        <w:t>egister, subject to specified conditions. The Act therefore</w:t>
      </w:r>
      <w:r w:rsidR="008E07D9" w:rsidRPr="00B61AD3">
        <w:rPr>
          <w:rFonts w:cs="Times New Roman"/>
          <w:szCs w:val="22"/>
        </w:rPr>
        <w:t xml:space="preserve"> anticipate</w:t>
      </w:r>
      <w:r w:rsidR="004F3153" w:rsidRPr="00B61AD3">
        <w:rPr>
          <w:rFonts w:cs="Times New Roman"/>
          <w:szCs w:val="22"/>
        </w:rPr>
        <w:t>s</w:t>
      </w:r>
      <w:r w:rsidR="008E07D9" w:rsidRPr="00B61AD3">
        <w:rPr>
          <w:rFonts w:cs="Times New Roman"/>
          <w:szCs w:val="22"/>
        </w:rPr>
        <w:t xml:space="preserve"> that exemptions </w:t>
      </w:r>
      <w:r w:rsidR="00A51F9A" w:rsidRPr="00B61AD3">
        <w:rPr>
          <w:rFonts w:cs="Times New Roman"/>
          <w:szCs w:val="22"/>
        </w:rPr>
        <w:t>may be subject to conditions that are prescribed in the regulations</w:t>
      </w:r>
      <w:r w:rsidR="008E07D9" w:rsidRPr="00B61AD3">
        <w:rPr>
          <w:rFonts w:cs="Times New Roman"/>
          <w:szCs w:val="22"/>
        </w:rPr>
        <w:t>;</w:t>
      </w:r>
    </w:p>
    <w:p w14:paraId="7D24E439" w14:textId="77777777" w:rsidR="008E07D9" w:rsidRPr="00B61AD3" w:rsidRDefault="008E07D9" w:rsidP="008E07D9">
      <w:pPr>
        <w:pStyle w:val="ListParagraph"/>
        <w:spacing w:line="240" w:lineRule="auto"/>
        <w:rPr>
          <w:rFonts w:cs="Times New Roman"/>
          <w:szCs w:val="22"/>
        </w:rPr>
      </w:pPr>
    </w:p>
    <w:p w14:paraId="0B546582" w14:textId="4C353DBD" w:rsidR="008E07D9" w:rsidRPr="00B61AD3" w:rsidRDefault="008E07D9" w:rsidP="008E07D9">
      <w:pPr>
        <w:pStyle w:val="ListParagraph"/>
        <w:numPr>
          <w:ilvl w:val="0"/>
          <w:numId w:val="28"/>
        </w:numPr>
        <w:spacing w:line="240" w:lineRule="auto"/>
        <w:rPr>
          <w:rFonts w:cs="Times New Roman"/>
          <w:szCs w:val="22"/>
        </w:rPr>
      </w:pPr>
      <w:r w:rsidRPr="00B61AD3">
        <w:rPr>
          <w:rFonts w:cs="Times New Roman"/>
          <w:szCs w:val="22"/>
        </w:rPr>
        <w:t xml:space="preserve">they interact closely with the description of the medical devices that are the subject of the exemption. It is therefore not desirable to fragment conditions attaching to an exemption </w:t>
      </w:r>
      <w:r w:rsidRPr="00B61AD3">
        <w:rPr>
          <w:rFonts w:cs="Times New Roman"/>
          <w:szCs w:val="22"/>
        </w:rPr>
        <w:lastRenderedPageBreak/>
        <w:t>across the Act and the MD</w:t>
      </w:r>
      <w:r w:rsidR="00457B10" w:rsidRPr="00B61AD3">
        <w:rPr>
          <w:rFonts w:cs="Times New Roman"/>
          <w:szCs w:val="22"/>
        </w:rPr>
        <w:t> </w:t>
      </w:r>
      <w:r w:rsidRPr="00B61AD3">
        <w:rPr>
          <w:rFonts w:cs="Times New Roman"/>
          <w:szCs w:val="22"/>
        </w:rPr>
        <w:t>Regulations. Rather, it is preferrable for conditions to remain attached to the relevant exemption; and</w:t>
      </w:r>
    </w:p>
    <w:p w14:paraId="3FC6D703" w14:textId="77777777" w:rsidR="008E07D9" w:rsidRPr="00B61AD3" w:rsidRDefault="008E07D9" w:rsidP="008E07D9">
      <w:pPr>
        <w:pStyle w:val="ListParagraph"/>
        <w:spacing w:line="240" w:lineRule="auto"/>
        <w:rPr>
          <w:rFonts w:cs="Times New Roman"/>
          <w:szCs w:val="22"/>
        </w:rPr>
      </w:pPr>
    </w:p>
    <w:p w14:paraId="4A335D10" w14:textId="57C61149" w:rsidR="008E07D9" w:rsidRPr="00B61AD3" w:rsidRDefault="008E07D9" w:rsidP="008E07D9">
      <w:pPr>
        <w:pStyle w:val="ListParagraph"/>
        <w:numPr>
          <w:ilvl w:val="0"/>
          <w:numId w:val="28"/>
        </w:numPr>
        <w:spacing w:line="240" w:lineRule="auto"/>
        <w:rPr>
          <w:rFonts w:cs="Times New Roman"/>
          <w:szCs w:val="22"/>
        </w:rPr>
      </w:pPr>
      <w:r w:rsidRPr="00B61AD3">
        <w:rPr>
          <w:rFonts w:cs="Times New Roman"/>
          <w:szCs w:val="22"/>
        </w:rPr>
        <w:t xml:space="preserve">the inclusion of conditions of the relevant exemptions are appropriately limited to notified therapeutic vaping devices or therapeutic vaping device accessories. The amendments </w:t>
      </w:r>
      <w:r w:rsidR="00CA5787">
        <w:rPr>
          <w:rFonts w:cs="Times New Roman"/>
          <w:szCs w:val="22"/>
        </w:rPr>
        <w:t>mentioned</w:t>
      </w:r>
      <w:r w:rsidRPr="00B61AD3">
        <w:rPr>
          <w:rFonts w:cs="Times New Roman"/>
          <w:szCs w:val="22"/>
        </w:rPr>
        <w:t xml:space="preserve"> below clarify the circumstances in which those devices continue to be exempt under existing arrangements.</w:t>
      </w:r>
    </w:p>
    <w:p w14:paraId="2F8619E3" w14:textId="77777777" w:rsidR="008E07D9" w:rsidRPr="00B61AD3" w:rsidRDefault="008E07D9" w:rsidP="008E07D9">
      <w:pPr>
        <w:spacing w:line="240" w:lineRule="auto"/>
        <w:contextualSpacing/>
        <w:rPr>
          <w:rFonts w:cs="Times New Roman"/>
          <w:szCs w:val="22"/>
        </w:rPr>
      </w:pPr>
    </w:p>
    <w:p w14:paraId="469BE298" w14:textId="77777777" w:rsidR="008E07D9" w:rsidRPr="00B61AD3" w:rsidRDefault="008E07D9" w:rsidP="008E07D9">
      <w:pPr>
        <w:spacing w:line="240" w:lineRule="auto"/>
        <w:contextualSpacing/>
        <w:rPr>
          <w:rFonts w:cs="Times New Roman"/>
          <w:szCs w:val="22"/>
        </w:rPr>
      </w:pPr>
      <w:r w:rsidRPr="00B61AD3">
        <w:rPr>
          <w:rFonts w:cs="Times New Roman"/>
          <w:szCs w:val="22"/>
        </w:rPr>
        <w:t>Additionally, it is considered necessary and appropriate to include the conditions of exemption in delegated legislation, rather than primary legislation, because:</w:t>
      </w:r>
    </w:p>
    <w:p w14:paraId="6550C5D8" w14:textId="77777777" w:rsidR="008E07D9" w:rsidRPr="00B61AD3" w:rsidRDefault="008E07D9" w:rsidP="008E07D9">
      <w:pPr>
        <w:spacing w:line="240" w:lineRule="auto"/>
        <w:contextualSpacing/>
        <w:rPr>
          <w:rFonts w:cs="Times New Roman"/>
          <w:szCs w:val="22"/>
        </w:rPr>
      </w:pPr>
    </w:p>
    <w:p w14:paraId="66C2ED7F" w14:textId="33EEC2EC" w:rsidR="008E07D9" w:rsidRPr="00B61AD3" w:rsidRDefault="008E07D9" w:rsidP="008E07D9">
      <w:pPr>
        <w:pStyle w:val="ListParagraph"/>
        <w:numPr>
          <w:ilvl w:val="0"/>
          <w:numId w:val="28"/>
        </w:numPr>
        <w:spacing w:line="240" w:lineRule="auto"/>
        <w:rPr>
          <w:rFonts w:cs="Times New Roman"/>
          <w:szCs w:val="22"/>
        </w:rPr>
      </w:pPr>
      <w:r w:rsidRPr="00B61AD3">
        <w:rPr>
          <w:rFonts w:cs="Times New Roman"/>
          <w:szCs w:val="22"/>
        </w:rPr>
        <w:t>the exemptions to which the conditions attach depend on complex interactions between laws that are subject to change</w:t>
      </w:r>
      <w:r w:rsidR="004F3153" w:rsidRPr="00B61AD3">
        <w:rPr>
          <w:rFonts w:cs="Times New Roman"/>
          <w:szCs w:val="22"/>
        </w:rPr>
        <w:t>. T</w:t>
      </w:r>
      <w:r w:rsidRPr="00B61AD3">
        <w:rPr>
          <w:rFonts w:cs="Times New Roman"/>
          <w:szCs w:val="22"/>
        </w:rPr>
        <w:t xml:space="preserve">he regulation of therapeutic goods and vaping goods is complex, being subject to overlapping Commonwealth and state and territory laws. Commonwealth delegated legislation (such as controls in the </w:t>
      </w:r>
      <w:r w:rsidRPr="00B61AD3">
        <w:rPr>
          <w:i/>
          <w:iCs/>
          <w:lang w:val="en-GB"/>
        </w:rPr>
        <w:t>Customs (Prohibited Imports) Regulations 1956</w:t>
      </w:r>
      <w:r w:rsidRPr="00B61AD3">
        <w:rPr>
          <w:lang w:val="en-GB"/>
        </w:rPr>
        <w:t xml:space="preserve"> (the </w:t>
      </w:r>
      <w:r w:rsidRPr="00B61AD3">
        <w:rPr>
          <w:rFonts w:cs="Times New Roman"/>
          <w:szCs w:val="22"/>
        </w:rPr>
        <w:t>CPI</w:t>
      </w:r>
      <w:r w:rsidR="00896A50" w:rsidRPr="00B61AD3">
        <w:t> </w:t>
      </w:r>
      <w:r w:rsidRPr="00B61AD3">
        <w:rPr>
          <w:rFonts w:cs="Times New Roman"/>
          <w:szCs w:val="22"/>
        </w:rPr>
        <w:t>Regulations)) and state and territory laws may change from time to time. It is necessary and appropriate to specify the conditions attaching to these exemptions in delegated legislation to deal with unintended situations that arise because of the complex interaction between, or changes to, these laws;</w:t>
      </w:r>
    </w:p>
    <w:p w14:paraId="5F1E0EE8" w14:textId="77777777" w:rsidR="008E07D9" w:rsidRPr="00B61AD3" w:rsidRDefault="008E07D9" w:rsidP="008E07D9">
      <w:pPr>
        <w:pStyle w:val="ListParagraph"/>
        <w:spacing w:line="240" w:lineRule="auto"/>
        <w:rPr>
          <w:rFonts w:cs="Times New Roman"/>
          <w:szCs w:val="22"/>
        </w:rPr>
      </w:pPr>
    </w:p>
    <w:p w14:paraId="1F2EB818" w14:textId="7A6B9D12" w:rsidR="008E07D9" w:rsidRPr="00B61AD3" w:rsidRDefault="008E07D9" w:rsidP="008E07D9">
      <w:pPr>
        <w:pStyle w:val="ListParagraph"/>
        <w:numPr>
          <w:ilvl w:val="0"/>
          <w:numId w:val="28"/>
        </w:numPr>
        <w:spacing w:line="240" w:lineRule="auto"/>
        <w:rPr>
          <w:rFonts w:cs="Times New Roman"/>
          <w:szCs w:val="22"/>
        </w:rPr>
      </w:pPr>
      <w:r w:rsidRPr="00B61AD3">
        <w:rPr>
          <w:rFonts w:cs="Times New Roman"/>
          <w:szCs w:val="22"/>
        </w:rPr>
        <w:t>the conditions interact with other parts of the exemptions</w:t>
      </w:r>
      <w:r w:rsidR="004F3153" w:rsidRPr="00B61AD3">
        <w:rPr>
          <w:rFonts w:cs="Times New Roman"/>
          <w:szCs w:val="22"/>
        </w:rPr>
        <w:t>.</w:t>
      </w:r>
      <w:r w:rsidRPr="00B61AD3">
        <w:rPr>
          <w:rFonts w:cs="Times New Roman"/>
          <w:szCs w:val="22"/>
        </w:rPr>
        <w:t xml:space="preserve"> </w:t>
      </w:r>
      <w:r w:rsidR="004F3153" w:rsidRPr="00B61AD3">
        <w:rPr>
          <w:rFonts w:cs="Times New Roman"/>
          <w:szCs w:val="22"/>
        </w:rPr>
        <w:t>T</w:t>
      </w:r>
      <w:r w:rsidRPr="00B61AD3">
        <w:rPr>
          <w:rFonts w:cs="Times New Roman"/>
          <w:szCs w:val="22"/>
        </w:rPr>
        <w:t xml:space="preserve">he conditions, including those added or amended below, cross-reference or otherwise interact with other parts of item 2.17 </w:t>
      </w:r>
      <w:r w:rsidR="000A7FC4" w:rsidRPr="00B61AD3">
        <w:rPr>
          <w:rFonts w:cs="Times New Roman"/>
          <w:szCs w:val="22"/>
        </w:rPr>
        <w:t>of</w:t>
      </w:r>
      <w:r w:rsidRPr="00B61AD3">
        <w:rPr>
          <w:rFonts w:cs="Times New Roman"/>
          <w:szCs w:val="22"/>
        </w:rPr>
        <w:t xml:space="preserve"> </w:t>
      </w:r>
      <w:r w:rsidR="009456F9" w:rsidRPr="00B61AD3">
        <w:rPr>
          <w:rFonts w:cs="Times New Roman"/>
          <w:szCs w:val="22"/>
        </w:rPr>
        <w:t xml:space="preserve">the table in </w:t>
      </w:r>
      <w:r w:rsidRPr="00B61AD3">
        <w:rPr>
          <w:rFonts w:cs="Times New Roman"/>
          <w:szCs w:val="22"/>
        </w:rPr>
        <w:t>Part 2 of Schedule 4 to the MD</w:t>
      </w:r>
      <w:r w:rsidR="00896A50" w:rsidRPr="00B61AD3">
        <w:t> </w:t>
      </w:r>
      <w:r w:rsidRPr="00B61AD3">
        <w:rPr>
          <w:rFonts w:cs="Times New Roman"/>
          <w:szCs w:val="22"/>
        </w:rPr>
        <w:t>Regulations. To improve clarity and ease of understanding, it is desirable for these provisions to appear together, rather than being fragmented across the Act and</w:t>
      </w:r>
      <w:r w:rsidR="00896A50" w:rsidRPr="00B61AD3">
        <w:t> </w:t>
      </w:r>
      <w:r w:rsidRPr="00B61AD3">
        <w:rPr>
          <w:rFonts w:cs="Times New Roman"/>
          <w:szCs w:val="22"/>
        </w:rPr>
        <w:t>MD Regulations;</w:t>
      </w:r>
    </w:p>
    <w:p w14:paraId="5E593414" w14:textId="77777777" w:rsidR="008E07D9" w:rsidRPr="00B61AD3" w:rsidRDefault="008E07D9" w:rsidP="008E07D9">
      <w:pPr>
        <w:pStyle w:val="ListParagraph"/>
        <w:spacing w:line="240" w:lineRule="auto"/>
        <w:rPr>
          <w:rFonts w:cs="Times New Roman"/>
          <w:szCs w:val="22"/>
        </w:rPr>
      </w:pPr>
    </w:p>
    <w:p w14:paraId="1F2FC86C" w14:textId="38B8803B" w:rsidR="008E07D9" w:rsidRPr="00B61AD3" w:rsidRDefault="008E07D9" w:rsidP="008E07D9">
      <w:pPr>
        <w:pStyle w:val="ListParagraph"/>
        <w:numPr>
          <w:ilvl w:val="0"/>
          <w:numId w:val="28"/>
        </w:numPr>
        <w:spacing w:line="240" w:lineRule="auto"/>
        <w:rPr>
          <w:rFonts w:cs="Times New Roman"/>
          <w:szCs w:val="22"/>
        </w:rPr>
      </w:pPr>
      <w:r w:rsidRPr="00B61AD3">
        <w:rPr>
          <w:rFonts w:cs="Times New Roman"/>
          <w:szCs w:val="22"/>
        </w:rPr>
        <w:t>the conditions are highly detailed</w:t>
      </w:r>
      <w:r w:rsidR="004F3153" w:rsidRPr="00B61AD3">
        <w:rPr>
          <w:rFonts w:cs="Times New Roman"/>
          <w:szCs w:val="22"/>
        </w:rPr>
        <w:t>.</w:t>
      </w:r>
      <w:r w:rsidRPr="00B61AD3">
        <w:rPr>
          <w:rFonts w:cs="Times New Roman"/>
          <w:szCs w:val="22"/>
        </w:rPr>
        <w:t xml:space="preserve"> </w:t>
      </w:r>
      <w:r w:rsidR="004F3153" w:rsidRPr="00B61AD3">
        <w:rPr>
          <w:rFonts w:cs="Times New Roman"/>
          <w:szCs w:val="22"/>
        </w:rPr>
        <w:t>T</w:t>
      </w:r>
      <w:r w:rsidRPr="00B61AD3">
        <w:rPr>
          <w:rFonts w:cs="Times New Roman"/>
          <w:szCs w:val="22"/>
        </w:rPr>
        <w:t xml:space="preserve">he circumstances and conditions </w:t>
      </w:r>
      <w:r w:rsidR="00B22616" w:rsidRPr="00B61AD3">
        <w:rPr>
          <w:rFonts w:cs="Times New Roman"/>
          <w:szCs w:val="22"/>
        </w:rPr>
        <w:t>in</w:t>
      </w:r>
      <w:r w:rsidRPr="00B61AD3">
        <w:rPr>
          <w:rFonts w:cs="Times New Roman"/>
          <w:szCs w:val="22"/>
        </w:rPr>
        <w:t xml:space="preserve"> which vaping goods may be lawfully imported</w:t>
      </w:r>
      <w:r w:rsidR="00420478" w:rsidRPr="00B61AD3">
        <w:rPr>
          <w:rFonts w:cs="Times New Roman"/>
          <w:szCs w:val="22"/>
        </w:rPr>
        <w:t xml:space="preserve"> and</w:t>
      </w:r>
      <w:r w:rsidR="00461206" w:rsidRPr="00B61AD3">
        <w:rPr>
          <w:rFonts w:cs="Times New Roman"/>
          <w:szCs w:val="22"/>
        </w:rPr>
        <w:t xml:space="preserve"> </w:t>
      </w:r>
      <w:r w:rsidRPr="00B61AD3">
        <w:rPr>
          <w:rFonts w:cs="Times New Roman"/>
          <w:szCs w:val="22"/>
        </w:rPr>
        <w:t xml:space="preserve">supplied is complex. This detail is more appropriately dealt with in the </w:t>
      </w:r>
      <w:r w:rsidR="00CA5787">
        <w:rPr>
          <w:rFonts w:cs="Times New Roman"/>
          <w:szCs w:val="22"/>
        </w:rPr>
        <w:t>conditions of the exemption</w:t>
      </w:r>
      <w:r w:rsidRPr="00B61AD3">
        <w:rPr>
          <w:rFonts w:cs="Times New Roman"/>
          <w:szCs w:val="22"/>
        </w:rPr>
        <w:t xml:space="preserve"> for brevity and clarity;</w:t>
      </w:r>
    </w:p>
    <w:p w14:paraId="072892F5" w14:textId="77777777" w:rsidR="008E07D9" w:rsidRPr="00B61AD3" w:rsidRDefault="008E07D9" w:rsidP="008E07D9">
      <w:pPr>
        <w:pStyle w:val="ListParagraph"/>
        <w:spacing w:line="240" w:lineRule="auto"/>
        <w:rPr>
          <w:rFonts w:cs="Times New Roman"/>
          <w:szCs w:val="22"/>
        </w:rPr>
      </w:pPr>
    </w:p>
    <w:p w14:paraId="3A9A6B90" w14:textId="5D87F160" w:rsidR="008E07D9" w:rsidRPr="00B61AD3" w:rsidRDefault="008E07D9" w:rsidP="008E07D9">
      <w:pPr>
        <w:pStyle w:val="ListParagraph"/>
        <w:numPr>
          <w:ilvl w:val="0"/>
          <w:numId w:val="28"/>
        </w:numPr>
        <w:spacing w:line="240" w:lineRule="auto"/>
        <w:rPr>
          <w:rFonts w:cs="Times New Roman"/>
          <w:szCs w:val="22"/>
        </w:rPr>
      </w:pPr>
      <w:r w:rsidRPr="00B61AD3">
        <w:rPr>
          <w:rFonts w:cs="Times New Roman"/>
          <w:szCs w:val="22"/>
        </w:rPr>
        <w:t>the vaping goods licit and illicit markets are dynamic</w:t>
      </w:r>
      <w:r w:rsidR="004F3153" w:rsidRPr="00B61AD3">
        <w:rPr>
          <w:rFonts w:cs="Times New Roman"/>
          <w:szCs w:val="22"/>
        </w:rPr>
        <w:t>.</w:t>
      </w:r>
      <w:r w:rsidRPr="00B61AD3">
        <w:rPr>
          <w:rFonts w:cs="Times New Roman"/>
          <w:szCs w:val="22"/>
        </w:rPr>
        <w:t xml:space="preserve"> </w:t>
      </w:r>
      <w:r w:rsidR="004F3153" w:rsidRPr="00B61AD3">
        <w:rPr>
          <w:rFonts w:cs="Times New Roman"/>
          <w:szCs w:val="22"/>
        </w:rPr>
        <w:t>T</w:t>
      </w:r>
      <w:r w:rsidRPr="00B61AD3">
        <w:rPr>
          <w:rFonts w:cs="Times New Roman"/>
          <w:szCs w:val="22"/>
        </w:rPr>
        <w:t>he regulation of vaping goods is complex, and the lawful and black-market supply of these goods is innovative. It is therefore necessary and appropriate for the conditions of exemption to be contained in regulations in accordance with the relevant head of power in section 41HA of the Act. The use of regulations in this manner facilitates more timely regulatory change as the situation requires.</w:t>
      </w:r>
    </w:p>
    <w:p w14:paraId="511D53BF" w14:textId="77777777" w:rsidR="008E07D9" w:rsidRPr="00B61AD3" w:rsidRDefault="008E07D9" w:rsidP="008E07D9">
      <w:pPr>
        <w:spacing w:line="240" w:lineRule="auto"/>
        <w:contextualSpacing/>
        <w:rPr>
          <w:rFonts w:cs="Times New Roman"/>
          <w:szCs w:val="22"/>
        </w:rPr>
      </w:pPr>
    </w:p>
    <w:p w14:paraId="6D229775" w14:textId="187DF987" w:rsidR="008E07D9" w:rsidRPr="00B61AD3" w:rsidRDefault="008E07D9" w:rsidP="008E07D9">
      <w:pPr>
        <w:spacing w:line="240" w:lineRule="auto"/>
        <w:contextualSpacing/>
        <w:rPr>
          <w:rFonts w:cs="Times New Roman"/>
          <w:szCs w:val="22"/>
        </w:rPr>
      </w:pPr>
      <w:r w:rsidRPr="00B61AD3">
        <w:rPr>
          <w:rFonts w:cs="Times New Roman"/>
          <w:szCs w:val="22"/>
        </w:rPr>
        <w:t>The MD</w:t>
      </w:r>
      <w:r w:rsidR="00F2402D" w:rsidRPr="00B61AD3">
        <w:rPr>
          <w:rFonts w:cs="Times New Roman"/>
          <w:szCs w:val="22"/>
        </w:rPr>
        <w:t> </w:t>
      </w:r>
      <w:r w:rsidRPr="00B61AD3">
        <w:rPr>
          <w:rFonts w:cs="Times New Roman"/>
          <w:szCs w:val="22"/>
        </w:rPr>
        <w:t>Regulations therefore provide an appropriate mechanism to enable conditions of exemption for the importation</w:t>
      </w:r>
      <w:r w:rsidR="00461206" w:rsidRPr="00B61AD3">
        <w:rPr>
          <w:rFonts w:cs="Times New Roman"/>
          <w:szCs w:val="22"/>
        </w:rPr>
        <w:t xml:space="preserve"> and</w:t>
      </w:r>
      <w:r w:rsidRPr="00B61AD3">
        <w:rPr>
          <w:rFonts w:cs="Times New Roman"/>
          <w:szCs w:val="22"/>
        </w:rPr>
        <w:t xml:space="preserve"> supply of legitimate</w:t>
      </w:r>
      <w:r w:rsidR="00FF5B2F" w:rsidRPr="00B61AD3">
        <w:rPr>
          <w:rFonts w:cs="Times New Roman"/>
          <w:szCs w:val="22"/>
        </w:rPr>
        <w:t xml:space="preserve"> therapeutic</w:t>
      </w:r>
      <w:r w:rsidRPr="00B61AD3">
        <w:rPr>
          <w:rFonts w:cs="Times New Roman"/>
          <w:szCs w:val="22"/>
        </w:rPr>
        <w:t xml:space="preserve"> </w:t>
      </w:r>
      <w:r w:rsidR="00CC1848" w:rsidRPr="00B61AD3">
        <w:rPr>
          <w:rFonts w:cs="Times New Roman"/>
          <w:szCs w:val="22"/>
        </w:rPr>
        <w:t xml:space="preserve">vaping devices or </w:t>
      </w:r>
      <w:r w:rsidR="00FF5B2F" w:rsidRPr="00B61AD3">
        <w:rPr>
          <w:rFonts w:cs="Times New Roman"/>
          <w:szCs w:val="22"/>
        </w:rPr>
        <w:t xml:space="preserve">therapeutic </w:t>
      </w:r>
      <w:r w:rsidR="00CC1848" w:rsidRPr="00B61AD3">
        <w:rPr>
          <w:rFonts w:cs="Times New Roman"/>
          <w:szCs w:val="22"/>
        </w:rPr>
        <w:t>vaping device accessories</w:t>
      </w:r>
      <w:r w:rsidRPr="00B61AD3">
        <w:rPr>
          <w:rFonts w:cs="Times New Roman"/>
          <w:szCs w:val="22"/>
        </w:rPr>
        <w:t>.</w:t>
      </w:r>
    </w:p>
    <w:p w14:paraId="631951DF" w14:textId="77777777" w:rsidR="008E07D9" w:rsidRPr="00B61AD3" w:rsidRDefault="008E07D9" w:rsidP="008E07D9">
      <w:pPr>
        <w:spacing w:line="240" w:lineRule="auto"/>
        <w:contextualSpacing/>
        <w:rPr>
          <w:rFonts w:cs="Times New Roman"/>
          <w:szCs w:val="22"/>
        </w:rPr>
      </w:pPr>
    </w:p>
    <w:p w14:paraId="5D66C747" w14:textId="300A4A41" w:rsidR="008E07D9" w:rsidRPr="00B61AD3" w:rsidRDefault="004F3153" w:rsidP="008E07D9">
      <w:pPr>
        <w:spacing w:line="240" w:lineRule="auto"/>
        <w:contextualSpacing/>
        <w:rPr>
          <w:rFonts w:cs="Times New Roman"/>
          <w:i/>
          <w:iCs/>
          <w:szCs w:val="22"/>
        </w:rPr>
      </w:pPr>
      <w:r w:rsidRPr="00B61AD3">
        <w:rPr>
          <w:rFonts w:cs="Times New Roman"/>
          <w:i/>
          <w:iCs/>
          <w:szCs w:val="22"/>
        </w:rPr>
        <w:t>O</w:t>
      </w:r>
      <w:r w:rsidR="008E07D9" w:rsidRPr="00B61AD3">
        <w:rPr>
          <w:rFonts w:cs="Times New Roman"/>
          <w:i/>
          <w:iCs/>
          <w:szCs w:val="22"/>
        </w:rPr>
        <w:t>ffence and civil penalties</w:t>
      </w:r>
    </w:p>
    <w:p w14:paraId="4AF7E4E1" w14:textId="77777777" w:rsidR="008E07D9" w:rsidRPr="00B61AD3" w:rsidRDefault="008E07D9" w:rsidP="008E07D9">
      <w:pPr>
        <w:spacing w:line="240" w:lineRule="auto"/>
        <w:contextualSpacing/>
        <w:rPr>
          <w:rFonts w:cs="Times New Roman"/>
          <w:szCs w:val="22"/>
        </w:rPr>
      </w:pPr>
    </w:p>
    <w:p w14:paraId="23146FC5" w14:textId="77777777" w:rsidR="008E07D9" w:rsidRPr="00B61AD3" w:rsidRDefault="008E07D9" w:rsidP="008E07D9">
      <w:pPr>
        <w:spacing w:line="259" w:lineRule="auto"/>
        <w:rPr>
          <w:lang w:val="en-GB"/>
        </w:rPr>
      </w:pPr>
      <w:r w:rsidRPr="00B61AD3">
        <w:rPr>
          <w:lang w:val="en-GB"/>
        </w:rPr>
        <w:t>The Act includes tiered offences and a civil penalty provision where a person ‘does or omits to do an act’, and that ‘act or omission breaches a condition of exemption applicable under regulations made for the purposes of section 41HA’.</w:t>
      </w:r>
    </w:p>
    <w:p w14:paraId="62109ED9" w14:textId="77777777" w:rsidR="008E07D9" w:rsidRPr="00B61AD3" w:rsidRDefault="008E07D9" w:rsidP="008E07D9">
      <w:pPr>
        <w:rPr>
          <w:lang w:val="en-GB"/>
        </w:rPr>
      </w:pPr>
    </w:p>
    <w:p w14:paraId="32AAD335" w14:textId="7719EED2" w:rsidR="008E07D9" w:rsidRPr="00B61AD3" w:rsidRDefault="000A7FC4" w:rsidP="008E07D9">
      <w:pPr>
        <w:spacing w:line="259" w:lineRule="auto"/>
        <w:rPr>
          <w:lang w:val="en-GB"/>
        </w:rPr>
      </w:pPr>
      <w:r w:rsidRPr="00B61AD3">
        <w:rPr>
          <w:lang w:val="en-GB"/>
        </w:rPr>
        <w:t>I</w:t>
      </w:r>
      <w:r w:rsidR="008E07D9" w:rsidRPr="00B61AD3">
        <w:rPr>
          <w:lang w:val="en-GB"/>
        </w:rPr>
        <w:t xml:space="preserve">tem 2.17 </w:t>
      </w:r>
      <w:r w:rsidRPr="00B61AD3">
        <w:rPr>
          <w:lang w:val="en-GB"/>
        </w:rPr>
        <w:t xml:space="preserve">of the table </w:t>
      </w:r>
      <w:r w:rsidR="008E07D9" w:rsidRPr="00B61AD3">
        <w:rPr>
          <w:lang w:val="en-GB"/>
        </w:rPr>
        <w:t>in Part 2 of Schedule 4 to the MD</w:t>
      </w:r>
      <w:r w:rsidR="007061A3" w:rsidRPr="00B61AD3">
        <w:t> </w:t>
      </w:r>
      <w:r w:rsidR="008E07D9" w:rsidRPr="00B61AD3">
        <w:rPr>
          <w:lang w:val="en-GB"/>
        </w:rPr>
        <w:t>Regulations is made under section 41HA of the Act. Therefore, an act or omission which breaches a condition in column 3 of item 2.17 may be:</w:t>
      </w:r>
    </w:p>
    <w:p w14:paraId="5E757311" w14:textId="77777777" w:rsidR="008E07D9" w:rsidRPr="00B61AD3" w:rsidRDefault="008E07D9" w:rsidP="008E07D9">
      <w:pPr>
        <w:rPr>
          <w:lang w:val="en-GB"/>
        </w:rPr>
      </w:pPr>
    </w:p>
    <w:p w14:paraId="5ACC32B5" w14:textId="77777777" w:rsidR="008E07D9" w:rsidRPr="00B61AD3" w:rsidRDefault="008E07D9" w:rsidP="008E07D9">
      <w:pPr>
        <w:pStyle w:val="ListParagraph"/>
        <w:numPr>
          <w:ilvl w:val="0"/>
          <w:numId w:val="28"/>
        </w:numPr>
        <w:spacing w:line="240" w:lineRule="auto"/>
        <w:rPr>
          <w:lang w:val="en-GB"/>
        </w:rPr>
      </w:pPr>
      <w:r w:rsidRPr="00B61AD3">
        <w:rPr>
          <w:lang w:val="en-GB"/>
        </w:rPr>
        <w:t xml:space="preserve">a fault-based offence under subsection 41MN(9) of the Act, in circumstances where an aggravating factor applies, namely that the act or omission has resulted in, will result in, or is likely to result in, harm or injury to any person. The maximum penalty for this aggravated offence is </w:t>
      </w:r>
      <w:r w:rsidRPr="00B61AD3">
        <w:rPr>
          <w:rFonts w:cs="Times New Roman"/>
          <w:szCs w:val="22"/>
        </w:rPr>
        <w:t>imprisonment</w:t>
      </w:r>
      <w:r w:rsidRPr="00B61AD3">
        <w:rPr>
          <w:lang w:val="en-GB"/>
        </w:rPr>
        <w:t xml:space="preserve"> for 5 years or 4,000 penalty units, or both;</w:t>
      </w:r>
    </w:p>
    <w:p w14:paraId="66C23A4B" w14:textId="77777777" w:rsidR="008E07D9" w:rsidRPr="00B61AD3" w:rsidRDefault="008E07D9" w:rsidP="008E07D9">
      <w:pPr>
        <w:rPr>
          <w:lang w:val="en-GB"/>
        </w:rPr>
      </w:pPr>
    </w:p>
    <w:p w14:paraId="444348B4" w14:textId="77777777" w:rsidR="008E07D9" w:rsidRPr="00B61AD3" w:rsidRDefault="008E07D9" w:rsidP="008E07D9">
      <w:pPr>
        <w:pStyle w:val="ListParagraph"/>
        <w:numPr>
          <w:ilvl w:val="0"/>
          <w:numId w:val="28"/>
        </w:numPr>
        <w:spacing w:line="240" w:lineRule="auto"/>
        <w:rPr>
          <w:lang w:val="en-GB"/>
        </w:rPr>
      </w:pPr>
      <w:r w:rsidRPr="00B61AD3">
        <w:rPr>
          <w:lang w:val="en-GB"/>
        </w:rPr>
        <w:lastRenderedPageBreak/>
        <w:t xml:space="preserve">a fault-based offence under subsection 41MN(9A) of the Act, which does not include an aggravating factor. </w:t>
      </w:r>
      <w:r w:rsidRPr="00B61AD3">
        <w:rPr>
          <w:rFonts w:cs="Times New Roman"/>
          <w:szCs w:val="22"/>
        </w:rPr>
        <w:t>The</w:t>
      </w:r>
      <w:r w:rsidRPr="00B61AD3">
        <w:rPr>
          <w:lang w:val="en-GB"/>
        </w:rPr>
        <w:t xml:space="preserve"> maximum penalty for this offence is imprisonment for 12 months or 1,000 penalty units, or both;</w:t>
      </w:r>
    </w:p>
    <w:p w14:paraId="64490C16" w14:textId="77777777" w:rsidR="008E07D9" w:rsidRPr="00B61AD3" w:rsidRDefault="008E07D9" w:rsidP="008E07D9">
      <w:pPr>
        <w:rPr>
          <w:lang w:val="en-GB"/>
        </w:rPr>
      </w:pPr>
    </w:p>
    <w:p w14:paraId="61619B01" w14:textId="77777777" w:rsidR="008E07D9" w:rsidRPr="00B61AD3" w:rsidRDefault="008E07D9" w:rsidP="008E07D9">
      <w:pPr>
        <w:pStyle w:val="ListParagraph"/>
        <w:numPr>
          <w:ilvl w:val="0"/>
          <w:numId w:val="28"/>
        </w:numPr>
        <w:spacing w:line="240" w:lineRule="auto"/>
        <w:rPr>
          <w:lang w:val="en-GB"/>
        </w:rPr>
      </w:pPr>
      <w:r w:rsidRPr="00B61AD3">
        <w:rPr>
          <w:lang w:val="en-GB"/>
        </w:rPr>
        <w:t>a strict liability offence under subsection 41MN(9B) of the Act. The maximum penalty for this offence is 100 penalty units;</w:t>
      </w:r>
    </w:p>
    <w:p w14:paraId="78846E98" w14:textId="77777777" w:rsidR="008E07D9" w:rsidRPr="00B61AD3" w:rsidRDefault="008E07D9" w:rsidP="008E07D9">
      <w:pPr>
        <w:rPr>
          <w:lang w:val="en-GB"/>
        </w:rPr>
      </w:pPr>
    </w:p>
    <w:p w14:paraId="0B93B961" w14:textId="77777777" w:rsidR="008E07D9" w:rsidRPr="00B61AD3" w:rsidRDefault="008E07D9" w:rsidP="008E07D9">
      <w:pPr>
        <w:pStyle w:val="ListParagraph"/>
        <w:numPr>
          <w:ilvl w:val="0"/>
          <w:numId w:val="28"/>
        </w:numPr>
        <w:spacing w:line="240" w:lineRule="auto"/>
        <w:rPr>
          <w:lang w:val="en-GB"/>
        </w:rPr>
      </w:pPr>
      <w:r w:rsidRPr="00B61AD3">
        <w:rPr>
          <w:lang w:val="en-GB"/>
        </w:rPr>
        <w:t xml:space="preserve">a </w:t>
      </w:r>
      <w:r w:rsidRPr="00B61AD3">
        <w:rPr>
          <w:rFonts w:cs="Times New Roman"/>
          <w:szCs w:val="22"/>
        </w:rPr>
        <w:t>contravention</w:t>
      </w:r>
      <w:r w:rsidRPr="00B61AD3">
        <w:rPr>
          <w:lang w:val="en-GB"/>
        </w:rPr>
        <w:t xml:space="preserve"> of the civil penalty provision in subsection 41MNA(2A) of the Act. The maximum civil penalty is 5,000 penalty units for an individual and 50,000 penalty units for a body corporate.</w:t>
      </w:r>
    </w:p>
    <w:p w14:paraId="3D3B70F7" w14:textId="77777777" w:rsidR="008E07D9" w:rsidRPr="00B61AD3" w:rsidRDefault="008E07D9" w:rsidP="008E07D9">
      <w:pPr>
        <w:spacing w:line="240" w:lineRule="auto"/>
        <w:contextualSpacing/>
        <w:rPr>
          <w:rFonts w:cs="Times New Roman"/>
          <w:szCs w:val="22"/>
        </w:rPr>
      </w:pPr>
    </w:p>
    <w:p w14:paraId="1B01AB5E" w14:textId="5FA44604" w:rsidR="004F3153" w:rsidRPr="00B61AD3" w:rsidRDefault="008E07D9" w:rsidP="008E07D9">
      <w:pPr>
        <w:spacing w:line="259" w:lineRule="auto"/>
        <w:rPr>
          <w:lang w:val="en-GB"/>
        </w:rPr>
      </w:pPr>
      <w:r w:rsidRPr="00B61AD3">
        <w:rPr>
          <w:lang w:val="en-GB"/>
        </w:rPr>
        <w:t xml:space="preserve">Each of the conditions </w:t>
      </w:r>
      <w:r w:rsidR="004F3153" w:rsidRPr="00B61AD3">
        <w:rPr>
          <w:lang w:val="en-GB"/>
        </w:rPr>
        <w:t xml:space="preserve">specified </w:t>
      </w:r>
      <w:r w:rsidRPr="00B61AD3">
        <w:rPr>
          <w:lang w:val="en-GB"/>
        </w:rPr>
        <w:t xml:space="preserve">in item 2.17 </w:t>
      </w:r>
      <w:r w:rsidR="008107FC" w:rsidRPr="00B61AD3">
        <w:rPr>
          <w:lang w:val="en-GB"/>
        </w:rPr>
        <w:t>of</w:t>
      </w:r>
      <w:r w:rsidRPr="00B61AD3">
        <w:rPr>
          <w:lang w:val="en-GB"/>
        </w:rPr>
        <w:t xml:space="preserve"> </w:t>
      </w:r>
      <w:r w:rsidR="009456F9" w:rsidRPr="00B61AD3">
        <w:rPr>
          <w:lang w:val="en-GB"/>
        </w:rPr>
        <w:t xml:space="preserve">the table in </w:t>
      </w:r>
      <w:r w:rsidRPr="00B61AD3">
        <w:rPr>
          <w:lang w:val="en-GB"/>
        </w:rPr>
        <w:t>Part 2 of Schedule 4 to the MD</w:t>
      </w:r>
      <w:r w:rsidR="00457B10" w:rsidRPr="00B61AD3">
        <w:rPr>
          <w:rFonts w:cs="Times New Roman"/>
          <w:szCs w:val="22"/>
        </w:rPr>
        <w:t> </w:t>
      </w:r>
      <w:r w:rsidRPr="00B61AD3">
        <w:rPr>
          <w:lang w:val="en-GB"/>
        </w:rPr>
        <w:t xml:space="preserve">Regulations, including the conditions introduced </w:t>
      </w:r>
      <w:r w:rsidR="00307FC3" w:rsidRPr="00B61AD3">
        <w:rPr>
          <w:lang w:val="en-GB"/>
        </w:rPr>
        <w:t>or amended</w:t>
      </w:r>
      <w:r w:rsidRPr="00B61AD3">
        <w:rPr>
          <w:lang w:val="en-GB"/>
        </w:rPr>
        <w:t xml:space="preserve"> </w:t>
      </w:r>
      <w:r w:rsidR="004F3153" w:rsidRPr="00B61AD3">
        <w:rPr>
          <w:lang w:val="en-GB"/>
        </w:rPr>
        <w:t xml:space="preserve">by an item </w:t>
      </w:r>
      <w:r w:rsidR="00CA5787">
        <w:rPr>
          <w:lang w:val="en-GB"/>
        </w:rPr>
        <w:t xml:space="preserve">mentioned </w:t>
      </w:r>
      <w:r w:rsidRPr="00B61AD3">
        <w:rPr>
          <w:lang w:val="en-GB"/>
        </w:rPr>
        <w:t>below, focuses on the conduct of the sponsor, who has voluntarily submitted themselves to the notified therapeutic vaping goods scheme by submitting a sponsor notice under paragraph (b) of the column headed “Kinds of medical devices” in item 2.17.</w:t>
      </w:r>
    </w:p>
    <w:p w14:paraId="74F50F04" w14:textId="77777777" w:rsidR="004F3153" w:rsidRPr="00B61AD3" w:rsidRDefault="004F3153" w:rsidP="008E07D9">
      <w:pPr>
        <w:spacing w:line="259" w:lineRule="auto"/>
        <w:rPr>
          <w:lang w:val="en-GB"/>
        </w:rPr>
      </w:pPr>
    </w:p>
    <w:p w14:paraId="2C698C72" w14:textId="66C73E60" w:rsidR="008E07D9" w:rsidRPr="00B61AD3" w:rsidRDefault="008E07D9" w:rsidP="008E07D9">
      <w:pPr>
        <w:spacing w:line="259" w:lineRule="auto"/>
        <w:rPr>
          <w:lang w:val="en-GB"/>
        </w:rPr>
      </w:pPr>
      <w:r w:rsidRPr="00B61AD3">
        <w:rPr>
          <w:lang w:val="en-GB"/>
        </w:rPr>
        <w:t>Therefore, the sponsor has chosen to voluntarily subject themselves to applicable conditions of exemption, where non-compliance with a condition may be an offence or civil penalty contravention. By participating in the scheme, and complying with applicable conditions, a sponsor is permitted to lawfully possess and supply the relevant notified therapeutic vaping goods in Australia, as part of a regulated market.</w:t>
      </w:r>
    </w:p>
    <w:p w14:paraId="683DCDA6" w14:textId="77777777" w:rsidR="008E07D9" w:rsidRPr="00B61AD3" w:rsidRDefault="008E07D9" w:rsidP="008E07D9">
      <w:pPr>
        <w:rPr>
          <w:lang w:val="en-GB"/>
        </w:rPr>
      </w:pPr>
    </w:p>
    <w:p w14:paraId="26074A26" w14:textId="55EFA7B3" w:rsidR="008E07D9" w:rsidRPr="00B61AD3" w:rsidRDefault="008E07D9" w:rsidP="008E07D9">
      <w:pPr>
        <w:spacing w:line="259" w:lineRule="auto"/>
        <w:rPr>
          <w:lang w:val="en-GB"/>
        </w:rPr>
      </w:pPr>
      <w:r w:rsidRPr="00B61AD3">
        <w:rPr>
          <w:lang w:val="en-GB"/>
        </w:rPr>
        <w:t>The scheme places trust in regulated entities to make truthful and accurate statements as to the quality and safety of relevant notified therapeutic vaping goods, and to comply with all applicable conditions of exemption until the sponsor notice has been withdrawn, or the goods are subject of a determination by the Secretary that supply of the goods be stopped or should cease.</w:t>
      </w:r>
    </w:p>
    <w:p w14:paraId="00B45C6A" w14:textId="77777777" w:rsidR="008E07D9" w:rsidRPr="00B61AD3" w:rsidRDefault="008E07D9" w:rsidP="008E07D9">
      <w:pPr>
        <w:rPr>
          <w:lang w:val="en-GB"/>
        </w:rPr>
      </w:pPr>
    </w:p>
    <w:p w14:paraId="224A025C" w14:textId="77777777" w:rsidR="008E07D9" w:rsidRPr="00B61AD3" w:rsidRDefault="008E07D9" w:rsidP="008E07D9">
      <w:pPr>
        <w:spacing w:line="259" w:lineRule="auto"/>
        <w:rPr>
          <w:lang w:val="en-GB"/>
        </w:rPr>
      </w:pPr>
      <w:r w:rsidRPr="00B61AD3">
        <w:rPr>
          <w:lang w:val="en-GB"/>
        </w:rPr>
        <w:t>There is no statutory process for the Therapeutic Goods Administration (TGA) to assess, approve or reject notifications when those notifications are made. Therefore, conditions—on pain of potential penalty for non-compliance—are critical to ensure ongoing patient and community safety, and patient, regulator and industry confidence in the scheme.</w:t>
      </w:r>
    </w:p>
    <w:p w14:paraId="0C495194" w14:textId="77777777" w:rsidR="008E07D9" w:rsidRPr="00B61AD3" w:rsidRDefault="008E07D9" w:rsidP="008E07D9">
      <w:pPr>
        <w:rPr>
          <w:lang w:val="en-GB"/>
        </w:rPr>
      </w:pPr>
    </w:p>
    <w:p w14:paraId="73CB44AF" w14:textId="14A02AFC" w:rsidR="008E07D9" w:rsidRPr="00B61AD3" w:rsidRDefault="008E07D9" w:rsidP="008E07D9">
      <w:pPr>
        <w:spacing w:line="259" w:lineRule="auto"/>
        <w:rPr>
          <w:lang w:val="en-GB"/>
        </w:rPr>
      </w:pPr>
      <w:r w:rsidRPr="00B61AD3">
        <w:rPr>
          <w:lang w:val="en-GB"/>
        </w:rPr>
        <w:t>For example, item 4</w:t>
      </w:r>
      <w:r w:rsidR="00CA5787">
        <w:rPr>
          <w:lang w:val="en-GB"/>
        </w:rPr>
        <w:t xml:space="preserve"> mentioned</w:t>
      </w:r>
      <w:r w:rsidRPr="00B61AD3">
        <w:rPr>
          <w:lang w:val="en-GB"/>
        </w:rPr>
        <w:t xml:space="preserve"> below</w:t>
      </w:r>
      <w:r w:rsidR="001C2C9D" w:rsidRPr="00B61AD3">
        <w:rPr>
          <w:lang w:val="en-GB"/>
        </w:rPr>
        <w:t xml:space="preserve"> (among other things)</w:t>
      </w:r>
      <w:r w:rsidRPr="00B61AD3">
        <w:rPr>
          <w:lang w:val="en-GB"/>
        </w:rPr>
        <w:t xml:space="preserve"> clarifies that a sponsor must ensure that their notified therapeutic vaping device or therapeutic vaping device accessory complies with the essential principles</w:t>
      </w:r>
      <w:r w:rsidR="00CA5787">
        <w:rPr>
          <w:lang w:val="en-GB"/>
        </w:rPr>
        <w:t xml:space="preserve"> (unless imported or supplied </w:t>
      </w:r>
      <w:r w:rsidR="00CA5787" w:rsidRPr="00B61AD3">
        <w:rPr>
          <w:rFonts w:cs="Times New Roman"/>
          <w:szCs w:val="22"/>
        </w:rPr>
        <w:t>with the consent of the Secretary under section 41MA or 41MAA of the Act</w:t>
      </w:r>
      <w:r w:rsidR="00CA5787">
        <w:rPr>
          <w:rFonts w:cs="Times New Roman"/>
          <w:szCs w:val="22"/>
        </w:rPr>
        <w:t>)</w:t>
      </w:r>
      <w:r w:rsidRPr="00B61AD3">
        <w:rPr>
          <w:lang w:val="en-GB"/>
        </w:rPr>
        <w:t>, even where those essential principles change from time to time. Changes to the essential principles are an important regulatory mechanism by which the TGA can respond to new and emerging public health concerns, such as innovation in the vaping industry and improved scientific understanding of the effect of certain ingredients in vaping substances.</w:t>
      </w:r>
    </w:p>
    <w:p w14:paraId="5816F2AF" w14:textId="77777777" w:rsidR="008E07D9" w:rsidRPr="00B61AD3" w:rsidRDefault="008E07D9" w:rsidP="008E07D9">
      <w:pPr>
        <w:rPr>
          <w:lang w:val="en-GB"/>
        </w:rPr>
      </w:pPr>
    </w:p>
    <w:p w14:paraId="0369049C" w14:textId="0EC4E4FB" w:rsidR="008E07D9" w:rsidRPr="00B61AD3" w:rsidRDefault="008E07D9" w:rsidP="008E07D9">
      <w:pPr>
        <w:spacing w:line="259" w:lineRule="auto"/>
        <w:rPr>
          <w:lang w:val="en-GB"/>
        </w:rPr>
      </w:pPr>
      <w:r w:rsidRPr="00B61AD3">
        <w:rPr>
          <w:lang w:val="en-GB"/>
        </w:rPr>
        <w:t xml:space="preserve">Except in an urgent public health crisis or similarly extraordinary circumstance, an update to </w:t>
      </w:r>
      <w:r w:rsidR="001C2C9D" w:rsidRPr="00B61AD3">
        <w:rPr>
          <w:lang w:val="en-GB"/>
        </w:rPr>
        <w:t>the</w:t>
      </w:r>
      <w:r w:rsidRPr="00B61AD3">
        <w:rPr>
          <w:lang w:val="en-GB"/>
        </w:rPr>
        <w:t xml:space="preserve"> essential principles will </w:t>
      </w:r>
      <w:r w:rsidR="00CA5787">
        <w:rPr>
          <w:lang w:val="en-GB"/>
        </w:rPr>
        <w:t xml:space="preserve">generally </w:t>
      </w:r>
      <w:r w:rsidRPr="00B61AD3">
        <w:rPr>
          <w:lang w:val="en-GB"/>
        </w:rPr>
        <w:t xml:space="preserve">provide for a delayed commencement or transitional period, to give sponsors time to bring their </w:t>
      </w:r>
      <w:r w:rsidR="008107FC" w:rsidRPr="00B61AD3">
        <w:rPr>
          <w:lang w:val="en-GB"/>
        </w:rPr>
        <w:t>therapeutic vaping device or therapeutic vaping device accessory</w:t>
      </w:r>
      <w:r w:rsidRPr="00B61AD3">
        <w:rPr>
          <w:lang w:val="en-GB"/>
        </w:rPr>
        <w:t xml:space="preserve"> into compliance or, if they are unable to do so, to withdraw their sponsor notice and therefore no longer be subject to the conditions of exemption.</w:t>
      </w:r>
    </w:p>
    <w:p w14:paraId="6EE290C3" w14:textId="77777777" w:rsidR="008E07D9" w:rsidRPr="00B61AD3" w:rsidRDefault="008E07D9" w:rsidP="008E07D9">
      <w:pPr>
        <w:rPr>
          <w:lang w:val="en-GB"/>
        </w:rPr>
      </w:pPr>
    </w:p>
    <w:p w14:paraId="04D87C9C" w14:textId="16AAAE39" w:rsidR="008E07D9" w:rsidRPr="00B61AD3" w:rsidRDefault="008E07D9" w:rsidP="008E07D9">
      <w:pPr>
        <w:spacing w:line="259" w:lineRule="auto"/>
        <w:rPr>
          <w:lang w:val="en-GB"/>
        </w:rPr>
      </w:pPr>
      <w:r w:rsidRPr="00B61AD3">
        <w:rPr>
          <w:lang w:val="en-GB"/>
        </w:rPr>
        <w:t xml:space="preserve">Ensuring compliance with </w:t>
      </w:r>
      <w:r w:rsidR="005C2E1E" w:rsidRPr="00B61AD3">
        <w:rPr>
          <w:lang w:val="en-GB"/>
        </w:rPr>
        <w:t xml:space="preserve">the </w:t>
      </w:r>
      <w:r w:rsidRPr="00B61AD3">
        <w:rPr>
          <w:lang w:val="en-GB"/>
        </w:rPr>
        <w:t>essential principles and the other conditions of exemption is critical to avoid potentially significant public harm from the supply of unsafe, unapproved therapeutic vaping goods to patients. Tiered offences and a civil penalty contravention is an appropriate mechanism to promote compliance and have the desired deterrent effect.</w:t>
      </w:r>
    </w:p>
    <w:p w14:paraId="00311237" w14:textId="77777777" w:rsidR="008E07D9" w:rsidRPr="00B61AD3" w:rsidRDefault="008E07D9" w:rsidP="008E07D9">
      <w:pPr>
        <w:rPr>
          <w:lang w:val="en-GB"/>
        </w:rPr>
      </w:pPr>
    </w:p>
    <w:p w14:paraId="75947B87" w14:textId="77777777" w:rsidR="008E07D9" w:rsidRPr="00B61AD3" w:rsidRDefault="008E07D9" w:rsidP="008E07D9">
      <w:pPr>
        <w:spacing w:line="259" w:lineRule="auto"/>
        <w:rPr>
          <w:lang w:val="en-GB"/>
        </w:rPr>
      </w:pPr>
      <w:r w:rsidRPr="00B61AD3">
        <w:rPr>
          <w:lang w:val="en-US"/>
        </w:rPr>
        <w:t>To provide effective deterrence against non-compliance by sponsors, the penalties for individuals and bodies corporate as outlined above are significant. These high penalties are commensurate to the public health risks associated with the inappropriate use of vaping goods.</w:t>
      </w:r>
    </w:p>
    <w:p w14:paraId="5C53E90C" w14:textId="77777777" w:rsidR="008E07D9" w:rsidRPr="00B61AD3" w:rsidRDefault="008E07D9" w:rsidP="008E07D9">
      <w:pPr>
        <w:rPr>
          <w:lang w:val="en-GB"/>
        </w:rPr>
      </w:pPr>
    </w:p>
    <w:p w14:paraId="1A205517" w14:textId="7E7C225C" w:rsidR="008E07D9" w:rsidRPr="00B61AD3" w:rsidRDefault="008E07D9" w:rsidP="008E07D9">
      <w:pPr>
        <w:spacing w:line="259" w:lineRule="auto"/>
        <w:rPr>
          <w:lang w:val="en-GB"/>
        </w:rPr>
      </w:pPr>
      <w:r w:rsidRPr="00B61AD3">
        <w:rPr>
          <w:lang w:val="en-GB"/>
        </w:rPr>
        <w:t>Offences and civil penalties, and the maximum penalties in relation to each, for breach of a condition for th</w:t>
      </w:r>
      <w:r w:rsidR="00FB6A34" w:rsidRPr="00B61AD3">
        <w:rPr>
          <w:lang w:val="en-GB"/>
        </w:rPr>
        <w:t>is</w:t>
      </w:r>
      <w:r w:rsidRPr="00B61AD3">
        <w:rPr>
          <w:lang w:val="en-GB"/>
        </w:rPr>
        <w:t xml:space="preserve"> notified vaping goods exemption </w:t>
      </w:r>
      <w:r w:rsidR="00FB6A34" w:rsidRPr="00B61AD3">
        <w:rPr>
          <w:lang w:val="en-GB"/>
        </w:rPr>
        <w:t>are</w:t>
      </w:r>
      <w:r w:rsidRPr="00B61AD3">
        <w:rPr>
          <w:lang w:val="en-GB"/>
        </w:rPr>
        <w:t xml:space="preserve"> also equivalent to breach of a condition of inclusion of </w:t>
      </w:r>
      <w:r w:rsidR="008107FC" w:rsidRPr="00B61AD3">
        <w:rPr>
          <w:lang w:val="en-GB"/>
        </w:rPr>
        <w:t>medical devices</w:t>
      </w:r>
      <w:r w:rsidRPr="00B61AD3">
        <w:rPr>
          <w:lang w:val="en-GB"/>
        </w:rPr>
        <w:t xml:space="preserve"> in the Register. For example, the offences in subsections 41MN(1), (4) and (4A) of the Act (which apply to medical devices included in the Register) have the same tiered structure, elements and maximum penalties as subsections 41MN(9), (9A) and (9B) of the Act (for devices the subject of an exemption under section 41HA).</w:t>
      </w:r>
    </w:p>
    <w:p w14:paraId="656D2420" w14:textId="77777777" w:rsidR="008E07D9" w:rsidRPr="00B61AD3" w:rsidRDefault="008E07D9" w:rsidP="008E07D9">
      <w:pPr>
        <w:spacing w:line="240" w:lineRule="auto"/>
        <w:contextualSpacing/>
        <w:rPr>
          <w:rFonts w:cs="Times New Roman"/>
          <w:i/>
          <w:iCs/>
          <w:szCs w:val="22"/>
        </w:rPr>
      </w:pPr>
    </w:p>
    <w:p w14:paraId="270FD87C" w14:textId="77777777" w:rsidR="008E07D9" w:rsidRPr="00B61AD3" w:rsidRDefault="008E07D9" w:rsidP="008E07D9">
      <w:pPr>
        <w:spacing w:line="240" w:lineRule="auto"/>
        <w:contextualSpacing/>
        <w:rPr>
          <w:rFonts w:cs="Times New Roman"/>
          <w:i/>
          <w:iCs/>
          <w:szCs w:val="22"/>
        </w:rPr>
      </w:pPr>
      <w:r w:rsidRPr="00B61AD3">
        <w:rPr>
          <w:rFonts w:cs="Times New Roman"/>
          <w:i/>
          <w:iCs/>
          <w:szCs w:val="22"/>
        </w:rPr>
        <w:t>Scope of offences and civil penalties</w:t>
      </w:r>
    </w:p>
    <w:p w14:paraId="25F0E65D" w14:textId="77777777" w:rsidR="008E07D9" w:rsidRPr="00B61AD3" w:rsidRDefault="008E07D9" w:rsidP="008E07D9">
      <w:pPr>
        <w:spacing w:line="240" w:lineRule="auto"/>
        <w:contextualSpacing/>
        <w:rPr>
          <w:rFonts w:cs="Times New Roman"/>
          <w:i/>
          <w:iCs/>
          <w:szCs w:val="22"/>
        </w:rPr>
      </w:pPr>
    </w:p>
    <w:p w14:paraId="25C2450B" w14:textId="77777777" w:rsidR="008E07D9" w:rsidRPr="00B61AD3" w:rsidRDefault="008E07D9" w:rsidP="008E07D9">
      <w:pPr>
        <w:spacing w:line="259" w:lineRule="auto"/>
        <w:rPr>
          <w:lang w:val="en-GB"/>
        </w:rPr>
      </w:pPr>
      <w:r w:rsidRPr="00B61AD3">
        <w:rPr>
          <w:lang w:val="en-GB"/>
        </w:rPr>
        <w:t>In relation to the scope of the tiered offences and civil penalty provision outlined above:</w:t>
      </w:r>
    </w:p>
    <w:p w14:paraId="28DF86DF" w14:textId="77777777" w:rsidR="008E07D9" w:rsidRPr="00B61AD3" w:rsidRDefault="008E07D9" w:rsidP="008E07D9">
      <w:pPr>
        <w:rPr>
          <w:lang w:val="en-GB"/>
        </w:rPr>
      </w:pPr>
    </w:p>
    <w:p w14:paraId="2245E49E" w14:textId="77777777" w:rsidR="008E07D9" w:rsidRPr="00B61AD3" w:rsidRDefault="008E07D9" w:rsidP="008E07D9">
      <w:pPr>
        <w:pStyle w:val="ListParagraph"/>
        <w:numPr>
          <w:ilvl w:val="0"/>
          <w:numId w:val="28"/>
        </w:numPr>
        <w:spacing w:line="240" w:lineRule="auto"/>
        <w:rPr>
          <w:lang w:val="en-GB"/>
        </w:rPr>
      </w:pPr>
      <w:r w:rsidRPr="00B61AD3">
        <w:rPr>
          <w:lang w:val="en-GB"/>
        </w:rPr>
        <w:t xml:space="preserve">Division 2 of Part 5A-1 of Chapter 5A of the Act places restrictions on what kinds of proceedings can be brought against persons who are alleged to have contravened the Act. These limitations broadly mirror those seen in Division 3 of Part 4 of the </w:t>
      </w:r>
      <w:r w:rsidRPr="00B61AD3">
        <w:rPr>
          <w:i/>
          <w:iCs/>
          <w:lang w:val="en-GB"/>
        </w:rPr>
        <w:t>Regulatory Powers (Standard Provisions) Act 2014</w:t>
      </w:r>
      <w:r w:rsidRPr="00B61AD3">
        <w:rPr>
          <w:lang w:val="en-GB"/>
        </w:rPr>
        <w:t>;</w:t>
      </w:r>
    </w:p>
    <w:p w14:paraId="6E603F70" w14:textId="77777777" w:rsidR="008E07D9" w:rsidRPr="00B61AD3" w:rsidRDefault="008E07D9" w:rsidP="008E07D9">
      <w:pPr>
        <w:rPr>
          <w:lang w:val="en-GB"/>
        </w:rPr>
      </w:pPr>
    </w:p>
    <w:p w14:paraId="7D6E94CF" w14:textId="77777777" w:rsidR="008E07D9" w:rsidRPr="00B61AD3" w:rsidRDefault="008E07D9" w:rsidP="008E07D9">
      <w:pPr>
        <w:pStyle w:val="ListParagraph"/>
        <w:numPr>
          <w:ilvl w:val="0"/>
          <w:numId w:val="28"/>
        </w:numPr>
        <w:spacing w:line="240" w:lineRule="auto"/>
        <w:rPr>
          <w:lang w:val="en-GB"/>
        </w:rPr>
      </w:pPr>
      <w:r w:rsidRPr="00B61AD3">
        <w:rPr>
          <w:lang w:val="en-GB"/>
        </w:rPr>
        <w:t>the Commonwealth will decide in each case whether to prosecute a person for a fault-based or strict liability offence, or whether to bring proceedings for a civil penalty order. A criminal prosecution will generally be a more appropriate sanction where a contravention is deliberate, where fraud may be involved, where the conduct demonstrates recklessness, where there is a serious pattern of continuous intentional contraventions, or where conduct has endangered lives or has caused death or serious injury. A civil penalty may be an appropriate sanction where criminal prosecution or other sanctions may not be as effective or appropriate, and generally focuses on the regulation of commercial activity;</w:t>
      </w:r>
    </w:p>
    <w:p w14:paraId="164FC369" w14:textId="77777777" w:rsidR="008E07D9" w:rsidRPr="00B61AD3" w:rsidRDefault="008E07D9" w:rsidP="008E07D9">
      <w:pPr>
        <w:rPr>
          <w:lang w:val="en-GB"/>
        </w:rPr>
      </w:pPr>
    </w:p>
    <w:p w14:paraId="0D085084" w14:textId="67B4AA5C" w:rsidR="008E07D9" w:rsidRPr="00B61AD3" w:rsidRDefault="008E07D9" w:rsidP="008E07D9">
      <w:pPr>
        <w:pStyle w:val="ListParagraph"/>
        <w:numPr>
          <w:ilvl w:val="0"/>
          <w:numId w:val="28"/>
        </w:numPr>
        <w:spacing w:line="240" w:lineRule="auto"/>
        <w:rPr>
          <w:lang w:val="en-GB"/>
        </w:rPr>
      </w:pPr>
      <w:r w:rsidRPr="00B61AD3">
        <w:rPr>
          <w:lang w:val="en-GB"/>
        </w:rPr>
        <w:t>if a jury acquits a person of the aggravated offences (i.e. subsection 41MN(9) of the Act), a jury may instead convict the person of the related ordinary offence (i.e. subsection 41MN(9A)</w:t>
      </w:r>
      <w:r w:rsidR="009D1762" w:rsidRPr="00B61AD3">
        <w:rPr>
          <w:lang w:val="en-GB"/>
        </w:rPr>
        <w:t xml:space="preserve"> </w:t>
      </w:r>
      <w:r w:rsidRPr="00B61AD3">
        <w:rPr>
          <w:lang w:val="en-GB"/>
        </w:rPr>
        <w:t>of the Act), if the jury is satisfied beyond reasonable doubt of the facts that prove the person is guilty of the ordinary offence (see table item 31AA in section 53A of the Act);</w:t>
      </w:r>
    </w:p>
    <w:p w14:paraId="1305825E" w14:textId="77777777" w:rsidR="008E07D9" w:rsidRPr="00B61AD3" w:rsidRDefault="008E07D9" w:rsidP="008E07D9">
      <w:pPr>
        <w:rPr>
          <w:lang w:val="en-GB"/>
        </w:rPr>
      </w:pPr>
    </w:p>
    <w:p w14:paraId="14BA3B41" w14:textId="5566FC48" w:rsidR="00C71B2A" w:rsidRPr="00B61AD3" w:rsidRDefault="008E07D9" w:rsidP="002C15F9">
      <w:pPr>
        <w:pStyle w:val="ListParagraph"/>
        <w:numPr>
          <w:ilvl w:val="0"/>
          <w:numId w:val="28"/>
        </w:numPr>
        <w:spacing w:line="240" w:lineRule="auto"/>
        <w:rPr>
          <w:rFonts w:cs="Times New Roman"/>
          <w:szCs w:val="22"/>
        </w:rPr>
      </w:pPr>
      <w:r w:rsidRPr="00B61AD3">
        <w:rPr>
          <w:lang w:val="en-GB"/>
        </w:rPr>
        <w:t>an executive officer of a body corporate (such as managing directors or Chief Executive Officers, who are directly involved in or participate in the management of a company) may be personally liable for an offence committed, or a civil penalty provision contravened, by that body corporate, if the officer knew that the offence or contravention would occur, was in a position to influence the conduct of the body corporate in relation to the offending conduct, and failed to take all reasonable steps to prevent that conduct (see section 54B of the Act).</w:t>
      </w:r>
    </w:p>
    <w:p w14:paraId="620DC489" w14:textId="77777777" w:rsidR="00C71B2A" w:rsidRPr="00B61AD3" w:rsidRDefault="00C71B2A" w:rsidP="00C646C3">
      <w:pPr>
        <w:spacing w:line="240" w:lineRule="auto"/>
        <w:contextualSpacing/>
        <w:rPr>
          <w:rFonts w:cs="Times New Roman"/>
          <w:szCs w:val="22"/>
        </w:rPr>
      </w:pPr>
    </w:p>
    <w:p w14:paraId="7DDD480D" w14:textId="77777777" w:rsidR="00886DBA" w:rsidRPr="00B61AD3" w:rsidRDefault="00886DBA" w:rsidP="00C646C3">
      <w:pPr>
        <w:spacing w:line="240" w:lineRule="auto"/>
        <w:contextualSpacing/>
        <w:rPr>
          <w:rFonts w:cs="Times New Roman"/>
          <w:b/>
          <w:bCs/>
          <w:szCs w:val="22"/>
        </w:rPr>
      </w:pPr>
      <w:r w:rsidRPr="00B61AD3">
        <w:rPr>
          <w:rFonts w:cs="Times New Roman"/>
          <w:b/>
          <w:bCs/>
          <w:szCs w:val="22"/>
        </w:rPr>
        <w:t>Item 2 – Part 2 of Schedule 4 (cell at table item 2.17, column headed “Kinds of medical devices”)</w:t>
      </w:r>
    </w:p>
    <w:p w14:paraId="4577E760" w14:textId="0267AEB0" w:rsidR="00886DBA" w:rsidRPr="00B61AD3" w:rsidRDefault="00886DBA" w:rsidP="00C646C3">
      <w:pPr>
        <w:spacing w:line="240" w:lineRule="auto"/>
        <w:contextualSpacing/>
        <w:rPr>
          <w:rFonts w:cs="Times New Roman"/>
          <w:szCs w:val="22"/>
        </w:rPr>
      </w:pPr>
    </w:p>
    <w:p w14:paraId="23F42C36" w14:textId="390A2476" w:rsidR="00886DBA" w:rsidRPr="00B61AD3" w:rsidRDefault="00FB6A34" w:rsidP="00C646C3">
      <w:pPr>
        <w:spacing w:line="240" w:lineRule="auto"/>
        <w:contextualSpacing/>
        <w:rPr>
          <w:rFonts w:cs="Times New Roman"/>
          <w:szCs w:val="22"/>
        </w:rPr>
      </w:pPr>
      <w:r w:rsidRPr="00B61AD3">
        <w:rPr>
          <w:rFonts w:cs="Times New Roman"/>
          <w:szCs w:val="22"/>
        </w:rPr>
        <w:t>I</w:t>
      </w:r>
      <w:r w:rsidR="00886DBA" w:rsidRPr="00B61AD3">
        <w:rPr>
          <w:rFonts w:cs="Times New Roman"/>
          <w:szCs w:val="22"/>
        </w:rPr>
        <w:t>tem 2.17 of the table in Part 2 of Schedule 4</w:t>
      </w:r>
      <w:r w:rsidR="00315DA3" w:rsidRPr="00B61AD3">
        <w:rPr>
          <w:rFonts w:cs="Times New Roman"/>
          <w:szCs w:val="22"/>
        </w:rPr>
        <w:t xml:space="preserve"> to the MD Regulations</w:t>
      </w:r>
      <w:r w:rsidR="00886DBA" w:rsidRPr="00B61AD3">
        <w:rPr>
          <w:rFonts w:cs="Times New Roman"/>
          <w:szCs w:val="22"/>
        </w:rPr>
        <w:t xml:space="preserve"> exempts medical devices that are therapeutic vaping devices or therapeutic vaping device accessories, subject to </w:t>
      </w:r>
      <w:r w:rsidR="0069212E" w:rsidRPr="00B61AD3">
        <w:rPr>
          <w:rFonts w:cs="Times New Roman"/>
          <w:szCs w:val="22"/>
        </w:rPr>
        <w:t xml:space="preserve">the </w:t>
      </w:r>
      <w:r w:rsidR="00886DBA" w:rsidRPr="00B61AD3">
        <w:rPr>
          <w:rFonts w:cs="Times New Roman"/>
          <w:szCs w:val="22"/>
        </w:rPr>
        <w:t>conditions</w:t>
      </w:r>
      <w:r w:rsidR="0069212E" w:rsidRPr="00B61AD3">
        <w:rPr>
          <w:rFonts w:cs="Times New Roman"/>
          <w:szCs w:val="22"/>
        </w:rPr>
        <w:t xml:space="preserve"> mentioned in the column head</w:t>
      </w:r>
      <w:r w:rsidR="00FD6062" w:rsidRPr="00B61AD3">
        <w:rPr>
          <w:rFonts w:cs="Times New Roman"/>
          <w:szCs w:val="22"/>
        </w:rPr>
        <w:t>ed</w:t>
      </w:r>
      <w:r w:rsidR="0069212E" w:rsidRPr="00B61AD3">
        <w:rPr>
          <w:rFonts w:cs="Times New Roman"/>
          <w:szCs w:val="22"/>
        </w:rPr>
        <w:t xml:space="preserve"> “Conditions” of that item</w:t>
      </w:r>
      <w:r w:rsidR="00886DBA" w:rsidRPr="00B61AD3">
        <w:rPr>
          <w:rFonts w:cs="Times New Roman"/>
          <w:szCs w:val="22"/>
        </w:rPr>
        <w:t>.</w:t>
      </w:r>
    </w:p>
    <w:p w14:paraId="6950E164" w14:textId="21B96929" w:rsidR="00886DBA" w:rsidRPr="00B61AD3" w:rsidRDefault="00886DBA" w:rsidP="00C646C3">
      <w:pPr>
        <w:spacing w:line="240" w:lineRule="auto"/>
        <w:contextualSpacing/>
        <w:rPr>
          <w:rFonts w:cs="Times New Roman"/>
          <w:szCs w:val="22"/>
        </w:rPr>
      </w:pPr>
    </w:p>
    <w:p w14:paraId="51B239AB" w14:textId="53BFAF75" w:rsidR="0069212E" w:rsidRPr="00B61AD3" w:rsidRDefault="0069212E" w:rsidP="00C646C3">
      <w:pPr>
        <w:spacing w:line="240" w:lineRule="auto"/>
        <w:contextualSpacing/>
        <w:rPr>
          <w:rFonts w:cs="Times New Roman"/>
          <w:szCs w:val="22"/>
        </w:rPr>
      </w:pPr>
      <w:r w:rsidRPr="00B61AD3">
        <w:rPr>
          <w:rFonts w:cs="Times New Roman"/>
          <w:szCs w:val="22"/>
        </w:rPr>
        <w:t>The conditions include requirements for the sponsor to</w:t>
      </w:r>
      <w:r w:rsidR="006C2FB4" w:rsidRPr="00B61AD3">
        <w:rPr>
          <w:rFonts w:cs="Times New Roman"/>
          <w:szCs w:val="22"/>
        </w:rPr>
        <w:t>,</w:t>
      </w:r>
      <w:r w:rsidRPr="00B61AD3">
        <w:rPr>
          <w:rFonts w:cs="Times New Roman"/>
          <w:szCs w:val="22"/>
        </w:rPr>
        <w:t xml:space="preserve"> among other things</w:t>
      </w:r>
      <w:r w:rsidR="005510FF" w:rsidRPr="00B61AD3">
        <w:rPr>
          <w:rFonts w:cs="Times New Roman"/>
          <w:szCs w:val="22"/>
        </w:rPr>
        <w:t>,</w:t>
      </w:r>
      <w:r w:rsidR="00492B60" w:rsidRPr="00B61AD3">
        <w:rPr>
          <w:rFonts w:cs="Times New Roman"/>
          <w:szCs w:val="22"/>
        </w:rPr>
        <w:t xml:space="preserve"> </w:t>
      </w:r>
      <w:r w:rsidRPr="00B61AD3">
        <w:rPr>
          <w:rFonts w:cs="Times New Roman"/>
          <w:szCs w:val="22"/>
        </w:rPr>
        <w:t>provide a pre-market noti</w:t>
      </w:r>
      <w:r w:rsidR="00492B60" w:rsidRPr="00B61AD3">
        <w:rPr>
          <w:rFonts w:cs="Times New Roman"/>
          <w:szCs w:val="22"/>
        </w:rPr>
        <w:t>ce</w:t>
      </w:r>
      <w:r w:rsidRPr="00B61AD3">
        <w:rPr>
          <w:rFonts w:cs="Times New Roman"/>
          <w:szCs w:val="22"/>
        </w:rPr>
        <w:t xml:space="preserve"> to the Secretary prior to the importation, manufacture or supply of the device in Australia (paragraph (a) of the column headed “Conditions” refers)</w:t>
      </w:r>
      <w:r w:rsidR="00492B60" w:rsidRPr="00B61AD3">
        <w:rPr>
          <w:rFonts w:cs="Times New Roman"/>
          <w:szCs w:val="22"/>
        </w:rPr>
        <w:t>. The notice must include a statement</w:t>
      </w:r>
      <w:r w:rsidRPr="00B61AD3">
        <w:rPr>
          <w:rFonts w:cs="Times New Roman"/>
          <w:szCs w:val="22"/>
        </w:rPr>
        <w:t xml:space="preserve"> that:</w:t>
      </w:r>
    </w:p>
    <w:bookmarkEnd w:id="4"/>
    <w:p w14:paraId="1C042EFA" w14:textId="77777777" w:rsidR="00492B60" w:rsidRPr="00B61AD3" w:rsidRDefault="00492B60" w:rsidP="00C646C3">
      <w:pPr>
        <w:spacing w:line="240" w:lineRule="auto"/>
        <w:contextualSpacing/>
        <w:rPr>
          <w:rFonts w:cs="Times New Roman"/>
          <w:szCs w:val="22"/>
        </w:rPr>
      </w:pPr>
    </w:p>
    <w:p w14:paraId="3D5B31E2" w14:textId="24370B79" w:rsidR="0069212E" w:rsidRPr="00B61AD3" w:rsidRDefault="0069212E" w:rsidP="00C646C3">
      <w:pPr>
        <w:pStyle w:val="ListParagraph"/>
        <w:numPr>
          <w:ilvl w:val="0"/>
          <w:numId w:val="18"/>
        </w:numPr>
        <w:spacing w:line="240" w:lineRule="auto"/>
        <w:rPr>
          <w:rFonts w:cs="Times New Roman"/>
          <w:szCs w:val="22"/>
        </w:rPr>
      </w:pPr>
      <w:r w:rsidRPr="00B61AD3">
        <w:rPr>
          <w:rFonts w:cs="Times New Roman"/>
          <w:szCs w:val="22"/>
        </w:rPr>
        <w:lastRenderedPageBreak/>
        <w:t>the device complies with the essential principles, or is imported or supplied (as the case may be) with the consent of the Secretary; and</w:t>
      </w:r>
    </w:p>
    <w:p w14:paraId="0E13ABC4" w14:textId="77777777" w:rsidR="00492B60" w:rsidRPr="00B61AD3" w:rsidRDefault="00492B60" w:rsidP="00C646C3">
      <w:pPr>
        <w:pStyle w:val="ListParagraph"/>
        <w:spacing w:line="240" w:lineRule="auto"/>
        <w:ind w:left="1440"/>
        <w:rPr>
          <w:rFonts w:cs="Times New Roman"/>
          <w:szCs w:val="22"/>
        </w:rPr>
      </w:pPr>
    </w:p>
    <w:p w14:paraId="6E957FFE" w14:textId="77777777" w:rsidR="0069212E" w:rsidRPr="00B61AD3" w:rsidRDefault="0069212E" w:rsidP="00C646C3">
      <w:pPr>
        <w:pStyle w:val="ListParagraph"/>
        <w:numPr>
          <w:ilvl w:val="0"/>
          <w:numId w:val="18"/>
        </w:numPr>
        <w:spacing w:line="240" w:lineRule="auto"/>
        <w:rPr>
          <w:rFonts w:cs="Times New Roman"/>
          <w:szCs w:val="22"/>
        </w:rPr>
      </w:pPr>
      <w:r w:rsidRPr="00B61AD3">
        <w:rPr>
          <w:rFonts w:cs="Times New Roman"/>
          <w:szCs w:val="22"/>
        </w:rPr>
        <w:t>the device is intended by the sponsor only to administer or contain a therapeutic vaping substance whose only indications are use for smoking cessation or the management of nicotine dependence.</w:t>
      </w:r>
    </w:p>
    <w:p w14:paraId="5EB0C657" w14:textId="77777777" w:rsidR="00886DBA" w:rsidRPr="00B61AD3" w:rsidRDefault="00886DBA" w:rsidP="00C646C3">
      <w:pPr>
        <w:spacing w:line="240" w:lineRule="auto"/>
        <w:contextualSpacing/>
        <w:rPr>
          <w:rFonts w:cs="Times New Roman"/>
          <w:szCs w:val="22"/>
        </w:rPr>
      </w:pPr>
    </w:p>
    <w:p w14:paraId="777F82D0" w14:textId="77777777" w:rsidR="0024350D" w:rsidRPr="00B61AD3" w:rsidRDefault="00492B60" w:rsidP="00506EDD">
      <w:pPr>
        <w:spacing w:line="240" w:lineRule="auto"/>
        <w:contextualSpacing/>
        <w:rPr>
          <w:rFonts w:cs="Times New Roman"/>
          <w:szCs w:val="22"/>
        </w:rPr>
      </w:pPr>
      <w:r w:rsidRPr="00B61AD3">
        <w:rPr>
          <w:rFonts w:cs="Times New Roman"/>
          <w:szCs w:val="22"/>
        </w:rPr>
        <w:t>Moving aspects of these requirements from the column headed “Conditions” to the column headed “Kinds of medical devices” better reflects</w:t>
      </w:r>
      <w:r w:rsidR="0069212E" w:rsidRPr="00B61AD3">
        <w:rPr>
          <w:rFonts w:cs="Times New Roman"/>
          <w:szCs w:val="22"/>
        </w:rPr>
        <w:t xml:space="preserve"> the regulatory intent of th</w:t>
      </w:r>
      <w:r w:rsidR="000605AF" w:rsidRPr="00B61AD3">
        <w:rPr>
          <w:rFonts w:cs="Times New Roman"/>
          <w:szCs w:val="22"/>
        </w:rPr>
        <w:t>is</w:t>
      </w:r>
      <w:r w:rsidR="0069212E" w:rsidRPr="00B61AD3">
        <w:rPr>
          <w:rFonts w:cs="Times New Roman"/>
          <w:szCs w:val="22"/>
        </w:rPr>
        <w:t xml:space="preserve"> notified vaping goods exemption</w:t>
      </w:r>
      <w:r w:rsidRPr="00B61AD3">
        <w:rPr>
          <w:rFonts w:cs="Times New Roman"/>
          <w:szCs w:val="22"/>
        </w:rPr>
        <w:t xml:space="preserve">. That intention </w:t>
      </w:r>
      <w:r w:rsidR="0069212E" w:rsidRPr="00B61AD3">
        <w:rPr>
          <w:rFonts w:cs="Times New Roman"/>
          <w:szCs w:val="22"/>
        </w:rPr>
        <w:t xml:space="preserve">is that </w:t>
      </w:r>
      <w:r w:rsidRPr="00B61AD3">
        <w:rPr>
          <w:rFonts w:cs="Times New Roman"/>
          <w:szCs w:val="22"/>
        </w:rPr>
        <w:t xml:space="preserve">a </w:t>
      </w:r>
      <w:r w:rsidR="0069212E" w:rsidRPr="00B61AD3">
        <w:rPr>
          <w:rFonts w:cs="Times New Roman"/>
          <w:szCs w:val="22"/>
        </w:rPr>
        <w:t>therapeutic vaping device</w:t>
      </w:r>
      <w:r w:rsidRPr="00B61AD3">
        <w:rPr>
          <w:rFonts w:cs="Times New Roman"/>
          <w:szCs w:val="22"/>
        </w:rPr>
        <w:t xml:space="preserve"> or</w:t>
      </w:r>
      <w:r w:rsidR="0069212E" w:rsidRPr="00B61AD3">
        <w:rPr>
          <w:rFonts w:cs="Times New Roman"/>
          <w:szCs w:val="22"/>
        </w:rPr>
        <w:t xml:space="preserve"> therapeutic vaping device accessor</w:t>
      </w:r>
      <w:r w:rsidRPr="00B61AD3">
        <w:rPr>
          <w:rFonts w:cs="Times New Roman"/>
          <w:szCs w:val="22"/>
        </w:rPr>
        <w:t>y</w:t>
      </w:r>
      <w:r w:rsidR="0069212E" w:rsidRPr="00B61AD3">
        <w:rPr>
          <w:rFonts w:cs="Times New Roman"/>
          <w:szCs w:val="22"/>
        </w:rPr>
        <w:t xml:space="preserve"> </w:t>
      </w:r>
      <w:r w:rsidRPr="00B61AD3">
        <w:rPr>
          <w:rFonts w:cs="Times New Roman"/>
          <w:szCs w:val="22"/>
        </w:rPr>
        <w:t xml:space="preserve">is </w:t>
      </w:r>
      <w:r w:rsidR="0069212E" w:rsidRPr="00B61AD3">
        <w:rPr>
          <w:rFonts w:cs="Times New Roman"/>
          <w:szCs w:val="22"/>
        </w:rPr>
        <w:t xml:space="preserve">only </w:t>
      </w:r>
      <w:r w:rsidRPr="00B61AD3">
        <w:rPr>
          <w:rFonts w:cs="Times New Roman"/>
          <w:szCs w:val="22"/>
        </w:rPr>
        <w:t xml:space="preserve">an </w:t>
      </w:r>
      <w:r w:rsidR="0069212E" w:rsidRPr="00B61AD3">
        <w:rPr>
          <w:rFonts w:cs="Times New Roman"/>
          <w:szCs w:val="22"/>
        </w:rPr>
        <w:t xml:space="preserve">exempt </w:t>
      </w:r>
      <w:r w:rsidRPr="00B61AD3">
        <w:rPr>
          <w:rFonts w:cs="Times New Roman"/>
          <w:szCs w:val="22"/>
        </w:rPr>
        <w:t xml:space="preserve">device </w:t>
      </w:r>
      <w:r w:rsidR="0069212E" w:rsidRPr="00B61AD3">
        <w:rPr>
          <w:rFonts w:cs="Times New Roman"/>
          <w:szCs w:val="22"/>
        </w:rPr>
        <w:t xml:space="preserve">where the sponsor has </w:t>
      </w:r>
      <w:r w:rsidRPr="00B61AD3">
        <w:rPr>
          <w:rFonts w:cs="Times New Roman"/>
          <w:szCs w:val="22"/>
        </w:rPr>
        <w:t xml:space="preserve">given </w:t>
      </w:r>
      <w:r w:rsidR="0069212E" w:rsidRPr="00B61AD3">
        <w:rPr>
          <w:rFonts w:cs="Times New Roman"/>
          <w:szCs w:val="22"/>
        </w:rPr>
        <w:t>a pre-market</w:t>
      </w:r>
      <w:r w:rsidRPr="00B61AD3">
        <w:rPr>
          <w:rFonts w:cs="Times New Roman"/>
          <w:szCs w:val="22"/>
        </w:rPr>
        <w:t xml:space="preserve"> notice to the Secretary</w:t>
      </w:r>
      <w:r w:rsidR="0069212E" w:rsidRPr="00B61AD3">
        <w:rPr>
          <w:rFonts w:cs="Times New Roman"/>
          <w:szCs w:val="22"/>
        </w:rPr>
        <w:t>, maintain</w:t>
      </w:r>
      <w:r w:rsidRPr="00B61AD3">
        <w:rPr>
          <w:rFonts w:cs="Times New Roman"/>
          <w:szCs w:val="22"/>
        </w:rPr>
        <w:t>s</w:t>
      </w:r>
      <w:r w:rsidR="0069212E" w:rsidRPr="00B61AD3">
        <w:rPr>
          <w:rFonts w:cs="Times New Roman"/>
          <w:szCs w:val="22"/>
        </w:rPr>
        <w:t xml:space="preserve"> that noti</w:t>
      </w:r>
      <w:r w:rsidRPr="00B61AD3">
        <w:rPr>
          <w:rFonts w:cs="Times New Roman"/>
          <w:szCs w:val="22"/>
        </w:rPr>
        <w:t>ce</w:t>
      </w:r>
      <w:r w:rsidR="0069212E" w:rsidRPr="00B61AD3">
        <w:rPr>
          <w:rFonts w:cs="Times New Roman"/>
          <w:szCs w:val="22"/>
        </w:rPr>
        <w:t xml:space="preserve"> (and ongoing obligations related to that noti</w:t>
      </w:r>
      <w:r w:rsidRPr="00B61AD3">
        <w:rPr>
          <w:rFonts w:cs="Times New Roman"/>
          <w:szCs w:val="22"/>
        </w:rPr>
        <w:t>ce</w:t>
      </w:r>
      <w:r w:rsidR="0069212E" w:rsidRPr="00B61AD3">
        <w:rPr>
          <w:rFonts w:cs="Times New Roman"/>
          <w:szCs w:val="22"/>
        </w:rPr>
        <w:t>), and the device has not been</w:t>
      </w:r>
      <w:r w:rsidR="00702D91" w:rsidRPr="00B61AD3">
        <w:rPr>
          <w:rFonts w:cs="Times New Roman"/>
          <w:szCs w:val="22"/>
        </w:rPr>
        <w:t xml:space="preserve"> the</w:t>
      </w:r>
      <w:r w:rsidR="0069212E" w:rsidRPr="00B61AD3">
        <w:rPr>
          <w:rFonts w:cs="Times New Roman"/>
          <w:szCs w:val="22"/>
        </w:rPr>
        <w:t xml:space="preserve"> subject </w:t>
      </w:r>
      <w:r w:rsidR="00702D91" w:rsidRPr="00B61AD3">
        <w:rPr>
          <w:rFonts w:cs="Times New Roman"/>
          <w:szCs w:val="22"/>
        </w:rPr>
        <w:t xml:space="preserve">of </w:t>
      </w:r>
      <w:r w:rsidR="0069212E" w:rsidRPr="00B61AD3">
        <w:rPr>
          <w:rFonts w:cs="Times New Roman"/>
          <w:szCs w:val="22"/>
        </w:rPr>
        <w:t xml:space="preserve">a cease </w:t>
      </w:r>
      <w:r w:rsidR="0069212E" w:rsidRPr="00B61AD3" w:rsidDel="001B2B2E">
        <w:rPr>
          <w:rFonts w:cs="Times New Roman"/>
          <w:szCs w:val="22"/>
        </w:rPr>
        <w:t xml:space="preserve">supply </w:t>
      </w:r>
      <w:r w:rsidR="0069212E" w:rsidRPr="00B61AD3">
        <w:rPr>
          <w:rFonts w:cs="Times New Roman"/>
          <w:szCs w:val="22"/>
        </w:rPr>
        <w:t>determination.</w:t>
      </w:r>
    </w:p>
    <w:p w14:paraId="62F28C00" w14:textId="77777777" w:rsidR="0024350D" w:rsidRPr="00B61AD3" w:rsidRDefault="0024350D" w:rsidP="00506EDD">
      <w:pPr>
        <w:spacing w:line="240" w:lineRule="auto"/>
        <w:contextualSpacing/>
        <w:rPr>
          <w:rFonts w:cs="Times New Roman"/>
          <w:szCs w:val="22"/>
        </w:rPr>
      </w:pPr>
    </w:p>
    <w:p w14:paraId="2A5A75EC" w14:textId="22396C02" w:rsidR="00506EDD" w:rsidRPr="00B61AD3" w:rsidRDefault="00506EDD" w:rsidP="00506EDD">
      <w:pPr>
        <w:spacing w:line="240" w:lineRule="auto"/>
        <w:contextualSpacing/>
        <w:rPr>
          <w:rFonts w:cs="Times New Roman"/>
          <w:szCs w:val="22"/>
          <w:lang w:val="en-GB"/>
        </w:rPr>
      </w:pPr>
      <w:r w:rsidRPr="00B61AD3">
        <w:rPr>
          <w:rFonts w:cs="Times New Roman"/>
          <w:szCs w:val="22"/>
          <w:lang w:val="en-GB"/>
        </w:rPr>
        <w:t>For clarification, this amendment does not impose</w:t>
      </w:r>
      <w:r w:rsidR="004F3153" w:rsidRPr="00B61AD3">
        <w:rPr>
          <w:rFonts w:cs="Times New Roman"/>
          <w:szCs w:val="22"/>
          <w:lang w:val="en-GB"/>
        </w:rPr>
        <w:t xml:space="preserve"> a</w:t>
      </w:r>
      <w:r w:rsidRPr="00B61AD3">
        <w:rPr>
          <w:rFonts w:cs="Times New Roman"/>
          <w:szCs w:val="22"/>
          <w:lang w:val="en-GB"/>
        </w:rPr>
        <w:t xml:space="preserve"> new condition</w:t>
      </w:r>
      <w:r w:rsidR="004F3153" w:rsidRPr="00B61AD3">
        <w:rPr>
          <w:rFonts w:cs="Times New Roman"/>
          <w:szCs w:val="22"/>
          <w:lang w:val="en-GB"/>
        </w:rPr>
        <w:t xml:space="preserve"> on the exemption</w:t>
      </w:r>
      <w:r w:rsidRPr="00B61AD3">
        <w:rPr>
          <w:rFonts w:cs="Times New Roman"/>
          <w:szCs w:val="22"/>
          <w:lang w:val="en-GB"/>
        </w:rPr>
        <w:t xml:space="preserve">. Rather, together with the provisions repealed by item 4 below, it moves certain requirements from being conditions of the exemption to being part of the description of the </w:t>
      </w:r>
      <w:r w:rsidR="00D2341B" w:rsidRPr="00B61AD3">
        <w:rPr>
          <w:rFonts w:cs="Times New Roman"/>
          <w:szCs w:val="22"/>
          <w:lang w:val="en-GB"/>
        </w:rPr>
        <w:t>medical devices</w:t>
      </w:r>
      <w:r w:rsidRPr="00B61AD3">
        <w:rPr>
          <w:rFonts w:cs="Times New Roman"/>
          <w:szCs w:val="22"/>
          <w:lang w:val="en-GB"/>
        </w:rPr>
        <w:t xml:space="preserve"> to which the exemption applies</w:t>
      </w:r>
      <w:r w:rsidR="00CA5787">
        <w:rPr>
          <w:rFonts w:cs="Times New Roman"/>
          <w:szCs w:val="22"/>
          <w:lang w:val="en-GB"/>
        </w:rPr>
        <w:t>.</w:t>
      </w:r>
    </w:p>
    <w:p w14:paraId="6DB73621" w14:textId="77777777" w:rsidR="005E396E" w:rsidRPr="00B61AD3" w:rsidRDefault="005E396E" w:rsidP="00C646C3">
      <w:pPr>
        <w:spacing w:line="240" w:lineRule="auto"/>
        <w:contextualSpacing/>
        <w:rPr>
          <w:rFonts w:cs="Times New Roman"/>
          <w:szCs w:val="22"/>
        </w:rPr>
      </w:pPr>
    </w:p>
    <w:p w14:paraId="276ADA94" w14:textId="40FAB9D0" w:rsidR="0069212E" w:rsidRPr="00B61AD3" w:rsidRDefault="0069212E" w:rsidP="00C646C3">
      <w:pPr>
        <w:spacing w:line="240" w:lineRule="auto"/>
        <w:contextualSpacing/>
        <w:rPr>
          <w:rFonts w:cs="Times New Roman"/>
          <w:szCs w:val="22"/>
        </w:rPr>
      </w:pPr>
      <w:r w:rsidRPr="00B61AD3">
        <w:rPr>
          <w:rFonts w:cs="Times New Roman"/>
          <w:szCs w:val="22"/>
        </w:rPr>
        <w:t>Further, the</w:t>
      </w:r>
      <w:r w:rsidR="00492B60" w:rsidRPr="00B61AD3">
        <w:rPr>
          <w:rFonts w:cs="Times New Roman"/>
          <w:szCs w:val="22"/>
        </w:rPr>
        <w:t xml:space="preserve"> item incorporates a new paragraph in the column headed “Kinds of medical devices” to provide an </w:t>
      </w:r>
      <w:r w:rsidRPr="00B61AD3">
        <w:rPr>
          <w:rFonts w:cs="Times New Roman"/>
          <w:szCs w:val="22"/>
        </w:rPr>
        <w:t xml:space="preserve">express </w:t>
      </w:r>
      <w:r w:rsidR="00225520" w:rsidRPr="00B61AD3">
        <w:rPr>
          <w:rFonts w:cs="Times New Roman"/>
          <w:szCs w:val="22"/>
        </w:rPr>
        <w:t xml:space="preserve">mechanism for a sponsor to </w:t>
      </w:r>
      <w:r w:rsidRPr="00B61AD3">
        <w:rPr>
          <w:rFonts w:cs="Times New Roman"/>
          <w:szCs w:val="22"/>
        </w:rPr>
        <w:t>withdraw</w:t>
      </w:r>
      <w:r w:rsidR="00225520" w:rsidRPr="00B61AD3">
        <w:rPr>
          <w:rFonts w:cs="Times New Roman"/>
          <w:szCs w:val="22"/>
        </w:rPr>
        <w:t xml:space="preserve"> its sponsor notice</w:t>
      </w:r>
      <w:r w:rsidR="00492B60" w:rsidRPr="00B61AD3">
        <w:rPr>
          <w:rFonts w:cs="Times New Roman"/>
          <w:szCs w:val="22"/>
        </w:rPr>
        <w:t>. The mechanism</w:t>
      </w:r>
      <w:r w:rsidRPr="00B61AD3">
        <w:rPr>
          <w:rFonts w:cs="Times New Roman"/>
          <w:szCs w:val="22"/>
        </w:rPr>
        <w:t xml:space="preserve"> provides greater regulatory certainty to sponsors, as the conditions of exemption would cease to apply when the sponsor notice is withdrawn. Certainty as to when the obligations contained in the conditions of exemption cease to apply to sponsors is particularly important as an act or omission by a sponsor</w:t>
      </w:r>
      <w:r w:rsidR="00080B3F" w:rsidRPr="00B61AD3">
        <w:rPr>
          <w:rFonts w:cs="Times New Roman"/>
          <w:szCs w:val="22"/>
        </w:rPr>
        <w:t>,</w:t>
      </w:r>
      <w:r w:rsidRPr="00B61AD3">
        <w:rPr>
          <w:rFonts w:cs="Times New Roman"/>
          <w:szCs w:val="22"/>
        </w:rPr>
        <w:t xml:space="preserve"> which results in a breach of a condition of exemption may be a criminal offence (subsections 41MN(9), 41MN(9A) and 41MN(9B) of the Act refer) or contravene civil penalty provisions (subsection 41MNA(2A) of the Act refers).</w:t>
      </w:r>
    </w:p>
    <w:p w14:paraId="7CF7202D" w14:textId="77777777" w:rsidR="00886DBA" w:rsidRPr="00B61AD3" w:rsidRDefault="00886DBA" w:rsidP="00C646C3">
      <w:pPr>
        <w:spacing w:line="240" w:lineRule="auto"/>
        <w:contextualSpacing/>
        <w:rPr>
          <w:rFonts w:cs="Times New Roman"/>
          <w:szCs w:val="22"/>
        </w:rPr>
      </w:pPr>
    </w:p>
    <w:p w14:paraId="518BA923" w14:textId="5644E8F6" w:rsidR="00886DBA" w:rsidRPr="00B61AD3" w:rsidRDefault="00492B60" w:rsidP="00C646C3">
      <w:pPr>
        <w:spacing w:line="240" w:lineRule="auto"/>
        <w:contextualSpacing/>
        <w:rPr>
          <w:rFonts w:cs="Times New Roman"/>
          <w:szCs w:val="22"/>
        </w:rPr>
      </w:pPr>
      <w:r w:rsidRPr="00B61AD3">
        <w:rPr>
          <w:rFonts w:cs="Times New Roman"/>
          <w:szCs w:val="22"/>
        </w:rPr>
        <w:t>Specifically, t</w:t>
      </w:r>
      <w:r w:rsidR="00886DBA" w:rsidRPr="00B61AD3">
        <w:rPr>
          <w:rFonts w:cs="Times New Roman"/>
          <w:szCs w:val="22"/>
        </w:rPr>
        <w:t xml:space="preserve">his item replaces the </w:t>
      </w:r>
      <w:r w:rsidRPr="00B61AD3">
        <w:rPr>
          <w:rFonts w:cs="Times New Roman"/>
          <w:szCs w:val="22"/>
        </w:rPr>
        <w:t xml:space="preserve">whole </w:t>
      </w:r>
      <w:r w:rsidR="00886DBA" w:rsidRPr="00B61AD3">
        <w:rPr>
          <w:rFonts w:cs="Times New Roman"/>
          <w:szCs w:val="22"/>
        </w:rPr>
        <w:t xml:space="preserve">cell in </w:t>
      </w:r>
      <w:r w:rsidR="0069212E" w:rsidRPr="00B61AD3">
        <w:rPr>
          <w:rFonts w:cs="Times New Roman"/>
          <w:szCs w:val="22"/>
        </w:rPr>
        <w:t xml:space="preserve">the </w:t>
      </w:r>
      <w:r w:rsidR="00886DBA" w:rsidRPr="00B61AD3">
        <w:rPr>
          <w:rFonts w:cs="Times New Roman"/>
          <w:szCs w:val="22"/>
        </w:rPr>
        <w:t>column headed “Kinds of medical devices” in item 2.17 of the table in Part 2 of Schedule 4 to the MD Regulations, and substitute with a new cell comprising paragraphs (a) to (d).</w:t>
      </w:r>
      <w:r w:rsidR="00E5081B" w:rsidRPr="00B61AD3">
        <w:rPr>
          <w:rFonts w:cs="Times New Roman"/>
          <w:szCs w:val="22"/>
        </w:rPr>
        <w:t xml:space="preserve"> </w:t>
      </w:r>
      <w:r w:rsidRPr="00B61AD3">
        <w:rPr>
          <w:rFonts w:cs="Times New Roman"/>
          <w:szCs w:val="22"/>
        </w:rPr>
        <w:t>Essentially, t</w:t>
      </w:r>
      <w:r w:rsidR="00E94AEA" w:rsidRPr="00B61AD3">
        <w:rPr>
          <w:rFonts w:cs="Times New Roman"/>
          <w:szCs w:val="22"/>
        </w:rPr>
        <w:t xml:space="preserve">his amendment makes it clear that </w:t>
      </w:r>
      <w:r w:rsidR="00702D91" w:rsidRPr="00B61AD3">
        <w:rPr>
          <w:rFonts w:cs="Times New Roman"/>
          <w:szCs w:val="22"/>
        </w:rPr>
        <w:t xml:space="preserve">the </w:t>
      </w:r>
      <w:r w:rsidR="00E94AEA" w:rsidRPr="00B61AD3">
        <w:rPr>
          <w:rFonts w:cs="Times New Roman"/>
          <w:szCs w:val="22"/>
        </w:rPr>
        <w:t xml:space="preserve">exemption </w:t>
      </w:r>
      <w:r w:rsidR="00886DBA" w:rsidRPr="00B61AD3">
        <w:rPr>
          <w:rFonts w:cs="Times New Roman"/>
          <w:szCs w:val="22"/>
        </w:rPr>
        <w:t xml:space="preserve">in </w:t>
      </w:r>
      <w:r w:rsidR="0069212E" w:rsidRPr="00B61AD3">
        <w:rPr>
          <w:rFonts w:cs="Times New Roman"/>
          <w:szCs w:val="22"/>
        </w:rPr>
        <w:t xml:space="preserve">item 2.17 of </w:t>
      </w:r>
      <w:r w:rsidR="00886DBA" w:rsidRPr="00B61AD3">
        <w:rPr>
          <w:rFonts w:cs="Times New Roman"/>
          <w:szCs w:val="22"/>
        </w:rPr>
        <w:t>Part 2 of Schedule 4 to the MD Regulations only applies to a medical device</w:t>
      </w:r>
      <w:r w:rsidRPr="00B61AD3">
        <w:rPr>
          <w:rFonts w:cs="Times New Roman"/>
          <w:szCs w:val="22"/>
        </w:rPr>
        <w:t xml:space="preserve"> that is a therapeutic vaping device or </w:t>
      </w:r>
      <w:r w:rsidR="0051427B" w:rsidRPr="00B61AD3">
        <w:rPr>
          <w:rFonts w:cs="Times New Roman"/>
          <w:szCs w:val="22"/>
        </w:rPr>
        <w:t xml:space="preserve">a </w:t>
      </w:r>
      <w:r w:rsidRPr="00B61AD3">
        <w:rPr>
          <w:rFonts w:cs="Times New Roman"/>
          <w:szCs w:val="22"/>
        </w:rPr>
        <w:t xml:space="preserve">therapeutic vaping device accessory </w:t>
      </w:r>
      <w:r w:rsidR="00886DBA" w:rsidRPr="00B61AD3">
        <w:rPr>
          <w:rFonts w:cs="Times New Roman"/>
          <w:szCs w:val="22"/>
        </w:rPr>
        <w:t>if:</w:t>
      </w:r>
    </w:p>
    <w:p w14:paraId="6667B6AB" w14:textId="77777777" w:rsidR="00492B60" w:rsidRPr="00B61AD3" w:rsidRDefault="00492B60" w:rsidP="00C646C3">
      <w:pPr>
        <w:spacing w:line="240" w:lineRule="auto"/>
        <w:contextualSpacing/>
        <w:rPr>
          <w:rFonts w:cs="Times New Roman"/>
          <w:szCs w:val="22"/>
        </w:rPr>
      </w:pPr>
    </w:p>
    <w:p w14:paraId="5A7D9913" w14:textId="77777777" w:rsidR="00886DBA" w:rsidRPr="00B61AD3" w:rsidRDefault="00886DBA" w:rsidP="00C646C3">
      <w:pPr>
        <w:pStyle w:val="ListParagraph"/>
        <w:numPr>
          <w:ilvl w:val="0"/>
          <w:numId w:val="18"/>
        </w:numPr>
        <w:spacing w:line="240" w:lineRule="auto"/>
        <w:rPr>
          <w:rFonts w:cs="Times New Roman"/>
          <w:szCs w:val="22"/>
        </w:rPr>
      </w:pPr>
      <w:r w:rsidRPr="00B61AD3">
        <w:rPr>
          <w:rFonts w:cs="Times New Roman"/>
          <w:szCs w:val="22"/>
        </w:rPr>
        <w:t>the sponsor has given a sponsor notice to the Secretary; and</w:t>
      </w:r>
    </w:p>
    <w:p w14:paraId="4925B424" w14:textId="77777777" w:rsidR="00492B60" w:rsidRPr="00B61AD3" w:rsidRDefault="00492B60" w:rsidP="00C646C3">
      <w:pPr>
        <w:pStyle w:val="ListParagraph"/>
        <w:spacing w:line="240" w:lineRule="auto"/>
        <w:rPr>
          <w:rFonts w:cs="Times New Roman"/>
          <w:szCs w:val="22"/>
        </w:rPr>
      </w:pPr>
    </w:p>
    <w:p w14:paraId="1F6655AE" w14:textId="77777777" w:rsidR="00886DBA" w:rsidRPr="00B61AD3" w:rsidRDefault="00886DBA" w:rsidP="00C646C3">
      <w:pPr>
        <w:pStyle w:val="ListParagraph"/>
        <w:numPr>
          <w:ilvl w:val="0"/>
          <w:numId w:val="18"/>
        </w:numPr>
        <w:spacing w:line="240" w:lineRule="auto"/>
        <w:rPr>
          <w:rFonts w:cs="Times New Roman"/>
          <w:szCs w:val="22"/>
        </w:rPr>
      </w:pPr>
      <w:r w:rsidRPr="00B61AD3">
        <w:rPr>
          <w:rFonts w:cs="Times New Roman"/>
          <w:szCs w:val="22"/>
        </w:rPr>
        <w:t>the sponsor has not withdrawn the sponsor notice; and</w:t>
      </w:r>
    </w:p>
    <w:p w14:paraId="4E3E8822" w14:textId="77777777" w:rsidR="00492B60" w:rsidRPr="00B61AD3" w:rsidRDefault="00492B60" w:rsidP="00C646C3">
      <w:pPr>
        <w:spacing w:line="240" w:lineRule="auto"/>
        <w:contextualSpacing/>
        <w:rPr>
          <w:rFonts w:cs="Times New Roman"/>
          <w:szCs w:val="22"/>
        </w:rPr>
      </w:pPr>
    </w:p>
    <w:p w14:paraId="33F1BDA4" w14:textId="5F5195DB" w:rsidR="00886DBA" w:rsidRPr="00B61AD3" w:rsidRDefault="00886DBA" w:rsidP="00C646C3">
      <w:pPr>
        <w:pStyle w:val="ListParagraph"/>
        <w:numPr>
          <w:ilvl w:val="0"/>
          <w:numId w:val="18"/>
        </w:numPr>
        <w:spacing w:line="240" w:lineRule="auto"/>
        <w:rPr>
          <w:rFonts w:cs="Times New Roman"/>
          <w:szCs w:val="22"/>
        </w:rPr>
      </w:pPr>
      <w:r w:rsidRPr="00B61AD3">
        <w:rPr>
          <w:rFonts w:cs="Times New Roman"/>
          <w:szCs w:val="22"/>
        </w:rPr>
        <w:t xml:space="preserve">the </w:t>
      </w:r>
      <w:r w:rsidR="00775A13" w:rsidRPr="00B61AD3">
        <w:rPr>
          <w:rFonts w:cs="Times New Roman"/>
          <w:szCs w:val="22"/>
        </w:rPr>
        <w:t>device</w:t>
      </w:r>
      <w:r w:rsidR="00492B60" w:rsidRPr="00B61AD3">
        <w:rPr>
          <w:rFonts w:cs="Times New Roman"/>
          <w:szCs w:val="22"/>
        </w:rPr>
        <w:t xml:space="preserve"> is</w:t>
      </w:r>
      <w:r w:rsidRPr="00B61AD3">
        <w:rPr>
          <w:rFonts w:cs="Times New Roman"/>
          <w:szCs w:val="22"/>
        </w:rPr>
        <w:t xml:space="preserve"> not the subject of a cease supply determination.</w:t>
      </w:r>
    </w:p>
    <w:p w14:paraId="5C0516B7" w14:textId="77777777" w:rsidR="00886DBA" w:rsidRPr="00B61AD3" w:rsidRDefault="00886DBA" w:rsidP="00C646C3">
      <w:pPr>
        <w:spacing w:line="240" w:lineRule="auto"/>
        <w:contextualSpacing/>
        <w:rPr>
          <w:rFonts w:cs="Times New Roman"/>
          <w:szCs w:val="22"/>
        </w:rPr>
      </w:pPr>
    </w:p>
    <w:p w14:paraId="41602278" w14:textId="693B81BD" w:rsidR="004F3153" w:rsidRPr="00B61AD3" w:rsidRDefault="0069212E" w:rsidP="00C646C3">
      <w:pPr>
        <w:spacing w:line="240" w:lineRule="auto"/>
        <w:contextualSpacing/>
        <w:rPr>
          <w:rFonts w:cs="Times New Roman"/>
          <w:szCs w:val="22"/>
        </w:rPr>
      </w:pPr>
      <w:r w:rsidRPr="00B61AD3">
        <w:rPr>
          <w:rFonts w:cs="Times New Roman"/>
          <w:szCs w:val="22"/>
        </w:rPr>
        <w:t xml:space="preserve">New paragraph (d) also has the effect of expanding the circumstances in which </w:t>
      </w:r>
      <w:r w:rsidR="00492B60" w:rsidRPr="00B61AD3">
        <w:rPr>
          <w:rFonts w:cs="Times New Roman"/>
          <w:szCs w:val="22"/>
        </w:rPr>
        <w:t>a therapeutic vaping device or therapeutic vaping device accessory</w:t>
      </w:r>
      <w:r w:rsidR="00775A13" w:rsidRPr="00B61AD3">
        <w:rPr>
          <w:rFonts w:cs="Times New Roman"/>
          <w:szCs w:val="22"/>
        </w:rPr>
        <w:t xml:space="preserve"> </w:t>
      </w:r>
      <w:r w:rsidRPr="00B61AD3">
        <w:rPr>
          <w:rFonts w:cs="Times New Roman"/>
          <w:szCs w:val="22"/>
        </w:rPr>
        <w:t xml:space="preserve">may be </w:t>
      </w:r>
      <w:r w:rsidR="00702D91" w:rsidRPr="00B61AD3">
        <w:rPr>
          <w:rFonts w:cs="Times New Roman"/>
          <w:szCs w:val="22"/>
        </w:rPr>
        <w:t xml:space="preserve">the </w:t>
      </w:r>
      <w:r w:rsidRPr="00B61AD3">
        <w:rPr>
          <w:rFonts w:cs="Times New Roman"/>
          <w:szCs w:val="22"/>
        </w:rPr>
        <w:t xml:space="preserve">subject </w:t>
      </w:r>
      <w:r w:rsidR="00492B60" w:rsidRPr="00B61AD3">
        <w:rPr>
          <w:rFonts w:cs="Times New Roman"/>
          <w:szCs w:val="22"/>
        </w:rPr>
        <w:t xml:space="preserve">of </w:t>
      </w:r>
      <w:r w:rsidRPr="00B61AD3">
        <w:rPr>
          <w:rFonts w:cs="Times New Roman"/>
          <w:szCs w:val="22"/>
        </w:rPr>
        <w:t xml:space="preserve">a cease supply determination to include failure to comply with the condition in new paragraph (e) </w:t>
      </w:r>
      <w:r w:rsidR="00CA5787">
        <w:rPr>
          <w:rFonts w:cs="Times New Roman"/>
          <w:szCs w:val="22"/>
        </w:rPr>
        <w:t>mentioned</w:t>
      </w:r>
      <w:r w:rsidRPr="00B61AD3">
        <w:rPr>
          <w:rFonts w:cs="Times New Roman"/>
          <w:szCs w:val="22"/>
        </w:rPr>
        <w:t xml:space="preserve"> below.</w:t>
      </w:r>
    </w:p>
    <w:p w14:paraId="5184E46C" w14:textId="77777777" w:rsidR="004F3153" w:rsidRPr="00B61AD3" w:rsidRDefault="004F3153" w:rsidP="00C646C3">
      <w:pPr>
        <w:spacing w:line="240" w:lineRule="auto"/>
        <w:contextualSpacing/>
        <w:rPr>
          <w:rFonts w:cs="Times New Roman"/>
          <w:szCs w:val="22"/>
        </w:rPr>
      </w:pPr>
    </w:p>
    <w:p w14:paraId="5C67DC43" w14:textId="01B86BB1" w:rsidR="0069212E" w:rsidRPr="00B61AD3" w:rsidRDefault="0069212E" w:rsidP="00C646C3">
      <w:pPr>
        <w:spacing w:line="240" w:lineRule="auto"/>
        <w:contextualSpacing/>
        <w:rPr>
          <w:rFonts w:cs="Times New Roman"/>
          <w:szCs w:val="22"/>
        </w:rPr>
      </w:pPr>
      <w:r w:rsidRPr="00B61AD3">
        <w:rPr>
          <w:rFonts w:cs="Times New Roman"/>
          <w:szCs w:val="22"/>
        </w:rPr>
        <w:t>Relevantly, new paragraph (e) provides that a sponsor must, when requested by the Secretary, give a notice to the Secretary that the device complies with the essential princip</w:t>
      </w:r>
      <w:r w:rsidR="00904854" w:rsidRPr="00B61AD3">
        <w:rPr>
          <w:rFonts w:cs="Times New Roman"/>
          <w:szCs w:val="22"/>
        </w:rPr>
        <w:t>les</w:t>
      </w:r>
      <w:r w:rsidRPr="00B61AD3">
        <w:rPr>
          <w:rFonts w:cs="Times New Roman"/>
          <w:szCs w:val="22"/>
        </w:rPr>
        <w:t>, or is imported or suppl</w:t>
      </w:r>
      <w:r w:rsidR="00702D91" w:rsidRPr="00B61AD3">
        <w:rPr>
          <w:rFonts w:cs="Times New Roman"/>
          <w:szCs w:val="22"/>
        </w:rPr>
        <w:t>ied</w:t>
      </w:r>
      <w:r w:rsidRPr="00B61AD3">
        <w:rPr>
          <w:rFonts w:cs="Times New Roman"/>
          <w:szCs w:val="22"/>
        </w:rPr>
        <w:t xml:space="preserve"> (as the case may be), with the consent of the Secretary under section 41MA or 41MAA of the Act.</w:t>
      </w:r>
    </w:p>
    <w:p w14:paraId="47F87935" w14:textId="77777777" w:rsidR="003D1179" w:rsidRPr="00B61AD3" w:rsidRDefault="003D1179" w:rsidP="00C646C3">
      <w:pPr>
        <w:spacing w:line="240" w:lineRule="auto"/>
        <w:contextualSpacing/>
        <w:rPr>
          <w:rFonts w:cs="Times New Roman"/>
          <w:szCs w:val="22"/>
        </w:rPr>
      </w:pPr>
    </w:p>
    <w:p w14:paraId="60D56B3C" w14:textId="77777777" w:rsidR="003D1179" w:rsidRPr="00B61AD3" w:rsidRDefault="003D1179" w:rsidP="00C646C3">
      <w:pPr>
        <w:spacing w:line="240" w:lineRule="auto"/>
        <w:contextualSpacing/>
        <w:rPr>
          <w:rFonts w:cs="Times New Roman"/>
          <w:szCs w:val="22"/>
        </w:rPr>
      </w:pPr>
      <w:r w:rsidRPr="00B61AD3">
        <w:rPr>
          <w:rFonts w:cs="Times New Roman"/>
          <w:szCs w:val="22"/>
        </w:rPr>
        <w:t>In relation to therapeutic vaping devices and therapeutic vaping device accessories, compliance with the essential principles may be achieved by a device complying with:</w:t>
      </w:r>
    </w:p>
    <w:p w14:paraId="767FD727" w14:textId="77777777" w:rsidR="003D1179" w:rsidRPr="00B61AD3" w:rsidRDefault="003D1179" w:rsidP="00C646C3">
      <w:pPr>
        <w:spacing w:line="240" w:lineRule="auto"/>
        <w:contextualSpacing/>
        <w:rPr>
          <w:rFonts w:cs="Times New Roman"/>
          <w:szCs w:val="22"/>
        </w:rPr>
      </w:pPr>
    </w:p>
    <w:p w14:paraId="216DE4C3" w14:textId="77777777" w:rsidR="003D1179" w:rsidRPr="00B61AD3" w:rsidRDefault="003D1179" w:rsidP="00C646C3">
      <w:pPr>
        <w:pStyle w:val="ListParagraph"/>
        <w:numPr>
          <w:ilvl w:val="0"/>
          <w:numId w:val="29"/>
        </w:numPr>
        <w:spacing w:line="240" w:lineRule="auto"/>
        <w:rPr>
          <w:rFonts w:cs="Times New Roman"/>
          <w:szCs w:val="22"/>
        </w:rPr>
      </w:pPr>
      <w:r w:rsidRPr="00B61AD3">
        <w:rPr>
          <w:rFonts w:cs="Times New Roman"/>
          <w:szCs w:val="22"/>
        </w:rPr>
        <w:t>the essential principles as set out in Schedule 1 to the MD Regulations; or</w:t>
      </w:r>
    </w:p>
    <w:p w14:paraId="0FEDCE68" w14:textId="77777777" w:rsidR="003D1179" w:rsidRPr="00B61AD3" w:rsidRDefault="003D1179" w:rsidP="00C646C3">
      <w:pPr>
        <w:pStyle w:val="ListParagraph"/>
        <w:spacing w:line="240" w:lineRule="auto"/>
        <w:rPr>
          <w:rFonts w:cs="Times New Roman"/>
          <w:szCs w:val="22"/>
        </w:rPr>
      </w:pPr>
    </w:p>
    <w:p w14:paraId="31141CC9" w14:textId="77777777" w:rsidR="003D1179" w:rsidRPr="00B61AD3" w:rsidRDefault="003D1179" w:rsidP="00C646C3">
      <w:pPr>
        <w:pStyle w:val="ListParagraph"/>
        <w:numPr>
          <w:ilvl w:val="0"/>
          <w:numId w:val="29"/>
        </w:numPr>
        <w:spacing w:line="240" w:lineRule="auto"/>
        <w:rPr>
          <w:rFonts w:cs="Times New Roman"/>
          <w:szCs w:val="22"/>
        </w:rPr>
      </w:pPr>
      <w:r w:rsidRPr="00B61AD3">
        <w:rPr>
          <w:rFonts w:cs="Times New Roman"/>
          <w:szCs w:val="22"/>
        </w:rPr>
        <w:lastRenderedPageBreak/>
        <w:t xml:space="preserve">the </w:t>
      </w:r>
      <w:r w:rsidRPr="00B61AD3">
        <w:rPr>
          <w:rFonts w:cs="Times New Roman"/>
          <w:i/>
          <w:iCs/>
          <w:szCs w:val="22"/>
        </w:rPr>
        <w:t>Therapeutic Goods (Medical Device Standard—Therapeutic Vaping Devices) Order 2023</w:t>
      </w:r>
      <w:r w:rsidRPr="00B61AD3">
        <w:rPr>
          <w:rFonts w:cs="Times New Roman"/>
          <w:szCs w:val="22"/>
        </w:rPr>
        <w:t xml:space="preserve"> (the MDSO) (paragraph 41CB(1)(b) and subsection 41BH(2) of the Act refer) where applicable.</w:t>
      </w:r>
    </w:p>
    <w:p w14:paraId="6BA11CEA" w14:textId="77777777" w:rsidR="003D1179" w:rsidRPr="00B61AD3" w:rsidRDefault="003D1179" w:rsidP="00C646C3">
      <w:pPr>
        <w:spacing w:line="240" w:lineRule="auto"/>
        <w:contextualSpacing/>
        <w:rPr>
          <w:rFonts w:cs="Times New Roman"/>
          <w:szCs w:val="22"/>
        </w:rPr>
      </w:pPr>
    </w:p>
    <w:p w14:paraId="1EDF2B4E" w14:textId="12EF8663" w:rsidR="003D1179" w:rsidRPr="00B61AD3" w:rsidRDefault="003D1179" w:rsidP="00C646C3">
      <w:pPr>
        <w:spacing w:line="240" w:lineRule="auto"/>
        <w:contextualSpacing/>
        <w:rPr>
          <w:rFonts w:cs="Times New Roman"/>
          <w:szCs w:val="22"/>
        </w:rPr>
      </w:pPr>
      <w:r w:rsidRPr="00B61AD3">
        <w:rPr>
          <w:rFonts w:cs="Times New Roman"/>
          <w:szCs w:val="22"/>
        </w:rPr>
        <w:t xml:space="preserve">As the essential principles are contained in Schedule 1 to the MD Regulations, and noting there is no express contrary intention, any reference to the essential principles </w:t>
      </w:r>
      <w:r w:rsidR="00FF78C9" w:rsidRPr="00B61AD3">
        <w:rPr>
          <w:rFonts w:cs="Times New Roman"/>
          <w:szCs w:val="22"/>
        </w:rPr>
        <w:t xml:space="preserve">is </w:t>
      </w:r>
      <w:r w:rsidRPr="00B61AD3">
        <w:rPr>
          <w:rFonts w:cs="Times New Roman"/>
          <w:szCs w:val="22"/>
        </w:rPr>
        <w:t>a reference to the essential principles as in force from time to time.</w:t>
      </w:r>
    </w:p>
    <w:p w14:paraId="728D1132" w14:textId="77777777" w:rsidR="003D1179" w:rsidRPr="00B61AD3" w:rsidRDefault="003D1179" w:rsidP="00C646C3">
      <w:pPr>
        <w:spacing w:line="240" w:lineRule="auto"/>
        <w:contextualSpacing/>
        <w:rPr>
          <w:rFonts w:cs="Times New Roman"/>
          <w:szCs w:val="22"/>
        </w:rPr>
      </w:pPr>
    </w:p>
    <w:p w14:paraId="28D99E68" w14:textId="067DF34C" w:rsidR="003D1179" w:rsidRPr="00B61AD3" w:rsidRDefault="003D1179" w:rsidP="00C646C3">
      <w:pPr>
        <w:spacing w:line="240" w:lineRule="auto"/>
        <w:contextualSpacing/>
        <w:rPr>
          <w:rFonts w:cs="Times New Roman"/>
          <w:szCs w:val="22"/>
        </w:rPr>
      </w:pPr>
      <w:r w:rsidRPr="00B61AD3">
        <w:rPr>
          <w:rFonts w:cs="Times New Roman"/>
          <w:szCs w:val="22"/>
        </w:rPr>
        <w:t xml:space="preserve">The MDSO is a disallowable legislative instrument made under section 41CB of the Act that is freely available on the Federal Register of Legislation (www.legislation.gov.au). It sets out minimum safety and performance requirements for certain therapeutic vaping devices and therapeutic vaping device accessories. The MDSO is a discretionary order that provides sponsors with an alternative standard for demonstrating compliance with the essential principles. The MDSO has limited operation, as specified in the application provision </w:t>
      </w:r>
      <w:r w:rsidR="00C167A3" w:rsidRPr="00B61AD3">
        <w:rPr>
          <w:rFonts w:cs="Times New Roman"/>
          <w:szCs w:val="22"/>
        </w:rPr>
        <w:t>of that order</w:t>
      </w:r>
      <w:r w:rsidRPr="00B61AD3">
        <w:rPr>
          <w:rFonts w:cs="Times New Roman"/>
          <w:szCs w:val="22"/>
        </w:rPr>
        <w:t>.</w:t>
      </w:r>
    </w:p>
    <w:p w14:paraId="3F9EBD58" w14:textId="77777777" w:rsidR="003D1179" w:rsidRPr="00B61AD3" w:rsidRDefault="003D1179" w:rsidP="00C646C3">
      <w:pPr>
        <w:spacing w:line="240" w:lineRule="auto"/>
        <w:contextualSpacing/>
        <w:rPr>
          <w:rFonts w:cs="Times New Roman"/>
          <w:szCs w:val="22"/>
        </w:rPr>
      </w:pPr>
    </w:p>
    <w:p w14:paraId="6D82F5ED" w14:textId="076DFE71" w:rsidR="007F573A" w:rsidRPr="00B61AD3" w:rsidRDefault="003D1179" w:rsidP="00C646C3">
      <w:pPr>
        <w:shd w:val="clear" w:color="auto" w:fill="FFFFFF" w:themeFill="background1"/>
        <w:spacing w:line="240" w:lineRule="auto"/>
        <w:contextualSpacing/>
        <w:rPr>
          <w:rFonts w:cs="Times New Roman"/>
          <w:color w:val="000000" w:themeColor="text1"/>
          <w:szCs w:val="22"/>
        </w:rPr>
      </w:pPr>
      <w:r w:rsidRPr="00B61AD3">
        <w:rPr>
          <w:rFonts w:cs="Times New Roman"/>
          <w:color w:val="000000" w:themeColor="text1"/>
          <w:szCs w:val="22"/>
        </w:rPr>
        <w:t>The incorporation by reference of a disallowable legislative instrument</w:t>
      </w:r>
      <w:r w:rsidR="00C167A3" w:rsidRPr="00B61AD3">
        <w:rPr>
          <w:rFonts w:cs="Times New Roman"/>
          <w:color w:val="000000" w:themeColor="text1"/>
          <w:szCs w:val="22"/>
        </w:rPr>
        <w:t>,</w:t>
      </w:r>
      <w:r w:rsidRPr="00B61AD3">
        <w:rPr>
          <w:rFonts w:cs="Times New Roman"/>
          <w:color w:val="000000" w:themeColor="text1"/>
          <w:szCs w:val="22"/>
        </w:rPr>
        <w:t xml:space="preserve"> made under section 41CB of the Act, in the MD Regulations is consistent with subsection 14(1) of the </w:t>
      </w:r>
      <w:r w:rsidRPr="00B61AD3">
        <w:rPr>
          <w:rFonts w:cs="Times New Roman"/>
          <w:i/>
          <w:iCs/>
          <w:color w:val="000000" w:themeColor="text1"/>
          <w:szCs w:val="22"/>
        </w:rPr>
        <w:t>Legislation Act 2003</w:t>
      </w:r>
      <w:r w:rsidRPr="00B61AD3">
        <w:rPr>
          <w:rFonts w:cs="Times New Roman"/>
          <w:color w:val="000000" w:themeColor="text1"/>
          <w:szCs w:val="22"/>
        </w:rPr>
        <w:t xml:space="preserve"> (the Legislation Act).</w:t>
      </w:r>
    </w:p>
    <w:p w14:paraId="436031EB" w14:textId="3B4AC1BE" w:rsidR="0069212E" w:rsidRPr="00B61AD3" w:rsidRDefault="0069212E" w:rsidP="00C646C3">
      <w:pPr>
        <w:spacing w:line="240" w:lineRule="auto"/>
        <w:contextualSpacing/>
        <w:rPr>
          <w:rFonts w:cs="Times New Roman"/>
          <w:szCs w:val="22"/>
        </w:rPr>
      </w:pPr>
    </w:p>
    <w:p w14:paraId="4A455806" w14:textId="77777777" w:rsidR="00886DBA" w:rsidRPr="00B61AD3" w:rsidRDefault="00886DBA" w:rsidP="00C646C3">
      <w:pPr>
        <w:spacing w:line="240" w:lineRule="auto"/>
        <w:contextualSpacing/>
        <w:rPr>
          <w:rFonts w:cs="Times New Roman"/>
          <w:b/>
          <w:bCs/>
          <w:szCs w:val="22"/>
        </w:rPr>
      </w:pPr>
      <w:bookmarkStart w:id="5" w:name="BK_S3P4L17C57"/>
      <w:bookmarkStart w:id="6" w:name="BK_S3P4L17C68"/>
      <w:bookmarkEnd w:id="5"/>
      <w:bookmarkEnd w:id="6"/>
      <w:r w:rsidRPr="00B61AD3">
        <w:rPr>
          <w:rFonts w:cs="Times New Roman"/>
          <w:b/>
          <w:bCs/>
          <w:szCs w:val="22"/>
        </w:rPr>
        <w:t>Item 3 – Part 2 of Schedule 4 (table item 2.17, column headed “Conditions”, paragraph (a))</w:t>
      </w:r>
    </w:p>
    <w:p w14:paraId="614ECD72" w14:textId="77777777" w:rsidR="00886DBA" w:rsidRPr="00B61AD3" w:rsidRDefault="00886DBA" w:rsidP="00C646C3">
      <w:pPr>
        <w:spacing w:line="240" w:lineRule="auto"/>
        <w:contextualSpacing/>
        <w:rPr>
          <w:rFonts w:cs="Times New Roman"/>
          <w:szCs w:val="22"/>
        </w:rPr>
      </w:pPr>
    </w:p>
    <w:p w14:paraId="272C8481" w14:textId="7FEABC69" w:rsidR="00886DBA" w:rsidRPr="00B61AD3" w:rsidRDefault="00886DBA" w:rsidP="00C646C3">
      <w:pPr>
        <w:spacing w:line="240" w:lineRule="auto"/>
        <w:contextualSpacing/>
        <w:rPr>
          <w:rFonts w:cs="Times New Roman"/>
          <w:szCs w:val="22"/>
        </w:rPr>
      </w:pPr>
      <w:r w:rsidRPr="00B61AD3">
        <w:rPr>
          <w:rFonts w:cs="Times New Roman"/>
          <w:szCs w:val="22"/>
        </w:rPr>
        <w:t>This item amend</w:t>
      </w:r>
      <w:r w:rsidR="00E94AEA" w:rsidRPr="00B61AD3">
        <w:rPr>
          <w:rFonts w:cs="Times New Roman"/>
          <w:szCs w:val="22"/>
        </w:rPr>
        <w:t>s</w:t>
      </w:r>
      <w:r w:rsidRPr="00B61AD3">
        <w:rPr>
          <w:rFonts w:cs="Times New Roman"/>
          <w:szCs w:val="22"/>
        </w:rPr>
        <w:t xml:space="preserve"> item 2.17 of the table in Part 2 of Schedule 4 to the MD Regulations to replace existing paragraph (a) in the column headed “Conditions” with a new paragraph (a). </w:t>
      </w:r>
      <w:r w:rsidR="00E94AEA" w:rsidRPr="00B61AD3">
        <w:rPr>
          <w:rFonts w:cs="Times New Roman"/>
          <w:szCs w:val="22"/>
        </w:rPr>
        <w:t>Th</w:t>
      </w:r>
      <w:r w:rsidR="0069212E" w:rsidRPr="00B61AD3">
        <w:rPr>
          <w:rFonts w:cs="Times New Roman"/>
          <w:szCs w:val="22"/>
        </w:rPr>
        <w:t>e</w:t>
      </w:r>
      <w:r w:rsidRPr="00B61AD3">
        <w:rPr>
          <w:rFonts w:cs="Times New Roman"/>
          <w:szCs w:val="22"/>
        </w:rPr>
        <w:t xml:space="preserve"> amendment is consequential to the amendment made above to remove content that would otherwise be duplicative as a result of that amendment.</w:t>
      </w:r>
    </w:p>
    <w:p w14:paraId="063C1E89" w14:textId="77777777" w:rsidR="0069212E" w:rsidRPr="00B61AD3" w:rsidRDefault="0069212E" w:rsidP="00C646C3">
      <w:pPr>
        <w:spacing w:line="240" w:lineRule="auto"/>
        <w:contextualSpacing/>
        <w:rPr>
          <w:rFonts w:cs="Times New Roman"/>
          <w:szCs w:val="22"/>
        </w:rPr>
      </w:pPr>
    </w:p>
    <w:p w14:paraId="7301D7B3" w14:textId="1D0AD084" w:rsidR="0069212E" w:rsidRPr="00B61AD3" w:rsidRDefault="0069212E" w:rsidP="00C646C3">
      <w:pPr>
        <w:spacing w:line="240" w:lineRule="auto"/>
        <w:contextualSpacing/>
        <w:rPr>
          <w:rFonts w:cs="Times New Roman"/>
          <w:szCs w:val="22"/>
        </w:rPr>
      </w:pPr>
      <w:r w:rsidRPr="00B61AD3">
        <w:rPr>
          <w:rFonts w:cs="Times New Roman"/>
          <w:szCs w:val="22"/>
        </w:rPr>
        <w:t xml:space="preserve">New paragraph (a) requires the sponsor to give the sponsor notice (i.e. the notice </w:t>
      </w:r>
      <w:r w:rsidR="00492B60" w:rsidRPr="00B61AD3">
        <w:rPr>
          <w:rFonts w:cs="Times New Roman"/>
          <w:szCs w:val="22"/>
        </w:rPr>
        <w:t xml:space="preserve">mentioned </w:t>
      </w:r>
      <w:r w:rsidRPr="00B61AD3">
        <w:rPr>
          <w:rFonts w:cs="Times New Roman"/>
          <w:szCs w:val="22"/>
        </w:rPr>
        <w:t>in new paragraph (b) of the “Kinds of medical devices” column and including the statement to be set out in that paragraph) to the Secretary in an approved form.</w:t>
      </w:r>
    </w:p>
    <w:p w14:paraId="28BCD9DA" w14:textId="77777777" w:rsidR="0069212E" w:rsidRPr="00B61AD3" w:rsidRDefault="0069212E" w:rsidP="00C646C3">
      <w:pPr>
        <w:spacing w:line="240" w:lineRule="auto"/>
        <w:contextualSpacing/>
        <w:rPr>
          <w:rFonts w:cs="Times New Roman"/>
          <w:szCs w:val="22"/>
        </w:rPr>
      </w:pPr>
    </w:p>
    <w:p w14:paraId="6FFE425B" w14:textId="17C02533" w:rsidR="0069212E" w:rsidRPr="00B61AD3" w:rsidRDefault="00BC3DEA" w:rsidP="00C646C3">
      <w:pPr>
        <w:spacing w:line="240" w:lineRule="auto"/>
        <w:contextualSpacing/>
        <w:rPr>
          <w:rFonts w:cs="Times New Roman"/>
          <w:szCs w:val="22"/>
        </w:rPr>
      </w:pPr>
      <w:r w:rsidRPr="00B61AD3">
        <w:rPr>
          <w:rFonts w:cs="Times New Roman"/>
          <w:szCs w:val="22"/>
        </w:rPr>
        <w:t>I</w:t>
      </w:r>
      <w:r w:rsidR="00492B60" w:rsidRPr="00B61AD3">
        <w:rPr>
          <w:rFonts w:cs="Times New Roman"/>
          <w:szCs w:val="22"/>
        </w:rPr>
        <w:t xml:space="preserve">t </w:t>
      </w:r>
      <w:r w:rsidR="00E5081B" w:rsidRPr="00B61AD3">
        <w:rPr>
          <w:rFonts w:cs="Times New Roman"/>
          <w:szCs w:val="22"/>
        </w:rPr>
        <w:t>is</w:t>
      </w:r>
      <w:r w:rsidR="00492B60" w:rsidRPr="00B61AD3">
        <w:rPr>
          <w:rFonts w:cs="Times New Roman"/>
          <w:szCs w:val="22"/>
        </w:rPr>
        <w:t xml:space="preserve"> intended that </w:t>
      </w:r>
      <w:r w:rsidR="0069212E" w:rsidRPr="00B61AD3">
        <w:rPr>
          <w:rFonts w:cs="Times New Roman"/>
          <w:szCs w:val="22"/>
        </w:rPr>
        <w:t>new paragraph (a)</w:t>
      </w:r>
      <w:r w:rsidR="00492B60" w:rsidRPr="00B61AD3">
        <w:rPr>
          <w:rFonts w:cs="Times New Roman"/>
          <w:szCs w:val="22"/>
        </w:rPr>
        <w:t>—</w:t>
      </w:r>
      <w:r w:rsidR="0069212E" w:rsidRPr="00B61AD3">
        <w:rPr>
          <w:rFonts w:cs="Times New Roman"/>
          <w:szCs w:val="22"/>
        </w:rPr>
        <w:t>that is, the giving of a sponsor notice to the Secretary in the approved form</w:t>
      </w:r>
      <w:r w:rsidR="00492B60" w:rsidRPr="00B61AD3">
        <w:rPr>
          <w:rFonts w:cs="Times New Roman"/>
          <w:szCs w:val="22"/>
        </w:rPr>
        <w:t>—continues</w:t>
      </w:r>
      <w:r w:rsidR="0069212E" w:rsidRPr="00B61AD3">
        <w:rPr>
          <w:rFonts w:cs="Times New Roman"/>
          <w:szCs w:val="22"/>
        </w:rPr>
        <w:t xml:space="preserve"> to satisfy the description </w:t>
      </w:r>
      <w:r w:rsidR="00492B60" w:rsidRPr="00B61AD3">
        <w:rPr>
          <w:rFonts w:cs="Times New Roman"/>
          <w:szCs w:val="22"/>
        </w:rPr>
        <w:t xml:space="preserve">of the paragraph </w:t>
      </w:r>
      <w:r w:rsidR="0069212E" w:rsidRPr="00B61AD3">
        <w:rPr>
          <w:rFonts w:cs="Times New Roman"/>
          <w:szCs w:val="22"/>
        </w:rPr>
        <w:t xml:space="preserve">contained in subparagraph 5A(13)(b)(i) of the </w:t>
      </w:r>
      <w:r w:rsidR="0069212E" w:rsidRPr="00B61AD3">
        <w:rPr>
          <w:rFonts w:cs="Times New Roman"/>
          <w:i/>
          <w:iCs/>
          <w:szCs w:val="22"/>
        </w:rPr>
        <w:t xml:space="preserve">Customs (Prohibited Imports) Regulations 1956 </w:t>
      </w:r>
      <w:r w:rsidR="0069212E" w:rsidRPr="00B61AD3">
        <w:rPr>
          <w:rFonts w:cs="Times New Roman"/>
          <w:szCs w:val="22"/>
        </w:rPr>
        <w:t>(the</w:t>
      </w:r>
      <w:r w:rsidR="00F9528F" w:rsidRPr="00B61AD3">
        <w:rPr>
          <w:rFonts w:cs="Times New Roman"/>
          <w:szCs w:val="22"/>
        </w:rPr>
        <w:t> </w:t>
      </w:r>
      <w:r w:rsidR="0069212E" w:rsidRPr="00B61AD3">
        <w:rPr>
          <w:rFonts w:cs="Times New Roman"/>
          <w:szCs w:val="22"/>
        </w:rPr>
        <w:t>CPI Regulations).</w:t>
      </w:r>
    </w:p>
    <w:p w14:paraId="795DD044" w14:textId="77777777" w:rsidR="003D194E" w:rsidRPr="00B61AD3" w:rsidRDefault="003D194E" w:rsidP="00C646C3">
      <w:pPr>
        <w:spacing w:line="240" w:lineRule="auto"/>
        <w:contextualSpacing/>
        <w:rPr>
          <w:rFonts w:cs="Times New Roman"/>
          <w:szCs w:val="22"/>
        </w:rPr>
      </w:pPr>
    </w:p>
    <w:p w14:paraId="7F11C1DB" w14:textId="64A42E61" w:rsidR="003D194E" w:rsidRPr="00B61AD3" w:rsidRDefault="003D194E" w:rsidP="00C646C3">
      <w:pPr>
        <w:spacing w:line="240" w:lineRule="auto"/>
        <w:contextualSpacing/>
        <w:rPr>
          <w:rFonts w:cs="Times New Roman"/>
          <w:szCs w:val="22"/>
        </w:rPr>
      </w:pPr>
      <w:r w:rsidRPr="00B61AD3">
        <w:rPr>
          <w:rFonts w:cs="Times New Roman"/>
          <w:szCs w:val="22"/>
        </w:rPr>
        <w:t>Vaping goods may only be lawfully imported to Australia by a person with a licence and written permission granted by a prescribed authority under regulation 5A of the CPI Regulations. A prescribed authority may only grant a permission to a person who is a licence holder and one or more of the circumstances contained in paragraph 5A(12)(b) of the CPI Regulations apply. One of those circumstances is that the vaping goods meet the ‘notification requirements’ prescribed in subregulation 5A(13) of the CPI Regulations (subparagraph 5A(12)(b)(ii) refers). Subparagraph 5A(13)(b)(i) of the CPI Regulations is one of these ‘notification requirements’, and provides that “a notice in relation to the vaping goods has been given in accordance with paragraph (a) of the column headed “Conditions” of item 2.17 of Part 2 of Schedule 4 to the [MD Regulations]”.</w:t>
      </w:r>
    </w:p>
    <w:p w14:paraId="71E40687" w14:textId="77777777" w:rsidR="00886DBA" w:rsidRPr="00B61AD3" w:rsidRDefault="00886DBA" w:rsidP="00C646C3">
      <w:pPr>
        <w:spacing w:line="240" w:lineRule="auto"/>
        <w:contextualSpacing/>
        <w:rPr>
          <w:rFonts w:cs="Times New Roman"/>
          <w:szCs w:val="22"/>
        </w:rPr>
      </w:pPr>
    </w:p>
    <w:p w14:paraId="53DB55B0" w14:textId="2C5BB427" w:rsidR="00886DBA" w:rsidRPr="00B61AD3" w:rsidRDefault="00886DBA" w:rsidP="00413112">
      <w:pPr>
        <w:spacing w:line="240" w:lineRule="auto"/>
        <w:contextualSpacing/>
        <w:rPr>
          <w:rFonts w:cs="Times New Roman"/>
          <w:szCs w:val="22"/>
        </w:rPr>
      </w:pPr>
      <w:r w:rsidRPr="00B61AD3">
        <w:rPr>
          <w:rFonts w:cs="Times New Roman"/>
          <w:b/>
          <w:bCs/>
          <w:szCs w:val="22"/>
        </w:rPr>
        <w:t>Item 4 – Part 2 of Schedule 4 (table item 2.17, column headed “Conditions”, paragraphs (c)</w:t>
      </w:r>
      <w:r w:rsidR="006C2FB4" w:rsidRPr="00B61AD3">
        <w:rPr>
          <w:rFonts w:cs="Times New Roman"/>
          <w:b/>
          <w:bCs/>
          <w:szCs w:val="22"/>
        </w:rPr>
        <w:t> </w:t>
      </w:r>
      <w:r w:rsidRPr="00B61AD3">
        <w:rPr>
          <w:rFonts w:cs="Times New Roman"/>
          <w:b/>
          <w:bCs/>
          <w:szCs w:val="22"/>
        </w:rPr>
        <w:t>to</w:t>
      </w:r>
      <w:r w:rsidR="006C2FB4" w:rsidRPr="00B61AD3">
        <w:rPr>
          <w:rFonts w:cs="Times New Roman"/>
          <w:b/>
          <w:bCs/>
          <w:szCs w:val="22"/>
        </w:rPr>
        <w:t> </w:t>
      </w:r>
      <w:r w:rsidRPr="00B61AD3">
        <w:rPr>
          <w:rFonts w:cs="Times New Roman"/>
          <w:b/>
          <w:bCs/>
          <w:szCs w:val="22"/>
        </w:rPr>
        <w:t>(e))</w:t>
      </w:r>
    </w:p>
    <w:p w14:paraId="20732977" w14:textId="77777777" w:rsidR="00886DBA" w:rsidRPr="00B61AD3" w:rsidRDefault="00886DBA" w:rsidP="00413112">
      <w:pPr>
        <w:spacing w:line="240" w:lineRule="auto"/>
        <w:contextualSpacing/>
        <w:rPr>
          <w:rFonts w:cs="Times New Roman"/>
          <w:szCs w:val="22"/>
        </w:rPr>
      </w:pPr>
    </w:p>
    <w:p w14:paraId="7D0A7C9D" w14:textId="2381259A" w:rsidR="00886DBA" w:rsidRPr="00B61AD3" w:rsidRDefault="00886DBA" w:rsidP="00413112">
      <w:pPr>
        <w:spacing w:line="240" w:lineRule="auto"/>
        <w:contextualSpacing/>
        <w:rPr>
          <w:rFonts w:cs="Times New Roman"/>
          <w:szCs w:val="22"/>
        </w:rPr>
      </w:pPr>
      <w:r w:rsidRPr="00B61AD3">
        <w:rPr>
          <w:rFonts w:cs="Times New Roman"/>
          <w:szCs w:val="22"/>
        </w:rPr>
        <w:t>This item amend</w:t>
      </w:r>
      <w:r w:rsidR="00E94AEA" w:rsidRPr="00B61AD3">
        <w:rPr>
          <w:rFonts w:cs="Times New Roman"/>
          <w:szCs w:val="22"/>
        </w:rPr>
        <w:t>s</w:t>
      </w:r>
      <w:r w:rsidRPr="00B61AD3">
        <w:rPr>
          <w:rFonts w:cs="Times New Roman"/>
          <w:szCs w:val="22"/>
        </w:rPr>
        <w:t xml:space="preserve"> item 2.17 of the table in Part </w:t>
      </w:r>
      <w:r w:rsidR="0069212E" w:rsidRPr="00B61AD3">
        <w:rPr>
          <w:rFonts w:cs="Times New Roman"/>
          <w:szCs w:val="22"/>
        </w:rPr>
        <w:t xml:space="preserve">2 </w:t>
      </w:r>
      <w:r w:rsidRPr="00B61AD3">
        <w:rPr>
          <w:rFonts w:cs="Times New Roman"/>
          <w:szCs w:val="22"/>
        </w:rPr>
        <w:t>of Schedule 4 to the MD Regulations to replace existing paragraphs (c) to (e) in the column headed “Conditions” with new paragraphs (c) to (e).</w:t>
      </w:r>
    </w:p>
    <w:p w14:paraId="7AA6709F" w14:textId="77777777" w:rsidR="00713A6D" w:rsidRPr="00B61AD3" w:rsidRDefault="00713A6D" w:rsidP="00C646C3">
      <w:pPr>
        <w:spacing w:line="240" w:lineRule="auto"/>
        <w:contextualSpacing/>
        <w:rPr>
          <w:rFonts w:cs="Times New Roman"/>
          <w:szCs w:val="22"/>
        </w:rPr>
      </w:pPr>
    </w:p>
    <w:p w14:paraId="5F7DB70C" w14:textId="7A72349B" w:rsidR="00713A6D" w:rsidRPr="00B61AD3" w:rsidRDefault="00713A6D" w:rsidP="00C646C3">
      <w:pPr>
        <w:spacing w:line="240" w:lineRule="auto"/>
        <w:contextualSpacing/>
        <w:rPr>
          <w:rFonts w:cs="Times New Roman"/>
          <w:szCs w:val="22"/>
        </w:rPr>
      </w:pPr>
      <w:r w:rsidRPr="00B61AD3">
        <w:rPr>
          <w:rFonts w:cs="Times New Roman"/>
          <w:szCs w:val="22"/>
        </w:rPr>
        <w:t>At a high level, this amendment clari</w:t>
      </w:r>
      <w:r w:rsidR="004D38CF" w:rsidRPr="00B61AD3">
        <w:rPr>
          <w:rFonts w:cs="Times New Roman"/>
          <w:szCs w:val="22"/>
        </w:rPr>
        <w:t>fies</w:t>
      </w:r>
      <w:r w:rsidRPr="00B61AD3">
        <w:rPr>
          <w:rFonts w:cs="Times New Roman"/>
          <w:szCs w:val="22"/>
        </w:rPr>
        <w:t xml:space="preserve"> that goods must comply with the essential principles as in force at all times while a device is notified (which may change from time to time). It also provide</w:t>
      </w:r>
      <w:r w:rsidR="004D38CF" w:rsidRPr="00B61AD3">
        <w:rPr>
          <w:rFonts w:cs="Times New Roman"/>
          <w:szCs w:val="22"/>
        </w:rPr>
        <w:t>s</w:t>
      </w:r>
      <w:r w:rsidRPr="00B61AD3">
        <w:rPr>
          <w:rFonts w:cs="Times New Roman"/>
          <w:szCs w:val="22"/>
        </w:rPr>
        <w:t xml:space="preserve"> a mechanism by which the Secretary may require a sponsor to confirm that their device continues to comply with the essential principles (for example, in circumstances where the essential principles have been amended since a sponsor provided an original sponsor notice).</w:t>
      </w:r>
    </w:p>
    <w:p w14:paraId="165B90B1" w14:textId="77777777" w:rsidR="00886DBA" w:rsidRPr="00B61AD3" w:rsidRDefault="00886DBA" w:rsidP="00C646C3">
      <w:pPr>
        <w:spacing w:line="240" w:lineRule="auto"/>
        <w:contextualSpacing/>
        <w:rPr>
          <w:rFonts w:cs="Times New Roman"/>
          <w:szCs w:val="22"/>
        </w:rPr>
      </w:pPr>
    </w:p>
    <w:p w14:paraId="3AE44DDA" w14:textId="59637DB9" w:rsidR="0069212E" w:rsidRPr="00B61AD3" w:rsidRDefault="0069212E" w:rsidP="00C646C3">
      <w:pPr>
        <w:spacing w:line="240" w:lineRule="auto"/>
        <w:contextualSpacing/>
        <w:rPr>
          <w:rFonts w:cs="Times New Roman"/>
          <w:szCs w:val="22"/>
        </w:rPr>
      </w:pPr>
      <w:r w:rsidRPr="00B61AD3">
        <w:rPr>
          <w:rFonts w:cs="Times New Roman"/>
          <w:szCs w:val="22"/>
        </w:rPr>
        <w:t>Existing paragraphs (c) and (d) require that a sponsor</w:t>
      </w:r>
      <w:r w:rsidR="00492B60" w:rsidRPr="00B61AD3">
        <w:rPr>
          <w:rFonts w:cs="Times New Roman"/>
          <w:szCs w:val="22"/>
        </w:rPr>
        <w:t xml:space="preserve"> </w:t>
      </w:r>
      <w:r w:rsidRPr="00B61AD3">
        <w:rPr>
          <w:rFonts w:cs="Times New Roman"/>
          <w:szCs w:val="22"/>
        </w:rPr>
        <w:t>holds information or evidence to support the statements which the sponsor made in the sponsor notice</w:t>
      </w:r>
      <w:r w:rsidR="0051427B" w:rsidRPr="00B61AD3">
        <w:rPr>
          <w:rFonts w:cs="Times New Roman"/>
          <w:szCs w:val="22"/>
        </w:rPr>
        <w:t>,</w:t>
      </w:r>
      <w:r w:rsidR="00492B60" w:rsidRPr="00B61AD3">
        <w:rPr>
          <w:rFonts w:cs="Times New Roman"/>
          <w:szCs w:val="22"/>
        </w:rPr>
        <w:t xml:space="preserve"> and neither of the statements made in the sponsor notice is incorrect. The statements in the sponsor notice are</w:t>
      </w:r>
      <w:r w:rsidRPr="00B61AD3">
        <w:rPr>
          <w:rFonts w:cs="Times New Roman"/>
          <w:szCs w:val="22"/>
        </w:rPr>
        <w:t xml:space="preserve"> that:</w:t>
      </w:r>
    </w:p>
    <w:p w14:paraId="5014E608" w14:textId="77777777" w:rsidR="00492B60" w:rsidRPr="00B61AD3" w:rsidRDefault="00492B60" w:rsidP="00C646C3">
      <w:pPr>
        <w:pStyle w:val="ListParagraph"/>
        <w:spacing w:line="240" w:lineRule="auto"/>
        <w:rPr>
          <w:rFonts w:cs="Times New Roman"/>
          <w:szCs w:val="22"/>
        </w:rPr>
      </w:pPr>
    </w:p>
    <w:p w14:paraId="638B6947" w14:textId="77777777" w:rsidR="0069212E" w:rsidRPr="00B61AD3" w:rsidRDefault="0069212E" w:rsidP="00C646C3">
      <w:pPr>
        <w:pStyle w:val="ListParagraph"/>
        <w:numPr>
          <w:ilvl w:val="0"/>
          <w:numId w:val="29"/>
        </w:numPr>
        <w:spacing w:line="240" w:lineRule="auto"/>
        <w:rPr>
          <w:rFonts w:cs="Times New Roman"/>
          <w:szCs w:val="22"/>
        </w:rPr>
      </w:pPr>
      <w:r w:rsidRPr="00B61AD3">
        <w:rPr>
          <w:rFonts w:cs="Times New Roman"/>
          <w:szCs w:val="22"/>
        </w:rPr>
        <w:t>the device is intended by the sponsor only to administer or contain a therapeutic vaping substance whose only indications are use for smoking cessation or the management of nicotine dependence; and</w:t>
      </w:r>
    </w:p>
    <w:p w14:paraId="61F66D27" w14:textId="77777777" w:rsidR="00492B60" w:rsidRPr="00B61AD3" w:rsidRDefault="00492B60" w:rsidP="00C646C3">
      <w:pPr>
        <w:pStyle w:val="ListParagraph"/>
        <w:spacing w:line="240" w:lineRule="auto"/>
        <w:rPr>
          <w:rFonts w:cs="Times New Roman"/>
          <w:szCs w:val="22"/>
        </w:rPr>
      </w:pPr>
    </w:p>
    <w:p w14:paraId="7652B4C3" w14:textId="602879BD" w:rsidR="0069212E" w:rsidRPr="00B61AD3" w:rsidRDefault="0069212E" w:rsidP="00C646C3">
      <w:pPr>
        <w:pStyle w:val="ListParagraph"/>
        <w:numPr>
          <w:ilvl w:val="0"/>
          <w:numId w:val="29"/>
        </w:numPr>
        <w:spacing w:line="240" w:lineRule="auto"/>
        <w:rPr>
          <w:rFonts w:cs="Times New Roman"/>
          <w:szCs w:val="22"/>
        </w:rPr>
      </w:pPr>
      <w:r w:rsidRPr="00B61AD3">
        <w:rPr>
          <w:rFonts w:cs="Times New Roman"/>
          <w:szCs w:val="22"/>
        </w:rPr>
        <w:t>the device complies with the essential principles, or is imported or supplied (as the case may be) with the consent of the Secretary under section 41MA or 41MAA of the Act</w:t>
      </w:r>
      <w:r w:rsidR="00E5081B" w:rsidRPr="00B61AD3">
        <w:rPr>
          <w:rFonts w:cs="Times New Roman"/>
          <w:szCs w:val="22"/>
        </w:rPr>
        <w:t>.</w:t>
      </w:r>
    </w:p>
    <w:p w14:paraId="7E35F19B" w14:textId="77777777" w:rsidR="0069212E" w:rsidRPr="00B61AD3" w:rsidRDefault="0069212E" w:rsidP="00C646C3">
      <w:pPr>
        <w:spacing w:line="240" w:lineRule="auto"/>
        <w:contextualSpacing/>
        <w:rPr>
          <w:rFonts w:cs="Times New Roman"/>
          <w:szCs w:val="22"/>
        </w:rPr>
      </w:pPr>
    </w:p>
    <w:p w14:paraId="3B980462" w14:textId="3ABD2157" w:rsidR="0069212E" w:rsidRPr="00B61AD3" w:rsidRDefault="0069212E" w:rsidP="00C646C3">
      <w:pPr>
        <w:spacing w:line="240" w:lineRule="auto"/>
        <w:contextualSpacing/>
        <w:rPr>
          <w:rFonts w:cs="Times New Roman"/>
          <w:szCs w:val="22"/>
        </w:rPr>
      </w:pPr>
      <w:r w:rsidRPr="00B61AD3">
        <w:rPr>
          <w:rFonts w:cs="Times New Roman"/>
          <w:szCs w:val="22"/>
        </w:rPr>
        <w:t xml:space="preserve">Existing paragraph (e) currently provides that a device must not be the subject of a cease supply determination. </w:t>
      </w:r>
      <w:r w:rsidR="004F3153" w:rsidRPr="00B61AD3">
        <w:rPr>
          <w:rFonts w:cs="Times New Roman"/>
          <w:szCs w:val="22"/>
        </w:rPr>
        <w:t>The</w:t>
      </w:r>
      <w:r w:rsidRPr="00B61AD3">
        <w:rPr>
          <w:rFonts w:cs="Times New Roman"/>
          <w:szCs w:val="22"/>
        </w:rPr>
        <w:t xml:space="preserve"> amendment above move</w:t>
      </w:r>
      <w:r w:rsidR="00FF78C9" w:rsidRPr="00B61AD3">
        <w:rPr>
          <w:rFonts w:cs="Times New Roman"/>
          <w:szCs w:val="22"/>
        </w:rPr>
        <w:t>s</w:t>
      </w:r>
      <w:r w:rsidRPr="00B61AD3">
        <w:rPr>
          <w:rFonts w:cs="Times New Roman"/>
          <w:szCs w:val="22"/>
        </w:rPr>
        <w:t xml:space="preserve"> the substance of this provision, with amendment,</w:t>
      </w:r>
      <w:r w:rsidR="00C25F52" w:rsidRPr="00B61AD3">
        <w:rPr>
          <w:rFonts w:cs="Times New Roman"/>
          <w:szCs w:val="22"/>
        </w:rPr>
        <w:t xml:space="preserve"> from the column headed “Conditions”</w:t>
      </w:r>
      <w:r w:rsidRPr="00B61AD3">
        <w:rPr>
          <w:rFonts w:cs="Times New Roman"/>
          <w:szCs w:val="22"/>
        </w:rPr>
        <w:t xml:space="preserve"> to the column headed “Kinds of medical devices” in item 2.17.</w:t>
      </w:r>
    </w:p>
    <w:p w14:paraId="0BD04E70" w14:textId="77777777" w:rsidR="00710B0B" w:rsidRPr="00B61AD3" w:rsidRDefault="00710B0B" w:rsidP="00C646C3">
      <w:pPr>
        <w:spacing w:line="240" w:lineRule="auto"/>
        <w:contextualSpacing/>
        <w:rPr>
          <w:rFonts w:cs="Times New Roman"/>
          <w:szCs w:val="22"/>
        </w:rPr>
      </w:pPr>
    </w:p>
    <w:p w14:paraId="7A71A68C" w14:textId="034DF8CF" w:rsidR="00710B0B" w:rsidRPr="00B61AD3" w:rsidRDefault="00710B0B" w:rsidP="00C646C3">
      <w:pPr>
        <w:spacing w:line="240" w:lineRule="auto"/>
        <w:contextualSpacing/>
        <w:rPr>
          <w:rFonts w:cs="Times New Roman"/>
          <w:szCs w:val="22"/>
        </w:rPr>
      </w:pPr>
      <w:r w:rsidRPr="00B61AD3">
        <w:rPr>
          <w:rFonts w:cs="Times New Roman"/>
          <w:szCs w:val="22"/>
        </w:rPr>
        <w:t xml:space="preserve">New paragraph (e) introduces a new condition of exemption to require a sponsor to provide, on request by the Secretary, a notice </w:t>
      </w:r>
      <w:r w:rsidR="008373D6" w:rsidRPr="00B61AD3">
        <w:rPr>
          <w:rFonts w:cs="Times New Roman"/>
          <w:szCs w:val="22"/>
        </w:rPr>
        <w:t>re</w:t>
      </w:r>
      <w:r w:rsidRPr="00B61AD3">
        <w:rPr>
          <w:rFonts w:cs="Times New Roman"/>
          <w:szCs w:val="22"/>
        </w:rPr>
        <w:t>stating one of the matters which the sponsor stated in its original sponsor notice</w:t>
      </w:r>
      <w:r w:rsidR="008373D6" w:rsidRPr="00B61AD3">
        <w:rPr>
          <w:rFonts w:cs="Times New Roman"/>
          <w:szCs w:val="22"/>
        </w:rPr>
        <w:t>—namely,</w:t>
      </w:r>
      <w:r w:rsidRPr="00B61AD3">
        <w:rPr>
          <w:rFonts w:cs="Times New Roman"/>
          <w:szCs w:val="22"/>
        </w:rPr>
        <w:t xml:space="preserve"> that either the device complies with the essential principles or that the device is being imported or supplied (as the case may be) with the consent of the Secretary. The notice must be given by the sponsor in an approved form and within the period requested by the Secretary (which must be at least 5 working days). The approved form for such a notice would be published on the </w:t>
      </w:r>
      <w:r w:rsidR="008373D6" w:rsidRPr="00B61AD3">
        <w:rPr>
          <w:rFonts w:cs="Times New Roman"/>
          <w:szCs w:val="22"/>
        </w:rPr>
        <w:t>Therapeutic Goods Administration (</w:t>
      </w:r>
      <w:r w:rsidRPr="00B61AD3">
        <w:rPr>
          <w:rFonts w:cs="Times New Roman"/>
          <w:szCs w:val="22"/>
        </w:rPr>
        <w:t>TGA</w:t>
      </w:r>
      <w:r w:rsidR="008373D6" w:rsidRPr="00B61AD3">
        <w:rPr>
          <w:rFonts w:cs="Times New Roman"/>
          <w:szCs w:val="22"/>
        </w:rPr>
        <w:t>)</w:t>
      </w:r>
      <w:r w:rsidRPr="00B61AD3">
        <w:rPr>
          <w:rFonts w:cs="Times New Roman"/>
          <w:szCs w:val="22"/>
        </w:rPr>
        <w:t xml:space="preserve"> website at www.tga.gov.au.</w:t>
      </w:r>
    </w:p>
    <w:p w14:paraId="750F41DE" w14:textId="77777777" w:rsidR="00710B0B" w:rsidRPr="00B61AD3" w:rsidRDefault="00710B0B" w:rsidP="00C646C3">
      <w:pPr>
        <w:spacing w:line="240" w:lineRule="auto"/>
        <w:contextualSpacing/>
        <w:rPr>
          <w:rFonts w:cs="Times New Roman"/>
          <w:szCs w:val="22"/>
        </w:rPr>
      </w:pPr>
    </w:p>
    <w:p w14:paraId="655EC8F9" w14:textId="77777777" w:rsidR="00710B0B" w:rsidRPr="00B61AD3" w:rsidRDefault="00710B0B" w:rsidP="00C646C3">
      <w:pPr>
        <w:spacing w:line="240" w:lineRule="auto"/>
        <w:contextualSpacing/>
        <w:rPr>
          <w:rFonts w:cs="Times New Roman"/>
          <w:szCs w:val="22"/>
        </w:rPr>
      </w:pPr>
      <w:r w:rsidRPr="00B61AD3">
        <w:rPr>
          <w:rFonts w:cs="Times New Roman"/>
          <w:szCs w:val="22"/>
        </w:rPr>
        <w:t>The principal purpose of paragraph (e) is to provide an efficient mechanism for the Secretary to confirm that:</w:t>
      </w:r>
    </w:p>
    <w:p w14:paraId="0050E4E2" w14:textId="77777777" w:rsidR="00710B0B" w:rsidRPr="00B61AD3" w:rsidRDefault="00710B0B" w:rsidP="00C646C3">
      <w:pPr>
        <w:spacing w:line="240" w:lineRule="auto"/>
        <w:contextualSpacing/>
        <w:rPr>
          <w:rFonts w:cs="Times New Roman"/>
          <w:szCs w:val="22"/>
        </w:rPr>
      </w:pPr>
    </w:p>
    <w:p w14:paraId="3A695F36" w14:textId="77777777" w:rsidR="00710B0B" w:rsidRPr="00B61AD3" w:rsidRDefault="00710B0B" w:rsidP="00C646C3">
      <w:pPr>
        <w:pStyle w:val="ListParagraph"/>
        <w:numPr>
          <w:ilvl w:val="0"/>
          <w:numId w:val="28"/>
        </w:numPr>
        <w:spacing w:line="240" w:lineRule="auto"/>
        <w:rPr>
          <w:rFonts w:cs="Times New Roman"/>
          <w:szCs w:val="22"/>
        </w:rPr>
      </w:pPr>
      <w:r w:rsidRPr="00B61AD3">
        <w:rPr>
          <w:rFonts w:cs="Times New Roman"/>
          <w:szCs w:val="22"/>
        </w:rPr>
        <w:t>if the essential principles or the MDSO (or a future applicable medical device standard) is amended and the amendment applies to a sponsor’s device—the sponsor continues to warrant that the device complies with the essential principles that apply to the device (or the sponsor has the consent of the Secretary to import or supply the device, despite the non</w:t>
      </w:r>
      <w:r w:rsidRPr="00B61AD3">
        <w:rPr>
          <w:rFonts w:cs="Times New Roman"/>
          <w:szCs w:val="22"/>
        </w:rPr>
        <w:noBreakHyphen/>
        <w:t>compliance); and</w:t>
      </w:r>
    </w:p>
    <w:p w14:paraId="77765B6E" w14:textId="77777777" w:rsidR="00710B0B" w:rsidRPr="00B61AD3" w:rsidRDefault="00710B0B" w:rsidP="00C646C3">
      <w:pPr>
        <w:pStyle w:val="ListParagraph"/>
        <w:spacing w:line="240" w:lineRule="auto"/>
        <w:rPr>
          <w:rFonts w:cs="Times New Roman"/>
          <w:szCs w:val="22"/>
        </w:rPr>
      </w:pPr>
    </w:p>
    <w:p w14:paraId="129E77C3" w14:textId="77777777" w:rsidR="00710B0B" w:rsidRPr="00B61AD3" w:rsidRDefault="00710B0B" w:rsidP="00C646C3">
      <w:pPr>
        <w:pStyle w:val="ListParagraph"/>
        <w:numPr>
          <w:ilvl w:val="0"/>
          <w:numId w:val="28"/>
        </w:numPr>
        <w:spacing w:line="240" w:lineRule="auto"/>
        <w:rPr>
          <w:rFonts w:cs="Times New Roman"/>
          <w:szCs w:val="22"/>
        </w:rPr>
      </w:pPr>
      <w:r w:rsidRPr="00B61AD3">
        <w:rPr>
          <w:rFonts w:cs="Times New Roman"/>
          <w:szCs w:val="22"/>
        </w:rPr>
        <w:t>if the sponsor stated in its original sponsor notice that a device was being imported or supplied with the consent of the Secretary under section 41MA or 41MAA of the Act, and then that consent expires or is withdrawn—the sponsor warrants that the device complies with the essential principles.</w:t>
      </w:r>
    </w:p>
    <w:p w14:paraId="64651D6C" w14:textId="77777777" w:rsidR="00710B0B" w:rsidRPr="00B61AD3" w:rsidRDefault="00710B0B" w:rsidP="00C646C3">
      <w:pPr>
        <w:spacing w:line="240" w:lineRule="auto"/>
        <w:contextualSpacing/>
        <w:rPr>
          <w:rFonts w:cs="Times New Roman"/>
          <w:szCs w:val="22"/>
        </w:rPr>
      </w:pPr>
    </w:p>
    <w:p w14:paraId="1626B12C" w14:textId="14C47837" w:rsidR="00710B0B" w:rsidRPr="00B61AD3" w:rsidRDefault="00710B0B" w:rsidP="00C646C3">
      <w:pPr>
        <w:spacing w:line="240" w:lineRule="auto"/>
        <w:contextualSpacing/>
        <w:rPr>
          <w:rFonts w:cs="Times New Roman"/>
          <w:szCs w:val="22"/>
        </w:rPr>
      </w:pPr>
      <w:r w:rsidRPr="00B61AD3">
        <w:rPr>
          <w:rFonts w:cs="Times New Roman"/>
          <w:szCs w:val="22"/>
        </w:rPr>
        <w:t xml:space="preserve">Confirmation that sponsors consider that their devices comply with the essential principles, is critical to the maintenance of the notified vaping goods exemptions in the MD Regulations, and the health and safety of the Australian community. Devices </w:t>
      </w:r>
      <w:r w:rsidR="00AD33B9" w:rsidRPr="00B61AD3">
        <w:rPr>
          <w:rFonts w:cs="Times New Roman"/>
          <w:szCs w:val="22"/>
        </w:rPr>
        <w:t xml:space="preserve">that are </w:t>
      </w:r>
      <w:r w:rsidRPr="00B61AD3">
        <w:rPr>
          <w:rFonts w:cs="Times New Roman"/>
          <w:szCs w:val="22"/>
        </w:rPr>
        <w:t>the subject of this notified vaping exemption are not evaluated by the Secretary for quality, safety or performance.</w:t>
      </w:r>
    </w:p>
    <w:p w14:paraId="65679EE7" w14:textId="77777777" w:rsidR="00710B0B" w:rsidRPr="00B61AD3" w:rsidRDefault="00710B0B" w:rsidP="00C646C3">
      <w:pPr>
        <w:spacing w:line="240" w:lineRule="auto"/>
        <w:contextualSpacing/>
        <w:rPr>
          <w:rFonts w:cs="Times New Roman"/>
          <w:szCs w:val="22"/>
        </w:rPr>
      </w:pPr>
    </w:p>
    <w:p w14:paraId="5347ED6B" w14:textId="77777777" w:rsidR="00710B0B" w:rsidRPr="00B61AD3" w:rsidRDefault="00710B0B" w:rsidP="00C646C3">
      <w:pPr>
        <w:spacing w:line="240" w:lineRule="auto"/>
        <w:contextualSpacing/>
        <w:rPr>
          <w:rFonts w:cs="Times New Roman"/>
          <w:szCs w:val="22"/>
        </w:rPr>
      </w:pPr>
      <w:r w:rsidRPr="00B61AD3">
        <w:rPr>
          <w:rFonts w:cs="Times New Roman"/>
          <w:szCs w:val="22"/>
        </w:rPr>
        <w:t>New paragraph (e) provides the Secretary with a mechanism to require sponsors to make a representation about the compliance of their devices with changes to the essential principles, helping to reduce risks associated with the use of those devices.</w:t>
      </w:r>
    </w:p>
    <w:p w14:paraId="096BF21F" w14:textId="77777777" w:rsidR="00710B0B" w:rsidRPr="00B61AD3" w:rsidRDefault="00710B0B" w:rsidP="00C646C3">
      <w:pPr>
        <w:spacing w:line="240" w:lineRule="auto"/>
        <w:contextualSpacing/>
        <w:rPr>
          <w:rFonts w:cs="Times New Roman"/>
          <w:szCs w:val="22"/>
        </w:rPr>
      </w:pPr>
    </w:p>
    <w:p w14:paraId="0D345759" w14:textId="19356BAE" w:rsidR="00710B0B" w:rsidRPr="00B61AD3" w:rsidRDefault="00710B0B" w:rsidP="00C646C3">
      <w:pPr>
        <w:spacing w:line="240" w:lineRule="auto"/>
        <w:contextualSpacing/>
        <w:rPr>
          <w:rFonts w:cs="Times New Roman"/>
          <w:szCs w:val="22"/>
        </w:rPr>
      </w:pPr>
      <w:r w:rsidRPr="00B61AD3">
        <w:rPr>
          <w:rFonts w:cs="Times New Roman"/>
          <w:szCs w:val="22"/>
        </w:rPr>
        <w:t xml:space="preserve">This mechanism is also intended to reduce administrative and regulatory burden for sponsors by providing a straightforward mechanism to certify compliance with the essential principles, </w:t>
      </w:r>
      <w:r w:rsidR="00AD33B9" w:rsidRPr="00B61AD3">
        <w:rPr>
          <w:rFonts w:cs="Times New Roman"/>
          <w:szCs w:val="22"/>
        </w:rPr>
        <w:t>rather than</w:t>
      </w:r>
      <w:r w:rsidR="004D4DEA" w:rsidRPr="00B61AD3">
        <w:rPr>
          <w:rFonts w:cs="Times New Roman"/>
          <w:szCs w:val="22"/>
        </w:rPr>
        <w:t xml:space="preserve"> undergoing</w:t>
      </w:r>
      <w:r w:rsidRPr="00B61AD3">
        <w:rPr>
          <w:rFonts w:cs="Times New Roman"/>
          <w:szCs w:val="22"/>
        </w:rPr>
        <w:t xml:space="preserve"> a detailed evaluation by the Secretary under Chapter 4 of the Act as to whether the device complies with the essential principles. This new condition is not anticipated to materially change a sponsor’s regulatory requirements under the notified vaping goods exemption, as current conditions of exemption require a device to comply with the essential principles at all times (and as amended from </w:t>
      </w:r>
      <w:r w:rsidRPr="00B61AD3">
        <w:rPr>
          <w:rFonts w:cs="Times New Roman"/>
          <w:szCs w:val="22"/>
        </w:rPr>
        <w:lastRenderedPageBreak/>
        <w:t>time to time) while the device is exempt (paragraph (d) of the “Conditions” column for item 2.17 refers).</w:t>
      </w:r>
    </w:p>
    <w:p w14:paraId="51ECF652" w14:textId="77777777" w:rsidR="0069212E" w:rsidRPr="00B61AD3" w:rsidRDefault="0069212E" w:rsidP="00C646C3">
      <w:pPr>
        <w:spacing w:line="240" w:lineRule="auto"/>
        <w:contextualSpacing/>
        <w:rPr>
          <w:rFonts w:cs="Times New Roman"/>
          <w:szCs w:val="22"/>
        </w:rPr>
      </w:pPr>
    </w:p>
    <w:p w14:paraId="65B7C2E6" w14:textId="406E357B" w:rsidR="0069212E" w:rsidRPr="00B61AD3" w:rsidRDefault="0069212E" w:rsidP="00C646C3">
      <w:pPr>
        <w:spacing w:line="240" w:lineRule="auto"/>
        <w:contextualSpacing/>
        <w:rPr>
          <w:rFonts w:cs="Times New Roman"/>
          <w:szCs w:val="22"/>
        </w:rPr>
      </w:pPr>
      <w:bookmarkStart w:id="7" w:name="_Hlk183014718"/>
      <w:r w:rsidRPr="00B61AD3">
        <w:rPr>
          <w:rFonts w:cs="Times New Roman"/>
          <w:szCs w:val="22"/>
        </w:rPr>
        <w:t xml:space="preserve">New paragraph (c) </w:t>
      </w:r>
      <w:r w:rsidR="000E3F06" w:rsidRPr="00B61AD3">
        <w:rPr>
          <w:rFonts w:cs="Times New Roman"/>
          <w:szCs w:val="22"/>
        </w:rPr>
        <w:t xml:space="preserve">makes minor </w:t>
      </w:r>
      <w:r w:rsidR="000E3F06" w:rsidRPr="00B61AD3">
        <w:rPr>
          <w:rFonts w:cs="Times New Roman"/>
        </w:rPr>
        <w:t>amendments to the existing condition of exemption requiring sponsors to hold information or evidence to support the statement made in the sponsor notice.</w:t>
      </w:r>
    </w:p>
    <w:bookmarkEnd w:id="7"/>
    <w:p w14:paraId="40D67D81" w14:textId="77777777" w:rsidR="00492B60" w:rsidRPr="00B61AD3" w:rsidRDefault="00492B60" w:rsidP="00C646C3">
      <w:pPr>
        <w:pStyle w:val="ListParagraph"/>
        <w:spacing w:line="240" w:lineRule="auto"/>
        <w:ind w:left="0"/>
        <w:rPr>
          <w:rFonts w:cs="Times New Roman"/>
          <w:szCs w:val="22"/>
        </w:rPr>
      </w:pPr>
    </w:p>
    <w:p w14:paraId="55BCCCE2" w14:textId="23B209B5" w:rsidR="0069212E" w:rsidRPr="00B61AD3" w:rsidRDefault="00492B60" w:rsidP="00C646C3">
      <w:pPr>
        <w:spacing w:line="240" w:lineRule="auto"/>
        <w:contextualSpacing/>
        <w:rPr>
          <w:rFonts w:cs="Times New Roman"/>
          <w:szCs w:val="22"/>
        </w:rPr>
      </w:pPr>
      <w:r w:rsidRPr="00B61AD3">
        <w:rPr>
          <w:rFonts w:cs="Times New Roman"/>
          <w:szCs w:val="22"/>
        </w:rPr>
        <w:t xml:space="preserve">New paragraph (d) </w:t>
      </w:r>
      <w:r w:rsidR="00A652C9" w:rsidRPr="00B61AD3">
        <w:rPr>
          <w:rFonts w:cs="Times New Roman"/>
          <w:szCs w:val="22"/>
        </w:rPr>
        <w:t>clarifies</w:t>
      </w:r>
      <w:r w:rsidR="0069212E" w:rsidRPr="00B61AD3">
        <w:rPr>
          <w:rFonts w:cs="Times New Roman"/>
          <w:szCs w:val="22"/>
        </w:rPr>
        <w:t xml:space="preserve"> that those statements </w:t>
      </w:r>
      <w:r w:rsidR="00A652C9" w:rsidRPr="00B61AD3">
        <w:rPr>
          <w:rFonts w:cs="Times New Roman"/>
          <w:szCs w:val="22"/>
        </w:rPr>
        <w:t>must be</w:t>
      </w:r>
      <w:r w:rsidR="0069212E" w:rsidRPr="00B61AD3">
        <w:rPr>
          <w:rFonts w:cs="Times New Roman"/>
          <w:szCs w:val="22"/>
        </w:rPr>
        <w:t>, and continue to be, correct.</w:t>
      </w:r>
    </w:p>
    <w:p w14:paraId="470CD4C4" w14:textId="77777777" w:rsidR="0069212E" w:rsidRPr="00B61AD3" w:rsidRDefault="0069212E" w:rsidP="00C646C3">
      <w:pPr>
        <w:spacing w:line="240" w:lineRule="auto"/>
        <w:contextualSpacing/>
        <w:rPr>
          <w:rFonts w:cs="Times New Roman"/>
          <w:szCs w:val="22"/>
        </w:rPr>
      </w:pPr>
    </w:p>
    <w:p w14:paraId="524B34CD" w14:textId="07DEBE34" w:rsidR="0069212E" w:rsidRPr="00B61AD3" w:rsidRDefault="0069212E" w:rsidP="00C646C3">
      <w:pPr>
        <w:spacing w:line="240" w:lineRule="auto"/>
        <w:contextualSpacing/>
        <w:rPr>
          <w:rFonts w:cs="Times New Roman"/>
          <w:szCs w:val="22"/>
        </w:rPr>
      </w:pPr>
      <w:r w:rsidRPr="00B61AD3">
        <w:rPr>
          <w:rFonts w:cs="Times New Roman"/>
          <w:szCs w:val="22"/>
        </w:rPr>
        <w:t xml:space="preserve">The </w:t>
      </w:r>
      <w:r w:rsidR="00A652C9" w:rsidRPr="00B61AD3">
        <w:rPr>
          <w:rFonts w:cs="Times New Roman"/>
          <w:szCs w:val="22"/>
        </w:rPr>
        <w:t xml:space="preserve">minor </w:t>
      </w:r>
      <w:r w:rsidRPr="00B61AD3">
        <w:rPr>
          <w:rFonts w:cs="Times New Roman"/>
          <w:szCs w:val="22"/>
        </w:rPr>
        <w:t>amendments to paragraphs (c) and (d) are intended to have two primary effects. First, the new conditions make a consequential amendment to new paragraph (e) to provide that obligations concerning the sponsor’s statement that the device complies with the essential principles (or is imported or supplied with the consent of the Secretary) applies only in relation to the most recent statement given by the sponsor to that effect, either in a statement provided under new paragraph (e) or the original sponsor notice.</w:t>
      </w:r>
    </w:p>
    <w:p w14:paraId="2A356EE5" w14:textId="77777777" w:rsidR="0069212E" w:rsidRPr="00B61AD3" w:rsidRDefault="0069212E" w:rsidP="00C646C3">
      <w:pPr>
        <w:spacing w:line="240" w:lineRule="auto"/>
        <w:contextualSpacing/>
        <w:rPr>
          <w:rFonts w:cs="Times New Roman"/>
          <w:szCs w:val="22"/>
        </w:rPr>
      </w:pPr>
    </w:p>
    <w:p w14:paraId="326BD6CF" w14:textId="75A2EFC7" w:rsidR="008F47DB" w:rsidRPr="00B61AD3" w:rsidRDefault="0069212E" w:rsidP="008F47DB">
      <w:pPr>
        <w:spacing w:line="240" w:lineRule="auto"/>
        <w:contextualSpacing/>
        <w:rPr>
          <w:rFonts w:cs="Times New Roman"/>
          <w:szCs w:val="22"/>
        </w:rPr>
      </w:pPr>
      <w:r w:rsidRPr="00B61AD3">
        <w:rPr>
          <w:rFonts w:cs="Times New Roman"/>
          <w:szCs w:val="22"/>
        </w:rPr>
        <w:t xml:space="preserve">Second, new paragraphs (c) and (d) are intended to put beyond doubt that the sponsor is required to hold information or evidence to support that a device complies with the essential principles, and that the statement made by the sponsor that the device does comply with the essential principles is correct, in relation to the essential principles both as in force at the time of making a sponsor notice (or a statement under new paragraph (e)), and at all times while the </w:t>
      </w:r>
      <w:r w:rsidR="00775A13" w:rsidRPr="00B61AD3">
        <w:rPr>
          <w:rFonts w:cs="Times New Roman"/>
          <w:szCs w:val="22"/>
        </w:rPr>
        <w:t xml:space="preserve">device </w:t>
      </w:r>
      <w:r w:rsidRPr="00B61AD3">
        <w:rPr>
          <w:rFonts w:cs="Times New Roman"/>
          <w:szCs w:val="22"/>
        </w:rPr>
        <w:t>continue</w:t>
      </w:r>
      <w:r w:rsidR="00492B60" w:rsidRPr="00B61AD3">
        <w:rPr>
          <w:rFonts w:cs="Times New Roman"/>
          <w:szCs w:val="22"/>
        </w:rPr>
        <w:t>s</w:t>
      </w:r>
      <w:r w:rsidRPr="00B61AD3">
        <w:rPr>
          <w:rFonts w:cs="Times New Roman"/>
          <w:szCs w:val="22"/>
        </w:rPr>
        <w:t xml:space="preserve"> to be the subject of </w:t>
      </w:r>
      <w:r w:rsidR="00492B60" w:rsidRPr="00B61AD3">
        <w:rPr>
          <w:rFonts w:cs="Times New Roman"/>
          <w:szCs w:val="22"/>
        </w:rPr>
        <w:t xml:space="preserve">the </w:t>
      </w:r>
      <w:r w:rsidRPr="00B61AD3">
        <w:rPr>
          <w:rFonts w:cs="Times New Roman"/>
          <w:szCs w:val="22"/>
        </w:rPr>
        <w:t>exemption. This is the understanding of the TGA in relation to the effect of current paragraphs (c) and (d). Notwithstanding this position, this amendment is made to provide certainty in relation to the scope of these obligations.</w:t>
      </w:r>
    </w:p>
    <w:p w14:paraId="75A1EA5C" w14:textId="77777777" w:rsidR="00886DBA" w:rsidRPr="00B61AD3" w:rsidRDefault="00886DBA" w:rsidP="00C646C3">
      <w:pPr>
        <w:spacing w:line="240" w:lineRule="auto"/>
        <w:contextualSpacing/>
        <w:rPr>
          <w:rFonts w:cs="Times New Roman"/>
          <w:szCs w:val="22"/>
        </w:rPr>
      </w:pPr>
    </w:p>
    <w:p w14:paraId="5FA8C867" w14:textId="784FCFD7" w:rsidR="00886DBA" w:rsidRPr="00B61AD3" w:rsidRDefault="00886DBA" w:rsidP="00C646C3">
      <w:pPr>
        <w:spacing w:line="240" w:lineRule="auto"/>
        <w:contextualSpacing/>
        <w:rPr>
          <w:rFonts w:cs="Times New Roman"/>
          <w:b/>
          <w:bCs/>
          <w:szCs w:val="22"/>
        </w:rPr>
      </w:pPr>
      <w:r w:rsidRPr="00B61AD3">
        <w:rPr>
          <w:rFonts w:cs="Times New Roman"/>
          <w:b/>
          <w:bCs/>
          <w:szCs w:val="22"/>
        </w:rPr>
        <w:t xml:space="preserve">Item </w:t>
      </w:r>
      <w:r w:rsidR="00FD6062" w:rsidRPr="00B61AD3">
        <w:rPr>
          <w:rFonts w:cs="Times New Roman"/>
          <w:b/>
          <w:bCs/>
          <w:szCs w:val="22"/>
        </w:rPr>
        <w:t>5</w:t>
      </w:r>
      <w:r w:rsidRPr="00B61AD3">
        <w:rPr>
          <w:rFonts w:cs="Times New Roman"/>
          <w:b/>
          <w:bCs/>
          <w:szCs w:val="22"/>
        </w:rPr>
        <w:t xml:space="preserve"> – Part 2 of Schedule 4 (table item 2.17, column headed “Conditions”, paragraphs (fb)</w:t>
      </w:r>
      <w:r w:rsidR="006C2FB4" w:rsidRPr="00B61AD3">
        <w:rPr>
          <w:rFonts w:cs="Times New Roman"/>
          <w:b/>
          <w:bCs/>
          <w:szCs w:val="22"/>
        </w:rPr>
        <w:t> </w:t>
      </w:r>
      <w:r w:rsidRPr="00B61AD3">
        <w:rPr>
          <w:rFonts w:cs="Times New Roman"/>
          <w:b/>
          <w:bCs/>
          <w:szCs w:val="22"/>
        </w:rPr>
        <w:t>to</w:t>
      </w:r>
      <w:r w:rsidR="006C2FB4" w:rsidRPr="00B61AD3">
        <w:rPr>
          <w:rFonts w:cs="Times New Roman"/>
          <w:b/>
          <w:bCs/>
          <w:szCs w:val="22"/>
        </w:rPr>
        <w:t> </w:t>
      </w:r>
      <w:r w:rsidRPr="00B61AD3">
        <w:rPr>
          <w:rFonts w:cs="Times New Roman"/>
          <w:b/>
          <w:bCs/>
          <w:szCs w:val="22"/>
        </w:rPr>
        <w:t>(fe))</w:t>
      </w:r>
    </w:p>
    <w:p w14:paraId="691CF05B" w14:textId="77777777" w:rsidR="00886DBA" w:rsidRPr="00B61AD3" w:rsidRDefault="00886DBA" w:rsidP="00C646C3">
      <w:pPr>
        <w:spacing w:line="240" w:lineRule="auto"/>
        <w:contextualSpacing/>
        <w:rPr>
          <w:rFonts w:cs="Times New Roman"/>
          <w:szCs w:val="22"/>
        </w:rPr>
      </w:pPr>
    </w:p>
    <w:p w14:paraId="163DC434" w14:textId="362C2370" w:rsidR="00886DBA" w:rsidRPr="00B61AD3" w:rsidRDefault="00886DBA" w:rsidP="00C646C3">
      <w:pPr>
        <w:spacing w:line="240" w:lineRule="auto"/>
        <w:contextualSpacing/>
        <w:rPr>
          <w:rFonts w:cs="Times New Roman"/>
          <w:szCs w:val="22"/>
        </w:rPr>
      </w:pPr>
      <w:r w:rsidRPr="00B61AD3">
        <w:rPr>
          <w:rFonts w:cs="Times New Roman"/>
          <w:szCs w:val="22"/>
        </w:rPr>
        <w:t>This item make</w:t>
      </w:r>
      <w:r w:rsidR="00E94AEA" w:rsidRPr="00B61AD3">
        <w:rPr>
          <w:rFonts w:cs="Times New Roman"/>
          <w:szCs w:val="22"/>
        </w:rPr>
        <w:t>s</w:t>
      </w:r>
      <w:r w:rsidRPr="00B61AD3">
        <w:rPr>
          <w:rFonts w:cs="Times New Roman"/>
          <w:szCs w:val="22"/>
        </w:rPr>
        <w:t xml:space="preserve"> a minor editorial amendment by removing the references to ‘authorised officer’ in paragraphs (fb) to (fe) in the column headed “Conditions” in item 2.17 of the table in Part 2 of Schedule 4 to the MD Regulations and replacing with the term ‘authorised person’.</w:t>
      </w:r>
    </w:p>
    <w:p w14:paraId="5A9CBD01" w14:textId="77777777" w:rsidR="00886DBA" w:rsidRPr="00B61AD3" w:rsidRDefault="00886DBA" w:rsidP="00C646C3">
      <w:pPr>
        <w:spacing w:line="240" w:lineRule="auto"/>
        <w:contextualSpacing/>
        <w:rPr>
          <w:rFonts w:cs="Times New Roman"/>
          <w:szCs w:val="22"/>
        </w:rPr>
      </w:pPr>
    </w:p>
    <w:p w14:paraId="4A0BBF75" w14:textId="580F34F0" w:rsidR="00886DBA" w:rsidRPr="00B61AD3" w:rsidRDefault="00886DBA" w:rsidP="00C646C3">
      <w:pPr>
        <w:spacing w:line="240" w:lineRule="auto"/>
        <w:contextualSpacing/>
        <w:rPr>
          <w:rFonts w:cs="Times New Roman"/>
          <w:szCs w:val="22"/>
        </w:rPr>
      </w:pPr>
      <w:r w:rsidRPr="00B61AD3">
        <w:rPr>
          <w:rFonts w:cs="Times New Roman"/>
          <w:szCs w:val="22"/>
        </w:rPr>
        <w:t>This amendment correct</w:t>
      </w:r>
      <w:r w:rsidR="00E94AEA" w:rsidRPr="00B61AD3">
        <w:rPr>
          <w:rFonts w:cs="Times New Roman"/>
          <w:szCs w:val="22"/>
        </w:rPr>
        <w:t>s</w:t>
      </w:r>
      <w:r w:rsidRPr="00B61AD3">
        <w:rPr>
          <w:rFonts w:cs="Times New Roman"/>
          <w:szCs w:val="22"/>
        </w:rPr>
        <w:t xml:space="preserve"> a drafting error in some of the conditions</w:t>
      </w:r>
      <w:r w:rsidR="00492B60" w:rsidRPr="00B61AD3">
        <w:rPr>
          <w:rFonts w:cs="Times New Roman"/>
          <w:szCs w:val="22"/>
        </w:rPr>
        <w:t>,</w:t>
      </w:r>
      <w:r w:rsidRPr="00B61AD3">
        <w:rPr>
          <w:rFonts w:cs="Times New Roman"/>
          <w:szCs w:val="22"/>
        </w:rPr>
        <w:t xml:space="preserve"> which</w:t>
      </w:r>
      <w:r w:rsidR="00492B60" w:rsidRPr="00B61AD3">
        <w:rPr>
          <w:rFonts w:cs="Times New Roman"/>
          <w:szCs w:val="22"/>
        </w:rPr>
        <w:t xml:space="preserve"> inadvertently</w:t>
      </w:r>
      <w:r w:rsidRPr="00B61AD3">
        <w:rPr>
          <w:rFonts w:cs="Times New Roman"/>
          <w:szCs w:val="22"/>
        </w:rPr>
        <w:t xml:space="preserve"> use</w:t>
      </w:r>
      <w:r w:rsidR="00492B60" w:rsidRPr="00B61AD3">
        <w:rPr>
          <w:rFonts w:cs="Times New Roman"/>
          <w:szCs w:val="22"/>
        </w:rPr>
        <w:t>d</w:t>
      </w:r>
      <w:r w:rsidRPr="00B61AD3">
        <w:rPr>
          <w:rFonts w:cs="Times New Roman"/>
          <w:szCs w:val="22"/>
        </w:rPr>
        <w:t xml:space="preserve"> the term ‘authorised officer’. The term ‘authorised officer’ is not otherwise used in the MD Regulations, rather, the MD Regulations refer to an ‘authorised person’ when providing for the vesting of a power in a person authorised to exercise it.</w:t>
      </w:r>
    </w:p>
    <w:p w14:paraId="3FBCBB27" w14:textId="77777777" w:rsidR="00886DBA" w:rsidRPr="00B61AD3" w:rsidRDefault="00886DBA" w:rsidP="00C646C3">
      <w:pPr>
        <w:spacing w:line="240" w:lineRule="auto"/>
        <w:contextualSpacing/>
        <w:rPr>
          <w:rFonts w:cs="Times New Roman"/>
          <w:szCs w:val="22"/>
        </w:rPr>
      </w:pPr>
    </w:p>
    <w:p w14:paraId="4664A43B" w14:textId="6E8483DE" w:rsidR="00886DBA" w:rsidRPr="00B61AD3" w:rsidRDefault="00886DBA" w:rsidP="00C646C3">
      <w:pPr>
        <w:spacing w:line="240" w:lineRule="auto"/>
        <w:contextualSpacing/>
        <w:rPr>
          <w:rFonts w:cs="Times New Roman"/>
          <w:b/>
          <w:bCs/>
          <w:szCs w:val="22"/>
        </w:rPr>
      </w:pPr>
      <w:r w:rsidRPr="00B61AD3">
        <w:rPr>
          <w:rFonts w:cs="Times New Roman"/>
          <w:b/>
          <w:bCs/>
          <w:szCs w:val="22"/>
        </w:rPr>
        <w:t xml:space="preserve">Item </w:t>
      </w:r>
      <w:r w:rsidR="00FD6062" w:rsidRPr="00B61AD3">
        <w:rPr>
          <w:rFonts w:cs="Times New Roman"/>
          <w:b/>
          <w:bCs/>
          <w:szCs w:val="22"/>
        </w:rPr>
        <w:t>6</w:t>
      </w:r>
      <w:r w:rsidRPr="00B61AD3">
        <w:rPr>
          <w:rFonts w:cs="Times New Roman"/>
          <w:b/>
          <w:bCs/>
          <w:szCs w:val="22"/>
        </w:rPr>
        <w:t xml:space="preserve"> – Part 2 of Schedule 4 (table item 2.17, column headed “Conditions”, subparagraph (i)(ii))</w:t>
      </w:r>
    </w:p>
    <w:p w14:paraId="1DFD35D7" w14:textId="77777777" w:rsidR="00886DBA" w:rsidRPr="00B61AD3" w:rsidRDefault="00886DBA" w:rsidP="00C646C3">
      <w:pPr>
        <w:spacing w:line="240" w:lineRule="auto"/>
        <w:contextualSpacing/>
        <w:rPr>
          <w:rFonts w:cs="Times New Roman"/>
          <w:szCs w:val="22"/>
        </w:rPr>
      </w:pPr>
    </w:p>
    <w:p w14:paraId="16073ABF" w14:textId="61ACCB7E" w:rsidR="00886DBA" w:rsidRPr="00B61AD3" w:rsidRDefault="00886DBA" w:rsidP="00C646C3">
      <w:pPr>
        <w:spacing w:line="240" w:lineRule="auto"/>
        <w:contextualSpacing/>
        <w:rPr>
          <w:rFonts w:cs="Times New Roman"/>
          <w:szCs w:val="22"/>
        </w:rPr>
      </w:pPr>
      <w:r w:rsidRPr="00B61AD3">
        <w:rPr>
          <w:rFonts w:cs="Times New Roman"/>
          <w:szCs w:val="22"/>
        </w:rPr>
        <w:t>This item make</w:t>
      </w:r>
      <w:r w:rsidR="00E94AEA" w:rsidRPr="00B61AD3">
        <w:rPr>
          <w:rFonts w:cs="Times New Roman"/>
          <w:szCs w:val="22"/>
        </w:rPr>
        <w:t>s</w:t>
      </w:r>
      <w:r w:rsidRPr="00B61AD3">
        <w:rPr>
          <w:rFonts w:cs="Times New Roman"/>
          <w:szCs w:val="22"/>
        </w:rPr>
        <w:t xml:space="preserve"> a minor amendment to replace the reference to ‘the records’ in subparagraph (i)(ii) in the column headed “Conditions” in item 2.17 of the table in Part 2 of Schedule 4 to the MD Regulations, with ‘a copy of the records’, to clarify that sponsors are only required to provide a copy of relevant records to the Secretary (if requested), rather than the original records themselves.</w:t>
      </w:r>
    </w:p>
    <w:p w14:paraId="2E65695C" w14:textId="77777777" w:rsidR="00886DBA" w:rsidRPr="00B61AD3" w:rsidRDefault="00886DBA" w:rsidP="00C646C3">
      <w:pPr>
        <w:spacing w:line="240" w:lineRule="auto"/>
        <w:contextualSpacing/>
        <w:rPr>
          <w:rFonts w:cs="Times New Roman"/>
          <w:szCs w:val="22"/>
        </w:rPr>
      </w:pPr>
    </w:p>
    <w:p w14:paraId="0387BC34" w14:textId="363E99A1" w:rsidR="00886DBA" w:rsidRPr="00B61AD3" w:rsidRDefault="00886DBA" w:rsidP="00C646C3">
      <w:pPr>
        <w:spacing w:line="240" w:lineRule="auto"/>
        <w:contextualSpacing/>
        <w:rPr>
          <w:rFonts w:cs="Times New Roman"/>
          <w:b/>
          <w:bCs/>
          <w:szCs w:val="22"/>
        </w:rPr>
      </w:pPr>
      <w:r w:rsidRPr="00B61AD3">
        <w:rPr>
          <w:rFonts w:cs="Times New Roman"/>
          <w:b/>
          <w:bCs/>
          <w:szCs w:val="22"/>
        </w:rPr>
        <w:t xml:space="preserve">Item </w:t>
      </w:r>
      <w:r w:rsidR="00FD6062" w:rsidRPr="00B61AD3">
        <w:rPr>
          <w:rFonts w:cs="Times New Roman"/>
          <w:b/>
          <w:bCs/>
          <w:szCs w:val="22"/>
        </w:rPr>
        <w:t>7</w:t>
      </w:r>
      <w:r w:rsidRPr="00B61AD3">
        <w:rPr>
          <w:rFonts w:cs="Times New Roman"/>
          <w:b/>
          <w:bCs/>
          <w:szCs w:val="22"/>
        </w:rPr>
        <w:t xml:space="preserve"> – Part 2 of Schedule 4 (table item 2.17, column headed “Conditions”, at the end of paragraph (i))</w:t>
      </w:r>
    </w:p>
    <w:p w14:paraId="094BB8D6" w14:textId="77777777" w:rsidR="00886DBA" w:rsidRPr="00B61AD3" w:rsidRDefault="00886DBA" w:rsidP="00C646C3">
      <w:pPr>
        <w:spacing w:line="240" w:lineRule="auto"/>
        <w:contextualSpacing/>
        <w:rPr>
          <w:rFonts w:cs="Times New Roman"/>
          <w:szCs w:val="22"/>
        </w:rPr>
      </w:pPr>
    </w:p>
    <w:p w14:paraId="38FEA815" w14:textId="339E9367" w:rsidR="00886DBA" w:rsidRPr="00B61AD3" w:rsidRDefault="00886DBA" w:rsidP="00C646C3">
      <w:pPr>
        <w:spacing w:line="240" w:lineRule="auto"/>
        <w:contextualSpacing/>
        <w:rPr>
          <w:rFonts w:cs="Times New Roman"/>
          <w:szCs w:val="22"/>
        </w:rPr>
      </w:pPr>
      <w:r w:rsidRPr="00B61AD3">
        <w:rPr>
          <w:rFonts w:cs="Times New Roman"/>
          <w:szCs w:val="22"/>
        </w:rPr>
        <w:t>This item introduce</w:t>
      </w:r>
      <w:r w:rsidR="00E94AEA" w:rsidRPr="00B61AD3">
        <w:rPr>
          <w:rFonts w:cs="Times New Roman"/>
          <w:szCs w:val="22"/>
        </w:rPr>
        <w:t>s</w:t>
      </w:r>
      <w:r w:rsidRPr="00B61AD3">
        <w:rPr>
          <w:rFonts w:cs="Times New Roman"/>
          <w:szCs w:val="22"/>
        </w:rPr>
        <w:t xml:space="preserve"> new subparagraph (iii) at the end of paragraph (i) in the column headed “Conditions” in item 2.17 of the table in Part 2 of Schedule 4 to the MD Regulations.</w:t>
      </w:r>
    </w:p>
    <w:p w14:paraId="4A281949" w14:textId="77777777" w:rsidR="0069212E" w:rsidRPr="00B61AD3" w:rsidRDefault="0069212E" w:rsidP="00C646C3">
      <w:pPr>
        <w:spacing w:line="240" w:lineRule="auto"/>
        <w:contextualSpacing/>
        <w:rPr>
          <w:rFonts w:cs="Times New Roman"/>
          <w:szCs w:val="22"/>
        </w:rPr>
      </w:pPr>
    </w:p>
    <w:p w14:paraId="1AE24DBB" w14:textId="25FEBCEE" w:rsidR="0069212E" w:rsidRPr="00B61AD3" w:rsidRDefault="0069212E" w:rsidP="00C646C3">
      <w:pPr>
        <w:spacing w:line="240" w:lineRule="auto"/>
        <w:contextualSpacing/>
        <w:rPr>
          <w:rFonts w:cs="Times New Roman"/>
          <w:szCs w:val="22"/>
        </w:rPr>
      </w:pPr>
      <w:r w:rsidRPr="00B61AD3">
        <w:rPr>
          <w:rFonts w:cs="Times New Roman"/>
          <w:szCs w:val="22"/>
        </w:rPr>
        <w:t>Under current paragraph (i), sponsors are</w:t>
      </w:r>
      <w:r w:rsidR="001167BD" w:rsidRPr="00B61AD3">
        <w:rPr>
          <w:rFonts w:cs="Times New Roman"/>
          <w:szCs w:val="22"/>
        </w:rPr>
        <w:t xml:space="preserve"> already</w:t>
      </w:r>
      <w:r w:rsidRPr="00B61AD3">
        <w:rPr>
          <w:rFonts w:cs="Times New Roman"/>
          <w:szCs w:val="22"/>
        </w:rPr>
        <w:t xml:space="preserve"> required to keep records relating to the source and supply of a device and provide those records to the Secretary on request.</w:t>
      </w:r>
    </w:p>
    <w:p w14:paraId="1C830C44" w14:textId="77777777" w:rsidR="00886DBA" w:rsidRPr="00B61AD3" w:rsidRDefault="00886DBA" w:rsidP="00C646C3">
      <w:pPr>
        <w:spacing w:line="240" w:lineRule="auto"/>
        <w:contextualSpacing/>
        <w:rPr>
          <w:rFonts w:cs="Times New Roman"/>
          <w:szCs w:val="22"/>
        </w:rPr>
      </w:pPr>
    </w:p>
    <w:p w14:paraId="7C71044A" w14:textId="4B8AC6F0" w:rsidR="00492B60" w:rsidRPr="00B61AD3" w:rsidRDefault="00886DBA" w:rsidP="00C646C3">
      <w:pPr>
        <w:spacing w:line="240" w:lineRule="auto"/>
        <w:contextualSpacing/>
        <w:rPr>
          <w:rFonts w:cs="Times New Roman"/>
          <w:szCs w:val="22"/>
        </w:rPr>
      </w:pPr>
      <w:r w:rsidRPr="00B61AD3">
        <w:rPr>
          <w:rFonts w:cs="Times New Roman"/>
          <w:szCs w:val="22"/>
        </w:rPr>
        <w:t>This amendment introduce</w:t>
      </w:r>
      <w:r w:rsidR="00E94AEA" w:rsidRPr="00B61AD3">
        <w:rPr>
          <w:rFonts w:cs="Times New Roman"/>
          <w:szCs w:val="22"/>
        </w:rPr>
        <w:t>s</w:t>
      </w:r>
      <w:r w:rsidRPr="00B61AD3">
        <w:rPr>
          <w:rFonts w:cs="Times New Roman"/>
          <w:szCs w:val="22"/>
        </w:rPr>
        <w:t xml:space="preserve"> </w:t>
      </w:r>
      <w:bookmarkStart w:id="8" w:name="_Hlk182499095"/>
      <w:r w:rsidRPr="00B61AD3">
        <w:rPr>
          <w:rFonts w:cs="Times New Roman"/>
          <w:szCs w:val="22"/>
        </w:rPr>
        <w:t xml:space="preserve">a </w:t>
      </w:r>
      <w:r w:rsidR="001167BD" w:rsidRPr="00B61AD3">
        <w:rPr>
          <w:rFonts w:cs="Times New Roman"/>
          <w:szCs w:val="22"/>
        </w:rPr>
        <w:t xml:space="preserve">more flexible and targeted way for the Secretary to obtain information about supply from sponsors by introducing a </w:t>
      </w:r>
      <w:bookmarkEnd w:id="8"/>
      <w:r w:rsidRPr="00B61AD3">
        <w:rPr>
          <w:rFonts w:cs="Times New Roman"/>
          <w:szCs w:val="22"/>
        </w:rPr>
        <w:t>new condition of exemption that requires sponsors to</w:t>
      </w:r>
      <w:r w:rsidR="001F3CF8" w:rsidRPr="00B61AD3">
        <w:rPr>
          <w:rFonts w:cs="Times New Roman"/>
          <w:szCs w:val="22"/>
        </w:rPr>
        <w:t xml:space="preserve">, on </w:t>
      </w:r>
      <w:r w:rsidR="001F3CF8" w:rsidRPr="00B61AD3">
        <w:rPr>
          <w:rFonts w:cs="Times New Roman"/>
          <w:szCs w:val="22"/>
        </w:rPr>
        <w:lastRenderedPageBreak/>
        <w:t>request from the Secretary,</w:t>
      </w:r>
      <w:r w:rsidRPr="00B61AD3">
        <w:rPr>
          <w:rFonts w:cs="Times New Roman"/>
          <w:szCs w:val="22"/>
        </w:rPr>
        <w:t xml:space="preserve"> provide information relating to the supply of </w:t>
      </w:r>
      <w:r w:rsidR="0069212E" w:rsidRPr="00B61AD3">
        <w:rPr>
          <w:rFonts w:cs="Times New Roman"/>
          <w:szCs w:val="22"/>
        </w:rPr>
        <w:t>a relevant device</w:t>
      </w:r>
      <w:r w:rsidR="001F3CF8" w:rsidRPr="00B61AD3">
        <w:rPr>
          <w:rFonts w:cs="Times New Roman"/>
          <w:szCs w:val="22"/>
        </w:rPr>
        <w:t xml:space="preserve"> in a period specified by the Secretary (for example, between 1 January and 30 March or from the date the sponsor notice was provided to the date of the request under this provision) </w:t>
      </w:r>
      <w:r w:rsidRPr="00B61AD3">
        <w:rPr>
          <w:rFonts w:cs="Times New Roman"/>
          <w:szCs w:val="22"/>
        </w:rPr>
        <w:t>to the Secretary</w:t>
      </w:r>
      <w:r w:rsidR="00AB3C70" w:rsidRPr="00B61AD3">
        <w:rPr>
          <w:rFonts w:cs="Times New Roman"/>
          <w:szCs w:val="22"/>
        </w:rPr>
        <w:t>,</w:t>
      </w:r>
      <w:r w:rsidRPr="00B61AD3">
        <w:rPr>
          <w:rFonts w:cs="Times New Roman"/>
          <w:szCs w:val="22"/>
        </w:rPr>
        <w:t xml:space="preserve"> in an approved form.</w:t>
      </w:r>
    </w:p>
    <w:p w14:paraId="11DA3521" w14:textId="77777777" w:rsidR="00492B60" w:rsidRPr="00B61AD3" w:rsidRDefault="00492B60" w:rsidP="00C646C3">
      <w:pPr>
        <w:spacing w:line="240" w:lineRule="auto"/>
        <w:contextualSpacing/>
        <w:rPr>
          <w:rFonts w:cs="Times New Roman"/>
          <w:szCs w:val="22"/>
        </w:rPr>
      </w:pPr>
    </w:p>
    <w:p w14:paraId="3029B595" w14:textId="7498386F" w:rsidR="00AE1834" w:rsidRPr="00B61AD3" w:rsidRDefault="00662E87" w:rsidP="00662E87">
      <w:pPr>
        <w:spacing w:line="240" w:lineRule="auto"/>
        <w:contextualSpacing/>
        <w:rPr>
          <w:rFonts w:eastAsia="Times New Roman" w:cs="Times New Roman"/>
          <w:szCs w:val="22"/>
          <w:lang w:eastAsia="en-AU"/>
        </w:rPr>
      </w:pPr>
      <w:bookmarkStart w:id="9" w:name="_Hlk193121428"/>
      <w:r w:rsidRPr="00B61AD3">
        <w:rPr>
          <w:rFonts w:cs="Times New Roman"/>
          <w:szCs w:val="22"/>
        </w:rPr>
        <w:t>Most of the i</w:t>
      </w:r>
      <w:r w:rsidR="00886DBA" w:rsidRPr="00B61AD3">
        <w:rPr>
          <w:rFonts w:cs="Times New Roman"/>
          <w:szCs w:val="22"/>
        </w:rPr>
        <w:t>nformation required to be provided to the Secretary</w:t>
      </w:r>
      <w:r w:rsidR="001167BD" w:rsidRPr="00B61AD3">
        <w:rPr>
          <w:rFonts w:cs="Times New Roman"/>
          <w:szCs w:val="22"/>
        </w:rPr>
        <w:t xml:space="preserve"> </w:t>
      </w:r>
      <w:r w:rsidRPr="00B61AD3">
        <w:rPr>
          <w:rFonts w:cs="Times New Roman"/>
          <w:szCs w:val="22"/>
        </w:rPr>
        <w:t>will be business related information</w:t>
      </w:r>
      <w:r w:rsidR="00886DBA" w:rsidRPr="00B61AD3">
        <w:rPr>
          <w:rFonts w:cs="Times New Roman"/>
          <w:szCs w:val="22"/>
        </w:rPr>
        <w:t xml:space="preserve">, for example, </w:t>
      </w:r>
      <w:r w:rsidR="001167BD" w:rsidRPr="00B61AD3">
        <w:rPr>
          <w:rFonts w:cs="Times New Roman"/>
          <w:szCs w:val="22"/>
        </w:rPr>
        <w:t xml:space="preserve">identifying information about the </w:t>
      </w:r>
      <w:r w:rsidR="00775A13" w:rsidRPr="00B61AD3">
        <w:rPr>
          <w:rFonts w:cs="Times New Roman"/>
          <w:szCs w:val="22"/>
        </w:rPr>
        <w:t>devices</w:t>
      </w:r>
      <w:r w:rsidR="001167BD" w:rsidRPr="00B61AD3">
        <w:rPr>
          <w:rFonts w:cs="Times New Roman"/>
          <w:szCs w:val="22"/>
        </w:rPr>
        <w:t xml:space="preserve">, </w:t>
      </w:r>
      <w:r w:rsidR="00886DBA" w:rsidRPr="00B61AD3">
        <w:rPr>
          <w:rFonts w:cs="Times New Roman"/>
          <w:szCs w:val="22"/>
        </w:rPr>
        <w:t>the date of supply</w:t>
      </w:r>
      <w:r w:rsidRPr="00B61AD3">
        <w:rPr>
          <w:rFonts w:cs="Times New Roman"/>
          <w:szCs w:val="22"/>
        </w:rPr>
        <w:t xml:space="preserve"> and</w:t>
      </w:r>
      <w:r w:rsidR="00886DBA" w:rsidRPr="00B61AD3">
        <w:rPr>
          <w:rFonts w:cs="Times New Roman"/>
          <w:szCs w:val="22"/>
        </w:rPr>
        <w:t xml:space="preserve"> the quantity of </w:t>
      </w:r>
      <w:r w:rsidR="00775A13" w:rsidRPr="00B61AD3">
        <w:rPr>
          <w:rFonts w:cs="Times New Roman"/>
          <w:szCs w:val="22"/>
        </w:rPr>
        <w:t xml:space="preserve">devices </w:t>
      </w:r>
      <w:r w:rsidR="00886DBA" w:rsidRPr="00B61AD3">
        <w:rPr>
          <w:rFonts w:cs="Times New Roman"/>
          <w:szCs w:val="22"/>
        </w:rPr>
        <w:t xml:space="preserve">supplied. </w:t>
      </w:r>
      <w:r w:rsidRPr="00B61AD3">
        <w:rPr>
          <w:rFonts w:cs="Times New Roman"/>
          <w:szCs w:val="22"/>
        </w:rPr>
        <w:t>H</w:t>
      </w:r>
      <w:r w:rsidRPr="00B61AD3">
        <w:rPr>
          <w:rFonts w:eastAsia="Times New Roman" w:cs="Times New Roman"/>
          <w:szCs w:val="22"/>
          <w:lang w:eastAsia="en-AU"/>
        </w:rPr>
        <w:t>owever, i</w:t>
      </w:r>
      <w:r w:rsidR="00250961" w:rsidRPr="00B61AD3">
        <w:rPr>
          <w:rFonts w:eastAsia="Times New Roman" w:cs="Times New Roman"/>
          <w:szCs w:val="22"/>
          <w:lang w:eastAsia="en-AU"/>
        </w:rPr>
        <w:t>t</w:t>
      </w:r>
      <w:r w:rsidRPr="00B61AD3">
        <w:rPr>
          <w:rFonts w:eastAsia="Times New Roman" w:cs="Times New Roman"/>
          <w:szCs w:val="22"/>
          <w:lang w:eastAsia="en-AU"/>
        </w:rPr>
        <w:t xml:space="preserve"> may also include information relating to the recipients of those devices, namely, medical practitioners, nurse practitioners and pharmacies. While in most cases, these recipients will be corporate entities, some </w:t>
      </w:r>
      <w:r w:rsidR="00D67FBE" w:rsidRPr="00B61AD3">
        <w:rPr>
          <w:rFonts w:eastAsia="Times New Roman" w:cs="Times New Roman"/>
          <w:szCs w:val="22"/>
          <w:lang w:eastAsia="en-AU"/>
        </w:rPr>
        <w:t>recipients may</w:t>
      </w:r>
      <w:r w:rsidRPr="00B61AD3">
        <w:rPr>
          <w:rFonts w:eastAsia="Times New Roman" w:cs="Times New Roman"/>
          <w:szCs w:val="22"/>
          <w:lang w:eastAsia="en-AU"/>
        </w:rPr>
        <w:t xml:space="preserve"> be small businesses that are non-corporate entities operating under individual names. This means that such information may necessarily involve disclosing personal information relating to those persons, being their individual trading names. </w:t>
      </w:r>
    </w:p>
    <w:p w14:paraId="18BF65F1" w14:textId="77777777" w:rsidR="00AE1834" w:rsidRPr="00B61AD3" w:rsidRDefault="00AE1834" w:rsidP="00662E87">
      <w:pPr>
        <w:spacing w:line="240" w:lineRule="auto"/>
        <w:contextualSpacing/>
        <w:rPr>
          <w:rFonts w:eastAsia="Times New Roman" w:cs="Times New Roman"/>
          <w:szCs w:val="22"/>
          <w:lang w:eastAsia="en-AU"/>
        </w:rPr>
      </w:pPr>
    </w:p>
    <w:p w14:paraId="3072A68E" w14:textId="2DBBCD4A" w:rsidR="00662E87" w:rsidRPr="00B61AD3" w:rsidRDefault="00662E87" w:rsidP="00662E87">
      <w:pPr>
        <w:spacing w:line="240" w:lineRule="auto"/>
        <w:contextualSpacing/>
        <w:rPr>
          <w:rFonts w:cs="Times New Roman"/>
          <w:szCs w:val="22"/>
        </w:rPr>
      </w:pPr>
      <w:r w:rsidRPr="00B61AD3">
        <w:rPr>
          <w:rFonts w:eastAsia="Times New Roman" w:cs="Times New Roman"/>
          <w:szCs w:val="22"/>
          <w:lang w:eastAsia="en-AU"/>
        </w:rPr>
        <w:t>The TGA, as part of the Australian Government Department of Health and Aged Care</w:t>
      </w:r>
      <w:r w:rsidR="00975E7E" w:rsidRPr="00B61AD3">
        <w:rPr>
          <w:rFonts w:eastAsia="Times New Roman" w:cs="Times New Roman"/>
          <w:szCs w:val="22"/>
          <w:lang w:eastAsia="en-AU"/>
        </w:rPr>
        <w:t xml:space="preserve"> (the Department)</w:t>
      </w:r>
      <w:r w:rsidRPr="00B61AD3">
        <w:rPr>
          <w:rFonts w:eastAsia="Times New Roman" w:cs="Times New Roman"/>
          <w:szCs w:val="22"/>
          <w:lang w:eastAsia="en-AU"/>
        </w:rPr>
        <w:t xml:space="preserve">, is an APP entity for the purposes of the </w:t>
      </w:r>
      <w:r w:rsidRPr="00B61AD3">
        <w:rPr>
          <w:rFonts w:eastAsia="Times New Roman" w:cs="Times New Roman"/>
          <w:i/>
          <w:iCs/>
          <w:szCs w:val="22"/>
          <w:lang w:eastAsia="en-AU"/>
        </w:rPr>
        <w:t>Privacy Act 1988</w:t>
      </w:r>
      <w:r w:rsidRPr="00B61AD3">
        <w:rPr>
          <w:rFonts w:eastAsia="Times New Roman" w:cs="Times New Roman"/>
          <w:szCs w:val="22"/>
          <w:lang w:eastAsia="en-AU"/>
        </w:rPr>
        <w:t xml:space="preserve"> (the Privacy Act). Consequently, any collection</w:t>
      </w:r>
      <w:r w:rsidR="007F2E7A" w:rsidRPr="00B61AD3">
        <w:rPr>
          <w:rFonts w:eastAsia="Times New Roman" w:cs="Times New Roman"/>
          <w:szCs w:val="22"/>
          <w:lang w:eastAsia="en-AU"/>
        </w:rPr>
        <w:t xml:space="preserve">, </w:t>
      </w:r>
      <w:r w:rsidRPr="00B61AD3">
        <w:rPr>
          <w:rFonts w:eastAsia="Times New Roman" w:cs="Times New Roman"/>
          <w:szCs w:val="22"/>
          <w:lang w:eastAsia="en-AU"/>
        </w:rPr>
        <w:t>use</w:t>
      </w:r>
      <w:r w:rsidR="007F2E7A" w:rsidRPr="00B61AD3">
        <w:rPr>
          <w:rFonts w:eastAsia="Times New Roman" w:cs="Times New Roman"/>
          <w:szCs w:val="22"/>
          <w:lang w:eastAsia="en-AU"/>
        </w:rPr>
        <w:t xml:space="preserve"> or disclosure</w:t>
      </w:r>
      <w:r w:rsidRPr="00B61AD3">
        <w:rPr>
          <w:rFonts w:eastAsia="Times New Roman" w:cs="Times New Roman"/>
          <w:szCs w:val="22"/>
          <w:lang w:eastAsia="en-AU"/>
        </w:rPr>
        <w:t xml:space="preserve"> of personal information by the TGA must be consistent with the Privacy Act.</w:t>
      </w:r>
    </w:p>
    <w:bookmarkEnd w:id="9"/>
    <w:p w14:paraId="595FFDCC" w14:textId="77777777" w:rsidR="004E59CC" w:rsidRPr="00B61AD3" w:rsidRDefault="004E59CC" w:rsidP="00C646C3">
      <w:pPr>
        <w:spacing w:line="240" w:lineRule="auto"/>
        <w:contextualSpacing/>
        <w:rPr>
          <w:rFonts w:cs="Times New Roman"/>
          <w:szCs w:val="22"/>
        </w:rPr>
      </w:pPr>
    </w:p>
    <w:p w14:paraId="6A7A4FFD" w14:textId="146DC886" w:rsidR="00886DBA" w:rsidRPr="00B61AD3" w:rsidRDefault="00886DBA" w:rsidP="00C646C3">
      <w:pPr>
        <w:spacing w:line="240" w:lineRule="auto"/>
        <w:contextualSpacing/>
        <w:rPr>
          <w:rFonts w:cs="Times New Roman"/>
          <w:szCs w:val="22"/>
        </w:rPr>
      </w:pPr>
      <w:r w:rsidRPr="00B61AD3">
        <w:rPr>
          <w:rFonts w:cs="Times New Roman"/>
          <w:szCs w:val="22"/>
        </w:rPr>
        <w:t>The approved form for providing information to the Secretary would be published on the TGA website at www.tga.gov.au.</w:t>
      </w:r>
    </w:p>
    <w:p w14:paraId="715B7B18" w14:textId="77777777" w:rsidR="00886DBA" w:rsidRPr="00B61AD3" w:rsidRDefault="00886DBA" w:rsidP="00C646C3">
      <w:pPr>
        <w:spacing w:line="240" w:lineRule="auto"/>
        <w:contextualSpacing/>
        <w:rPr>
          <w:rFonts w:cs="Times New Roman"/>
          <w:szCs w:val="22"/>
        </w:rPr>
      </w:pPr>
    </w:p>
    <w:p w14:paraId="5D8E2DEB" w14:textId="1F46AED4" w:rsidR="00886DBA" w:rsidRPr="00B61AD3" w:rsidRDefault="00886DBA" w:rsidP="00C646C3">
      <w:pPr>
        <w:spacing w:line="240" w:lineRule="auto"/>
        <w:contextualSpacing/>
        <w:rPr>
          <w:rFonts w:cs="Times New Roman"/>
          <w:szCs w:val="22"/>
        </w:rPr>
      </w:pPr>
      <w:r w:rsidRPr="00B61AD3">
        <w:rPr>
          <w:rFonts w:cs="Times New Roman"/>
          <w:szCs w:val="22"/>
        </w:rPr>
        <w:t>The condition provide</w:t>
      </w:r>
      <w:r w:rsidR="00E94AEA" w:rsidRPr="00B61AD3">
        <w:rPr>
          <w:rFonts w:cs="Times New Roman"/>
          <w:szCs w:val="22"/>
        </w:rPr>
        <w:t>s</w:t>
      </w:r>
      <w:r w:rsidRPr="00B61AD3">
        <w:rPr>
          <w:rFonts w:cs="Times New Roman"/>
          <w:szCs w:val="22"/>
        </w:rPr>
        <w:t xml:space="preserve"> that the information must be provided within</w:t>
      </w:r>
      <w:r w:rsidR="001F3CF8" w:rsidRPr="00B61AD3">
        <w:rPr>
          <w:rFonts w:cs="Times New Roman"/>
          <w:szCs w:val="22"/>
        </w:rPr>
        <w:t xml:space="preserve"> the</w:t>
      </w:r>
      <w:r w:rsidRPr="00B61AD3">
        <w:rPr>
          <w:rFonts w:cs="Times New Roman"/>
          <w:szCs w:val="22"/>
        </w:rPr>
        <w:t xml:space="preserve"> </w:t>
      </w:r>
      <w:r w:rsidR="001F3CF8" w:rsidRPr="00B61AD3">
        <w:rPr>
          <w:rFonts w:cs="Times New Roman"/>
          <w:szCs w:val="22"/>
        </w:rPr>
        <w:t>period requested by the Secretary, which must be at least 5 working days starting on the day in which the request is made.</w:t>
      </w:r>
    </w:p>
    <w:p w14:paraId="32848749" w14:textId="77777777" w:rsidR="00886DBA" w:rsidRPr="00B61AD3" w:rsidRDefault="00886DBA" w:rsidP="00C646C3">
      <w:pPr>
        <w:spacing w:line="240" w:lineRule="auto"/>
        <w:contextualSpacing/>
        <w:rPr>
          <w:rFonts w:cs="Times New Roman"/>
          <w:szCs w:val="22"/>
        </w:rPr>
      </w:pPr>
    </w:p>
    <w:p w14:paraId="4BDAA63E" w14:textId="2D1C09DE" w:rsidR="002144EB" w:rsidRPr="00B61AD3" w:rsidRDefault="00617C80" w:rsidP="00C646C3">
      <w:pPr>
        <w:spacing w:line="240" w:lineRule="auto"/>
        <w:contextualSpacing/>
        <w:rPr>
          <w:rFonts w:cs="Times New Roman"/>
          <w:szCs w:val="22"/>
        </w:rPr>
      </w:pPr>
      <w:bookmarkStart w:id="10" w:name="_Hlk182498893"/>
      <w:r w:rsidRPr="00B61AD3">
        <w:rPr>
          <w:rFonts w:cs="Times New Roman"/>
          <w:szCs w:val="22"/>
        </w:rPr>
        <w:t>T</w:t>
      </w:r>
      <w:r w:rsidR="0069212E" w:rsidRPr="00B61AD3">
        <w:rPr>
          <w:rFonts w:cs="Times New Roman"/>
          <w:szCs w:val="22"/>
        </w:rPr>
        <w:t>his amendment</w:t>
      </w:r>
      <w:bookmarkStart w:id="11" w:name="_Hlk182497046"/>
      <w:r w:rsidR="001167BD" w:rsidRPr="00B61AD3">
        <w:rPr>
          <w:rFonts w:cs="Times New Roman"/>
          <w:szCs w:val="22"/>
        </w:rPr>
        <w:t xml:space="preserve">, by providing that a sponsor needs to provide supply information in an approved form, provides greater certainty for sponsors in relation the information that may be requested by the </w:t>
      </w:r>
      <w:r w:rsidR="00492B60" w:rsidRPr="00B61AD3">
        <w:rPr>
          <w:rFonts w:cs="Times New Roman"/>
          <w:szCs w:val="22"/>
        </w:rPr>
        <w:t>Secretary</w:t>
      </w:r>
      <w:r w:rsidR="001167BD" w:rsidRPr="00B61AD3">
        <w:rPr>
          <w:rFonts w:cs="Times New Roman"/>
          <w:szCs w:val="22"/>
        </w:rPr>
        <w:t xml:space="preserve"> (on a targeted or potentially periodic basis) </w:t>
      </w:r>
      <w:bookmarkStart w:id="12" w:name="_Hlk182497132"/>
      <w:r w:rsidR="001167BD" w:rsidRPr="00B61AD3">
        <w:rPr>
          <w:rFonts w:cs="Times New Roman"/>
          <w:szCs w:val="22"/>
        </w:rPr>
        <w:t>and create efficiencies for sponsors and the TGA.</w:t>
      </w:r>
    </w:p>
    <w:p w14:paraId="4ECD2016" w14:textId="77777777" w:rsidR="002144EB" w:rsidRPr="00B61AD3" w:rsidRDefault="002144EB" w:rsidP="00C646C3">
      <w:pPr>
        <w:spacing w:line="240" w:lineRule="auto"/>
        <w:contextualSpacing/>
        <w:rPr>
          <w:rFonts w:cs="Times New Roman"/>
          <w:szCs w:val="22"/>
        </w:rPr>
      </w:pPr>
    </w:p>
    <w:p w14:paraId="10EAE0BE" w14:textId="17D6BB62" w:rsidR="004E59CC" w:rsidRPr="00B61AD3" w:rsidRDefault="006D2E5B" w:rsidP="00C646C3">
      <w:pPr>
        <w:spacing w:line="240" w:lineRule="auto"/>
        <w:contextualSpacing/>
        <w:rPr>
          <w:rFonts w:cs="Times New Roman"/>
          <w:szCs w:val="22"/>
        </w:rPr>
      </w:pPr>
      <w:r w:rsidRPr="00B61AD3">
        <w:rPr>
          <w:rFonts w:cs="Times New Roman"/>
          <w:szCs w:val="22"/>
        </w:rPr>
        <w:t>In particular, t</w:t>
      </w:r>
      <w:r w:rsidR="002144EB" w:rsidRPr="00B61AD3">
        <w:rPr>
          <w:rFonts w:cs="Times New Roman"/>
          <w:szCs w:val="22"/>
        </w:rPr>
        <w:t>he provision of information in an approved form</w:t>
      </w:r>
      <w:r w:rsidR="00492B60" w:rsidRPr="00B61AD3">
        <w:rPr>
          <w:rFonts w:cs="Times New Roman"/>
          <w:szCs w:val="22"/>
        </w:rPr>
        <w:t xml:space="preserve"> to the Secretary</w:t>
      </w:r>
      <w:r w:rsidR="002144EB" w:rsidRPr="00B61AD3">
        <w:rPr>
          <w:rFonts w:cs="Times New Roman"/>
          <w:szCs w:val="22"/>
        </w:rPr>
        <w:t xml:space="preserve"> will support efficient </w:t>
      </w:r>
      <w:r w:rsidR="001167BD" w:rsidRPr="00B61AD3">
        <w:rPr>
          <w:rFonts w:cs="Times New Roman"/>
          <w:szCs w:val="22"/>
        </w:rPr>
        <w:t>information collection and analysis</w:t>
      </w:r>
      <w:bookmarkEnd w:id="12"/>
      <w:r w:rsidR="00492B60" w:rsidRPr="00B61AD3">
        <w:rPr>
          <w:rFonts w:cs="Times New Roman"/>
          <w:szCs w:val="22"/>
        </w:rPr>
        <w:t xml:space="preserve"> by the TGA</w:t>
      </w:r>
      <w:r w:rsidR="001167BD" w:rsidRPr="00B61AD3">
        <w:rPr>
          <w:rFonts w:cs="Times New Roman"/>
          <w:szCs w:val="22"/>
        </w:rPr>
        <w:t>.</w:t>
      </w:r>
      <w:r w:rsidR="002144EB" w:rsidRPr="00B61AD3">
        <w:rPr>
          <w:rFonts w:cs="Times New Roman"/>
          <w:szCs w:val="22"/>
        </w:rPr>
        <w:t xml:space="preserve"> While in certain circumstances the TGA may wish to obtain and analyse specific supply records obtained under subparagraph (ii), it is anticipated that the TGA will more often wish to </w:t>
      </w:r>
      <w:r w:rsidR="00DB427A" w:rsidRPr="00B61AD3">
        <w:rPr>
          <w:rFonts w:cs="Times New Roman"/>
          <w:szCs w:val="22"/>
        </w:rPr>
        <w:t xml:space="preserve">aggregate and then </w:t>
      </w:r>
      <w:r w:rsidR="002144EB" w:rsidRPr="00B61AD3">
        <w:rPr>
          <w:rFonts w:cs="Times New Roman"/>
          <w:szCs w:val="22"/>
        </w:rPr>
        <w:t xml:space="preserve">analyse supply figures to, for example, measure the effectiveness of the vaping reforms or detect diversion of vaping goods from the legitimate supply chain. In these kinds of circumstances, it is not administratively efficient for the TGA to </w:t>
      </w:r>
      <w:r w:rsidR="00617C80" w:rsidRPr="00B61AD3">
        <w:rPr>
          <w:rFonts w:cs="Times New Roman"/>
          <w:szCs w:val="22"/>
        </w:rPr>
        <w:t>review and extract data from the different forms of supply record</w:t>
      </w:r>
      <w:r w:rsidR="00904854" w:rsidRPr="00B61AD3">
        <w:rPr>
          <w:rFonts w:cs="Times New Roman"/>
          <w:szCs w:val="22"/>
        </w:rPr>
        <w:t>s</w:t>
      </w:r>
      <w:r w:rsidR="00617C80" w:rsidRPr="00B61AD3">
        <w:rPr>
          <w:rFonts w:cs="Times New Roman"/>
          <w:szCs w:val="22"/>
        </w:rPr>
        <w:t xml:space="preserve"> kept by each sponsor.</w:t>
      </w:r>
      <w:bookmarkEnd w:id="10"/>
      <w:bookmarkEnd w:id="11"/>
    </w:p>
    <w:p w14:paraId="31384CDA" w14:textId="77777777" w:rsidR="00886DBA" w:rsidRPr="00B61AD3" w:rsidRDefault="00886DBA" w:rsidP="00C646C3">
      <w:pPr>
        <w:spacing w:line="240" w:lineRule="auto"/>
        <w:contextualSpacing/>
        <w:rPr>
          <w:rFonts w:cs="Times New Roman"/>
          <w:szCs w:val="22"/>
        </w:rPr>
      </w:pPr>
    </w:p>
    <w:p w14:paraId="57E90D54" w14:textId="77777777" w:rsidR="00886DBA" w:rsidRPr="00B61AD3" w:rsidRDefault="00886DBA" w:rsidP="00C646C3">
      <w:pPr>
        <w:spacing w:line="240" w:lineRule="auto"/>
        <w:contextualSpacing/>
        <w:rPr>
          <w:rFonts w:cs="Times New Roman"/>
          <w:b/>
          <w:bCs/>
          <w:i/>
          <w:iCs/>
          <w:szCs w:val="22"/>
        </w:rPr>
      </w:pPr>
      <w:r w:rsidRPr="00B61AD3">
        <w:rPr>
          <w:rFonts w:cs="Times New Roman"/>
          <w:b/>
          <w:bCs/>
          <w:i/>
          <w:iCs/>
          <w:szCs w:val="22"/>
        </w:rPr>
        <w:t>Therapeutic Goods Regulations 1990</w:t>
      </w:r>
    </w:p>
    <w:p w14:paraId="22B129F5" w14:textId="77777777" w:rsidR="00886DBA" w:rsidRPr="00B61AD3" w:rsidRDefault="00886DBA" w:rsidP="00C646C3">
      <w:pPr>
        <w:spacing w:line="240" w:lineRule="auto"/>
        <w:contextualSpacing/>
        <w:rPr>
          <w:rFonts w:cs="Times New Roman"/>
          <w:szCs w:val="22"/>
        </w:rPr>
      </w:pPr>
    </w:p>
    <w:p w14:paraId="701F44D6" w14:textId="1918013B" w:rsidR="00482B95" w:rsidRPr="00B61AD3" w:rsidRDefault="0024350D" w:rsidP="00C646C3">
      <w:pPr>
        <w:spacing w:line="240" w:lineRule="auto"/>
        <w:contextualSpacing/>
        <w:rPr>
          <w:rFonts w:cs="Times New Roman"/>
          <w:i/>
          <w:iCs/>
          <w:szCs w:val="22"/>
          <w:u w:val="single"/>
        </w:rPr>
      </w:pPr>
      <w:r w:rsidRPr="00B61AD3">
        <w:rPr>
          <w:rFonts w:cs="Times New Roman"/>
          <w:i/>
          <w:iCs/>
          <w:szCs w:val="22"/>
          <w:u w:val="single"/>
        </w:rPr>
        <w:t>Minor</w:t>
      </w:r>
      <w:r w:rsidR="00482B95" w:rsidRPr="00B61AD3">
        <w:rPr>
          <w:rFonts w:cs="Times New Roman"/>
          <w:i/>
          <w:iCs/>
          <w:szCs w:val="22"/>
          <w:u w:val="single"/>
        </w:rPr>
        <w:t xml:space="preserve"> amendments</w:t>
      </w:r>
    </w:p>
    <w:p w14:paraId="609C86E0" w14:textId="77777777" w:rsidR="00482B95" w:rsidRPr="00B61AD3" w:rsidRDefault="00482B95" w:rsidP="00C646C3">
      <w:pPr>
        <w:spacing w:line="240" w:lineRule="auto"/>
        <w:contextualSpacing/>
        <w:rPr>
          <w:rFonts w:cs="Times New Roman"/>
          <w:szCs w:val="22"/>
        </w:rPr>
      </w:pPr>
    </w:p>
    <w:p w14:paraId="01A358B3" w14:textId="3AB22E07" w:rsidR="00886DBA" w:rsidRPr="00B61AD3" w:rsidRDefault="00886DBA" w:rsidP="00C646C3">
      <w:pPr>
        <w:spacing w:line="240" w:lineRule="auto"/>
        <w:contextualSpacing/>
        <w:rPr>
          <w:rFonts w:cs="Times New Roman"/>
          <w:b/>
          <w:bCs/>
          <w:szCs w:val="22"/>
        </w:rPr>
      </w:pPr>
      <w:r w:rsidRPr="00B61AD3">
        <w:rPr>
          <w:rFonts w:cs="Times New Roman"/>
          <w:b/>
          <w:bCs/>
          <w:szCs w:val="22"/>
        </w:rPr>
        <w:t xml:space="preserve">Items </w:t>
      </w:r>
      <w:r w:rsidR="00FD6062" w:rsidRPr="00B61AD3">
        <w:rPr>
          <w:rFonts w:cs="Times New Roman"/>
          <w:b/>
          <w:bCs/>
          <w:szCs w:val="22"/>
        </w:rPr>
        <w:t>8</w:t>
      </w:r>
      <w:r w:rsidRPr="00B61AD3">
        <w:rPr>
          <w:rFonts w:cs="Times New Roman"/>
          <w:b/>
          <w:bCs/>
          <w:szCs w:val="22"/>
        </w:rPr>
        <w:t xml:space="preserve"> and </w:t>
      </w:r>
      <w:r w:rsidR="00FD6062" w:rsidRPr="00B61AD3">
        <w:rPr>
          <w:rFonts w:cs="Times New Roman"/>
          <w:b/>
          <w:bCs/>
          <w:szCs w:val="22"/>
        </w:rPr>
        <w:t>9</w:t>
      </w:r>
      <w:r w:rsidRPr="00B61AD3">
        <w:rPr>
          <w:rFonts w:cs="Times New Roman"/>
          <w:b/>
          <w:bCs/>
          <w:szCs w:val="22"/>
        </w:rPr>
        <w:t xml:space="preserve"> – Regulation 10N (table heading and table, heading to column 2)</w:t>
      </w:r>
    </w:p>
    <w:p w14:paraId="728E8372" w14:textId="77777777" w:rsidR="00886DBA" w:rsidRPr="00B61AD3" w:rsidRDefault="00886DBA" w:rsidP="00C646C3">
      <w:pPr>
        <w:spacing w:line="240" w:lineRule="auto"/>
        <w:contextualSpacing/>
        <w:rPr>
          <w:rFonts w:cs="Times New Roman"/>
          <w:szCs w:val="22"/>
        </w:rPr>
      </w:pPr>
    </w:p>
    <w:p w14:paraId="6055A400" w14:textId="5A3DF20D" w:rsidR="00886DBA" w:rsidRPr="00B61AD3" w:rsidRDefault="00886DBA" w:rsidP="00C646C3">
      <w:pPr>
        <w:spacing w:line="240" w:lineRule="auto"/>
        <w:contextualSpacing/>
        <w:rPr>
          <w:rFonts w:cs="Times New Roman"/>
          <w:szCs w:val="22"/>
        </w:rPr>
      </w:pPr>
      <w:r w:rsidRPr="00B61AD3">
        <w:rPr>
          <w:rFonts w:cs="Times New Roman"/>
          <w:szCs w:val="22"/>
        </w:rPr>
        <w:t xml:space="preserve">These items make minor editorial amendments to the table in regulation 10N of the </w:t>
      </w:r>
      <w:r w:rsidRPr="00B61AD3">
        <w:rPr>
          <w:rFonts w:cs="Times New Roman"/>
          <w:i/>
          <w:iCs/>
          <w:szCs w:val="22"/>
        </w:rPr>
        <w:t>Therapeutic Goods Regulations 1990</w:t>
      </w:r>
      <w:r w:rsidRPr="00B61AD3">
        <w:rPr>
          <w:rFonts w:cs="Times New Roman"/>
          <w:szCs w:val="22"/>
        </w:rPr>
        <w:t xml:space="preserve"> (the TG Regulations).</w:t>
      </w:r>
    </w:p>
    <w:p w14:paraId="5081757B" w14:textId="77777777" w:rsidR="00886DBA" w:rsidRPr="00B61AD3" w:rsidRDefault="00886DBA" w:rsidP="00C646C3">
      <w:pPr>
        <w:spacing w:line="240" w:lineRule="auto"/>
        <w:contextualSpacing/>
        <w:rPr>
          <w:rFonts w:cs="Times New Roman"/>
          <w:szCs w:val="22"/>
        </w:rPr>
      </w:pPr>
    </w:p>
    <w:p w14:paraId="1184D597" w14:textId="2CFBE9AE" w:rsidR="00886DBA" w:rsidRPr="00B61AD3" w:rsidRDefault="00886DBA" w:rsidP="00C646C3">
      <w:pPr>
        <w:spacing w:line="240" w:lineRule="auto"/>
        <w:contextualSpacing/>
        <w:rPr>
          <w:rFonts w:cs="Times New Roman"/>
          <w:szCs w:val="22"/>
        </w:rPr>
      </w:pPr>
      <w:r w:rsidRPr="00B61AD3">
        <w:rPr>
          <w:rFonts w:cs="Times New Roman"/>
          <w:szCs w:val="22"/>
        </w:rPr>
        <w:t>The table in regulation 10N prescribes commercial quantities of vaping goods</w:t>
      </w:r>
      <w:r w:rsidR="00BF63A6" w:rsidRPr="00B61AD3">
        <w:rPr>
          <w:rFonts w:cs="Times New Roman"/>
          <w:szCs w:val="22"/>
        </w:rPr>
        <w:t>,</w:t>
      </w:r>
      <w:r w:rsidR="00BE0726" w:rsidRPr="00B61AD3">
        <w:rPr>
          <w:rFonts w:cs="Times New Roman"/>
          <w:szCs w:val="22"/>
        </w:rPr>
        <w:t xml:space="preserve"> </w:t>
      </w:r>
      <w:r w:rsidRPr="00B61AD3">
        <w:rPr>
          <w:rFonts w:cs="Times New Roman"/>
          <w:szCs w:val="22"/>
        </w:rPr>
        <w:t>for the purposes of the definition of ‘commercial quantity’ in subsection 3(1) of the Act. However, it has been identified that the table currently refers to ‘unit’ rather than ‘quantit</w:t>
      </w:r>
      <w:r w:rsidR="00904854" w:rsidRPr="00B61AD3">
        <w:rPr>
          <w:rFonts w:cs="Times New Roman"/>
          <w:szCs w:val="22"/>
        </w:rPr>
        <w:t>y</w:t>
      </w:r>
      <w:r w:rsidRPr="00B61AD3">
        <w:rPr>
          <w:rFonts w:cs="Times New Roman"/>
          <w:szCs w:val="22"/>
        </w:rPr>
        <w:t>’ of vaping goods.</w:t>
      </w:r>
    </w:p>
    <w:p w14:paraId="3002B688" w14:textId="77777777" w:rsidR="00886DBA" w:rsidRPr="00B61AD3" w:rsidRDefault="00886DBA" w:rsidP="00C646C3">
      <w:pPr>
        <w:spacing w:line="240" w:lineRule="auto"/>
        <w:contextualSpacing/>
        <w:rPr>
          <w:rFonts w:cs="Times New Roman"/>
          <w:szCs w:val="22"/>
        </w:rPr>
      </w:pPr>
    </w:p>
    <w:p w14:paraId="73214D7B" w14:textId="685AD283" w:rsidR="00886DBA" w:rsidRPr="00B61AD3" w:rsidRDefault="0069212E" w:rsidP="00C646C3">
      <w:pPr>
        <w:spacing w:line="240" w:lineRule="auto"/>
        <w:contextualSpacing/>
        <w:rPr>
          <w:rFonts w:cs="Times New Roman"/>
          <w:szCs w:val="22"/>
        </w:rPr>
      </w:pPr>
      <w:r w:rsidRPr="00B61AD3">
        <w:rPr>
          <w:rFonts w:cs="Times New Roman"/>
          <w:szCs w:val="22"/>
        </w:rPr>
        <w:t xml:space="preserve">These items correct drafting errors. </w:t>
      </w:r>
      <w:r w:rsidR="00FD6062" w:rsidRPr="00B61AD3">
        <w:rPr>
          <w:rFonts w:cs="Times New Roman"/>
          <w:szCs w:val="22"/>
        </w:rPr>
        <w:t>In particular, i</w:t>
      </w:r>
      <w:r w:rsidR="00886DBA" w:rsidRPr="00B61AD3">
        <w:rPr>
          <w:rFonts w:cs="Times New Roman"/>
          <w:szCs w:val="22"/>
        </w:rPr>
        <w:t xml:space="preserve">tem </w:t>
      </w:r>
      <w:r w:rsidR="00FD6062" w:rsidRPr="00B61AD3">
        <w:rPr>
          <w:rFonts w:cs="Times New Roman"/>
          <w:szCs w:val="22"/>
        </w:rPr>
        <w:t>8</w:t>
      </w:r>
      <w:r w:rsidR="00886DBA" w:rsidRPr="00B61AD3">
        <w:rPr>
          <w:rFonts w:cs="Times New Roman"/>
          <w:szCs w:val="22"/>
        </w:rPr>
        <w:t xml:space="preserve"> amend</w:t>
      </w:r>
      <w:r w:rsidR="00994EE5" w:rsidRPr="00B61AD3">
        <w:rPr>
          <w:rFonts w:cs="Times New Roman"/>
          <w:szCs w:val="22"/>
        </w:rPr>
        <w:t>s</w:t>
      </w:r>
      <w:r w:rsidR="00886DBA" w:rsidRPr="00B61AD3">
        <w:rPr>
          <w:rFonts w:cs="Times New Roman"/>
          <w:szCs w:val="22"/>
        </w:rPr>
        <w:t xml:space="preserve"> the heading in the table in regulation 10N </w:t>
      </w:r>
      <w:r w:rsidR="00FD6062" w:rsidRPr="00B61AD3">
        <w:rPr>
          <w:rFonts w:cs="Times New Roman"/>
          <w:szCs w:val="22"/>
        </w:rPr>
        <w:t xml:space="preserve">to </w:t>
      </w:r>
      <w:r w:rsidR="00886DBA" w:rsidRPr="00B61AD3">
        <w:rPr>
          <w:rFonts w:cs="Times New Roman"/>
          <w:szCs w:val="22"/>
        </w:rPr>
        <w:t xml:space="preserve">correct </w:t>
      </w:r>
      <w:r w:rsidRPr="00B61AD3">
        <w:rPr>
          <w:rFonts w:cs="Times New Roman"/>
          <w:szCs w:val="22"/>
        </w:rPr>
        <w:t>the</w:t>
      </w:r>
      <w:r w:rsidR="00886DBA" w:rsidRPr="00B61AD3">
        <w:rPr>
          <w:rFonts w:cs="Times New Roman"/>
          <w:szCs w:val="22"/>
        </w:rPr>
        <w:t xml:space="preserve"> erroneous reference to ‘Unit’ by replacing it with ‘Commercial quantity’. Item </w:t>
      </w:r>
      <w:r w:rsidR="00FD6062" w:rsidRPr="00B61AD3">
        <w:rPr>
          <w:rFonts w:cs="Times New Roman"/>
          <w:szCs w:val="22"/>
        </w:rPr>
        <w:t>9</w:t>
      </w:r>
      <w:r w:rsidR="00886DBA" w:rsidRPr="00B61AD3">
        <w:rPr>
          <w:rFonts w:cs="Times New Roman"/>
          <w:szCs w:val="22"/>
        </w:rPr>
        <w:t xml:space="preserve"> amend</w:t>
      </w:r>
      <w:r w:rsidR="00994EE5" w:rsidRPr="00B61AD3">
        <w:rPr>
          <w:rFonts w:cs="Times New Roman"/>
          <w:szCs w:val="22"/>
        </w:rPr>
        <w:t>s</w:t>
      </w:r>
      <w:r w:rsidR="00886DBA" w:rsidRPr="00B61AD3">
        <w:rPr>
          <w:rFonts w:cs="Times New Roman"/>
          <w:szCs w:val="22"/>
        </w:rPr>
        <w:t xml:space="preserve"> the heading to column 2 to correct </w:t>
      </w:r>
      <w:r w:rsidRPr="00B61AD3">
        <w:rPr>
          <w:rFonts w:cs="Times New Roman"/>
          <w:szCs w:val="22"/>
        </w:rPr>
        <w:t xml:space="preserve">the </w:t>
      </w:r>
      <w:r w:rsidR="00886DBA" w:rsidRPr="00B61AD3">
        <w:rPr>
          <w:rFonts w:cs="Times New Roman"/>
          <w:szCs w:val="22"/>
        </w:rPr>
        <w:t>erroneous reference to ‘Unit of vaping goods’ by replacing it with ‘Quantity’</w:t>
      </w:r>
      <w:r w:rsidR="00C020C0" w:rsidRPr="00B61AD3">
        <w:rPr>
          <w:rFonts w:cs="Times New Roman"/>
          <w:szCs w:val="22"/>
        </w:rPr>
        <w:t>.</w:t>
      </w:r>
    </w:p>
    <w:p w14:paraId="5FA64BDC" w14:textId="77777777" w:rsidR="00886DBA" w:rsidRPr="00B61AD3" w:rsidRDefault="00886DBA" w:rsidP="00C646C3">
      <w:pPr>
        <w:spacing w:line="240" w:lineRule="auto"/>
        <w:contextualSpacing/>
        <w:rPr>
          <w:rFonts w:cs="Times New Roman"/>
          <w:szCs w:val="22"/>
        </w:rPr>
      </w:pPr>
    </w:p>
    <w:p w14:paraId="09B93195" w14:textId="58982DDD" w:rsidR="00886DBA" w:rsidRPr="00B61AD3" w:rsidRDefault="00886DBA" w:rsidP="00C646C3">
      <w:pPr>
        <w:spacing w:line="240" w:lineRule="auto"/>
        <w:contextualSpacing/>
        <w:rPr>
          <w:rFonts w:cs="Times New Roman"/>
          <w:b/>
          <w:bCs/>
          <w:szCs w:val="22"/>
        </w:rPr>
      </w:pPr>
      <w:r w:rsidRPr="00B61AD3">
        <w:rPr>
          <w:rFonts w:cs="Times New Roman"/>
          <w:b/>
          <w:bCs/>
          <w:szCs w:val="22"/>
        </w:rPr>
        <w:lastRenderedPageBreak/>
        <w:t xml:space="preserve">Item </w:t>
      </w:r>
      <w:r w:rsidR="00FD6062" w:rsidRPr="00B61AD3">
        <w:rPr>
          <w:rFonts w:cs="Times New Roman"/>
          <w:b/>
          <w:bCs/>
          <w:szCs w:val="22"/>
        </w:rPr>
        <w:t>10</w:t>
      </w:r>
      <w:r w:rsidRPr="00B61AD3">
        <w:rPr>
          <w:rFonts w:cs="Times New Roman"/>
          <w:b/>
          <w:bCs/>
          <w:szCs w:val="22"/>
        </w:rPr>
        <w:t xml:space="preserve"> – Paragraph 48(1AB)(c)</w:t>
      </w:r>
    </w:p>
    <w:p w14:paraId="20AFE1DF" w14:textId="77777777" w:rsidR="00886DBA" w:rsidRPr="00B61AD3" w:rsidRDefault="00886DBA" w:rsidP="00C646C3">
      <w:pPr>
        <w:spacing w:line="240" w:lineRule="auto"/>
        <w:contextualSpacing/>
        <w:rPr>
          <w:rFonts w:cs="Times New Roman"/>
          <w:szCs w:val="22"/>
        </w:rPr>
      </w:pPr>
    </w:p>
    <w:p w14:paraId="1CECEA07" w14:textId="489F8E07" w:rsidR="0069212E" w:rsidRPr="00B61AD3" w:rsidRDefault="00E5081B" w:rsidP="00C646C3">
      <w:pPr>
        <w:spacing w:line="240" w:lineRule="auto"/>
        <w:contextualSpacing/>
        <w:rPr>
          <w:rFonts w:cs="Times New Roman"/>
          <w:szCs w:val="22"/>
        </w:rPr>
      </w:pPr>
      <w:r w:rsidRPr="00B61AD3">
        <w:rPr>
          <w:rFonts w:cs="Times New Roman"/>
          <w:szCs w:val="22"/>
        </w:rPr>
        <w:t>A decision</w:t>
      </w:r>
      <w:r w:rsidR="0069212E" w:rsidRPr="00B61AD3">
        <w:rPr>
          <w:rFonts w:cs="Times New Roman"/>
          <w:szCs w:val="22"/>
        </w:rPr>
        <w:t xml:space="preserve"> to make a therapeutic good </w:t>
      </w:r>
      <w:r w:rsidRPr="00B61AD3">
        <w:rPr>
          <w:rFonts w:cs="Times New Roman"/>
          <w:szCs w:val="22"/>
        </w:rPr>
        <w:t xml:space="preserve">the subject of a determination as referenced </w:t>
      </w:r>
      <w:r w:rsidR="0069212E" w:rsidRPr="00B61AD3">
        <w:rPr>
          <w:rFonts w:cs="Times New Roman"/>
          <w:szCs w:val="22"/>
        </w:rPr>
        <w:t>in</w:t>
      </w:r>
      <w:r w:rsidRPr="00B61AD3">
        <w:rPr>
          <w:rFonts w:cs="Times New Roman"/>
          <w:szCs w:val="22"/>
        </w:rPr>
        <w:t xml:space="preserve"> paragraph (e) of column 3 of</w:t>
      </w:r>
      <w:r w:rsidR="0069212E" w:rsidRPr="00B61AD3">
        <w:rPr>
          <w:rFonts w:cs="Times New Roman"/>
          <w:szCs w:val="22"/>
        </w:rPr>
        <w:t xml:space="preserve"> item 15 of</w:t>
      </w:r>
      <w:r w:rsidRPr="00B61AD3">
        <w:rPr>
          <w:rFonts w:cs="Times New Roman"/>
          <w:szCs w:val="22"/>
        </w:rPr>
        <w:t xml:space="preserve"> the table in</w:t>
      </w:r>
      <w:r w:rsidR="0069212E" w:rsidRPr="00B61AD3">
        <w:rPr>
          <w:rFonts w:cs="Times New Roman"/>
          <w:szCs w:val="22"/>
        </w:rPr>
        <w:t xml:space="preserve"> Schedule 5A to the TG Regulations is merits reviewable by operation of paragraph 48(1AB)(c) of the TG Regulations.</w:t>
      </w:r>
    </w:p>
    <w:p w14:paraId="11BA099E" w14:textId="77777777" w:rsidR="0069212E" w:rsidRPr="00B61AD3" w:rsidRDefault="0069212E" w:rsidP="00C646C3">
      <w:pPr>
        <w:spacing w:line="240" w:lineRule="auto"/>
        <w:contextualSpacing/>
        <w:rPr>
          <w:rFonts w:cs="Times New Roman"/>
          <w:szCs w:val="22"/>
        </w:rPr>
      </w:pPr>
    </w:p>
    <w:p w14:paraId="1678D918" w14:textId="3343E374" w:rsidR="00886DBA" w:rsidRPr="00B61AD3" w:rsidRDefault="00886DBA" w:rsidP="00C646C3">
      <w:pPr>
        <w:spacing w:line="240" w:lineRule="auto"/>
        <w:contextualSpacing/>
        <w:rPr>
          <w:rFonts w:cs="Times New Roman"/>
          <w:szCs w:val="22"/>
        </w:rPr>
      </w:pPr>
      <w:r w:rsidRPr="00B61AD3">
        <w:rPr>
          <w:rFonts w:cs="Times New Roman"/>
          <w:szCs w:val="22"/>
        </w:rPr>
        <w:t>This item make</w:t>
      </w:r>
      <w:r w:rsidR="00994EE5" w:rsidRPr="00B61AD3">
        <w:rPr>
          <w:rFonts w:cs="Times New Roman"/>
          <w:szCs w:val="22"/>
        </w:rPr>
        <w:t>s</w:t>
      </w:r>
      <w:r w:rsidRPr="00B61AD3">
        <w:rPr>
          <w:rFonts w:cs="Times New Roman"/>
          <w:szCs w:val="22"/>
        </w:rPr>
        <w:t xml:space="preserve"> a minor amendment to paragraph 48(1AB)(c) of the TG Regulations to remove the words ‘paragraph (e) of column 3’ and replace with ‘paragraph (g) of column 2’.</w:t>
      </w:r>
    </w:p>
    <w:p w14:paraId="2A75BFA8" w14:textId="77777777" w:rsidR="0069212E" w:rsidRPr="00B61AD3" w:rsidRDefault="0069212E" w:rsidP="00C646C3">
      <w:pPr>
        <w:spacing w:line="240" w:lineRule="auto"/>
        <w:contextualSpacing/>
        <w:rPr>
          <w:rFonts w:cs="Times New Roman"/>
          <w:szCs w:val="22"/>
        </w:rPr>
      </w:pPr>
    </w:p>
    <w:p w14:paraId="70F010A9" w14:textId="24F20E34" w:rsidR="0069212E" w:rsidRPr="00B61AD3" w:rsidRDefault="0069212E" w:rsidP="00C646C3">
      <w:pPr>
        <w:spacing w:line="240" w:lineRule="auto"/>
        <w:contextualSpacing/>
        <w:rPr>
          <w:rFonts w:cs="Times New Roman"/>
          <w:szCs w:val="22"/>
        </w:rPr>
      </w:pPr>
      <w:r w:rsidRPr="00B61AD3">
        <w:rPr>
          <w:rFonts w:cs="Times New Roman"/>
          <w:szCs w:val="22"/>
        </w:rPr>
        <w:t>This amendment is consequential to the amendments made below to</w:t>
      </w:r>
      <w:r w:rsidR="006C2FB4" w:rsidRPr="00B61AD3">
        <w:rPr>
          <w:rFonts w:cs="Times New Roman"/>
          <w:szCs w:val="22"/>
        </w:rPr>
        <w:t>,</w:t>
      </w:r>
      <w:r w:rsidRPr="00B61AD3">
        <w:rPr>
          <w:rFonts w:cs="Times New Roman"/>
          <w:szCs w:val="22"/>
        </w:rPr>
        <w:t xml:space="preserve"> among other things</w:t>
      </w:r>
      <w:r w:rsidR="006C2FB4" w:rsidRPr="00B61AD3">
        <w:rPr>
          <w:rFonts w:cs="Times New Roman"/>
          <w:szCs w:val="22"/>
        </w:rPr>
        <w:t>,</w:t>
      </w:r>
      <w:r w:rsidRPr="00B61AD3">
        <w:rPr>
          <w:rFonts w:cs="Times New Roman"/>
          <w:szCs w:val="22"/>
        </w:rPr>
        <w:t xml:space="preserve"> </w:t>
      </w:r>
      <w:r w:rsidR="00E5081B" w:rsidRPr="00B61AD3">
        <w:rPr>
          <w:rFonts w:cs="Times New Roman"/>
          <w:szCs w:val="22"/>
        </w:rPr>
        <w:t>transfer the relevant paragraph in item 15 of the table in Schedule 5A to the TG Regulations from column 3 to column 2</w:t>
      </w:r>
      <w:r w:rsidRPr="00B61AD3">
        <w:rPr>
          <w:rFonts w:cs="Times New Roman"/>
          <w:szCs w:val="22"/>
        </w:rPr>
        <w:t xml:space="preserve">. It </w:t>
      </w:r>
      <w:r w:rsidR="009A2F45" w:rsidRPr="00B61AD3">
        <w:rPr>
          <w:rFonts w:cs="Times New Roman"/>
          <w:szCs w:val="22"/>
        </w:rPr>
        <w:t>ensures that</w:t>
      </w:r>
      <w:r w:rsidRPr="00B61AD3">
        <w:rPr>
          <w:rFonts w:cs="Times New Roman"/>
          <w:szCs w:val="22"/>
        </w:rPr>
        <w:t xml:space="preserve"> a sponsor</w:t>
      </w:r>
      <w:r w:rsidR="008872B6" w:rsidRPr="00B61AD3">
        <w:rPr>
          <w:rFonts w:cs="Times New Roman"/>
          <w:szCs w:val="22"/>
        </w:rPr>
        <w:t xml:space="preserve"> continues to have rights</w:t>
      </w:r>
      <w:r w:rsidRPr="00B61AD3">
        <w:rPr>
          <w:rFonts w:cs="Times New Roman"/>
          <w:szCs w:val="22"/>
        </w:rPr>
        <w:t xml:space="preserve"> to seek merits review.</w:t>
      </w:r>
    </w:p>
    <w:p w14:paraId="749C142C" w14:textId="77777777" w:rsidR="00C71B2A" w:rsidRPr="00B61AD3" w:rsidRDefault="00C71B2A" w:rsidP="00C646C3">
      <w:pPr>
        <w:spacing w:line="240" w:lineRule="auto"/>
        <w:contextualSpacing/>
        <w:rPr>
          <w:rFonts w:cs="Times New Roman"/>
          <w:szCs w:val="22"/>
        </w:rPr>
      </w:pPr>
    </w:p>
    <w:p w14:paraId="76540A47" w14:textId="74E76D1F" w:rsidR="00C71B2A" w:rsidRPr="00B61AD3" w:rsidRDefault="00C71B2A" w:rsidP="00C646C3">
      <w:pPr>
        <w:spacing w:line="240" w:lineRule="auto"/>
        <w:contextualSpacing/>
        <w:rPr>
          <w:rFonts w:cs="Times New Roman"/>
          <w:i/>
          <w:iCs/>
          <w:szCs w:val="22"/>
          <w:u w:val="single"/>
        </w:rPr>
      </w:pPr>
      <w:r w:rsidRPr="00B61AD3">
        <w:rPr>
          <w:rFonts w:cs="Times New Roman"/>
          <w:i/>
          <w:iCs/>
          <w:szCs w:val="22"/>
          <w:u w:val="single"/>
        </w:rPr>
        <w:t>Amendments to notified vaping goods exemptions</w:t>
      </w:r>
    </w:p>
    <w:p w14:paraId="68CC963B" w14:textId="77777777" w:rsidR="00772041" w:rsidRPr="00B61AD3" w:rsidRDefault="00772041" w:rsidP="00C646C3">
      <w:pPr>
        <w:spacing w:line="240" w:lineRule="auto"/>
        <w:contextualSpacing/>
        <w:rPr>
          <w:rFonts w:cs="Times New Roman"/>
          <w:szCs w:val="22"/>
          <w:u w:val="single"/>
        </w:rPr>
      </w:pPr>
    </w:p>
    <w:p w14:paraId="688860BD" w14:textId="1EC439DF" w:rsidR="00772041" w:rsidRPr="00B61AD3" w:rsidRDefault="0024350D" w:rsidP="00772041">
      <w:pPr>
        <w:spacing w:line="240" w:lineRule="auto"/>
        <w:contextualSpacing/>
        <w:rPr>
          <w:rFonts w:cs="Times New Roman"/>
          <w:i/>
          <w:iCs/>
          <w:szCs w:val="22"/>
        </w:rPr>
      </w:pPr>
      <w:r w:rsidRPr="00B61AD3">
        <w:rPr>
          <w:rFonts w:cs="Times New Roman"/>
          <w:i/>
          <w:iCs/>
          <w:szCs w:val="22"/>
        </w:rPr>
        <w:t>Background</w:t>
      </w:r>
    </w:p>
    <w:p w14:paraId="52F42932" w14:textId="77777777" w:rsidR="00772041" w:rsidRPr="00B61AD3" w:rsidRDefault="00772041" w:rsidP="00772041">
      <w:pPr>
        <w:spacing w:line="240" w:lineRule="auto"/>
        <w:contextualSpacing/>
        <w:rPr>
          <w:rFonts w:cs="Times New Roman"/>
          <w:i/>
          <w:iCs/>
          <w:szCs w:val="22"/>
        </w:rPr>
      </w:pPr>
    </w:p>
    <w:p w14:paraId="7BDD561A" w14:textId="77777777" w:rsidR="00772041" w:rsidRPr="00B61AD3" w:rsidRDefault="00772041" w:rsidP="00772041">
      <w:pPr>
        <w:spacing w:line="240" w:lineRule="auto"/>
        <w:contextualSpacing/>
        <w:rPr>
          <w:rFonts w:cs="Times New Roman"/>
          <w:szCs w:val="22"/>
        </w:rPr>
      </w:pPr>
      <w:r w:rsidRPr="00B61AD3">
        <w:rPr>
          <w:rFonts w:cs="Times New Roman"/>
          <w:szCs w:val="22"/>
        </w:rPr>
        <w:t>Subsection 18(1) of the Act provides that the regulations may exempt specified therapeutic goods or classes of therapeutic goods from the operation of Part 3-2 of the Act (except section 31A and sections 31C to 31F), and thereby exempt certain therapeutic goods from the requirement to be included in the Register. Subsection 18(1) further provides that an exemption may be subject to conditions that are prescribed in the regulations.</w:t>
      </w:r>
    </w:p>
    <w:p w14:paraId="753D15B5" w14:textId="77777777" w:rsidR="00772041" w:rsidRPr="00B61AD3" w:rsidRDefault="00772041" w:rsidP="00772041">
      <w:pPr>
        <w:spacing w:line="240" w:lineRule="auto"/>
        <w:contextualSpacing/>
        <w:rPr>
          <w:rFonts w:cs="Times New Roman"/>
          <w:szCs w:val="22"/>
        </w:rPr>
      </w:pPr>
    </w:p>
    <w:p w14:paraId="4376C11B" w14:textId="23E4CD98" w:rsidR="00772041" w:rsidRPr="00B61AD3" w:rsidRDefault="00772041" w:rsidP="00772041">
      <w:pPr>
        <w:spacing w:line="240" w:lineRule="auto"/>
        <w:contextualSpacing/>
        <w:rPr>
          <w:rFonts w:cs="Times New Roman"/>
          <w:szCs w:val="22"/>
        </w:rPr>
      </w:pPr>
      <w:r w:rsidRPr="00B61AD3">
        <w:rPr>
          <w:rFonts w:cs="Times New Roman"/>
          <w:szCs w:val="22"/>
        </w:rPr>
        <w:t>Subregulation 12(2) of the TG Regulations exempts therapeutic goods mentioned in column 2 of an item in Schedule 5A to the TG</w:t>
      </w:r>
      <w:r w:rsidR="00457B10" w:rsidRPr="00B61AD3">
        <w:rPr>
          <w:rFonts w:cs="Times New Roman"/>
          <w:szCs w:val="22"/>
        </w:rPr>
        <w:t> </w:t>
      </w:r>
      <w:r w:rsidRPr="00B61AD3">
        <w:rPr>
          <w:rFonts w:cs="Times New Roman"/>
          <w:szCs w:val="22"/>
        </w:rPr>
        <w:t>Regulations from the operation of Part 3-2 of the Act (except section 31A and sections 31C to 31F), subject to compliance with the conditions mentioned in column 3.</w:t>
      </w:r>
    </w:p>
    <w:p w14:paraId="3DDB087E" w14:textId="77777777" w:rsidR="00772041" w:rsidRPr="00B61AD3" w:rsidRDefault="00772041" w:rsidP="00772041">
      <w:pPr>
        <w:spacing w:line="240" w:lineRule="auto"/>
        <w:contextualSpacing/>
        <w:rPr>
          <w:rFonts w:cs="Times New Roman"/>
          <w:szCs w:val="22"/>
        </w:rPr>
      </w:pPr>
    </w:p>
    <w:p w14:paraId="16E1A1E4" w14:textId="0B88211A" w:rsidR="00772041" w:rsidRPr="00B61AD3" w:rsidRDefault="00772041" w:rsidP="00772041">
      <w:pPr>
        <w:spacing w:line="240" w:lineRule="auto"/>
        <w:contextualSpacing/>
        <w:rPr>
          <w:rFonts w:cs="Times New Roman"/>
          <w:szCs w:val="22"/>
        </w:rPr>
      </w:pPr>
      <w:r w:rsidRPr="00B61AD3">
        <w:rPr>
          <w:rFonts w:cs="Times New Roman"/>
          <w:szCs w:val="22"/>
        </w:rPr>
        <w:t xml:space="preserve">Relevantly, item 15 of the table in Schedule 5A </w:t>
      </w:r>
      <w:r w:rsidR="00397353" w:rsidRPr="00B61AD3">
        <w:rPr>
          <w:rFonts w:cs="Times New Roman"/>
          <w:szCs w:val="22"/>
        </w:rPr>
        <w:t>to the TG</w:t>
      </w:r>
      <w:r w:rsidR="0057586B" w:rsidRPr="00B61AD3">
        <w:rPr>
          <w:rFonts w:cs="Times New Roman"/>
          <w:szCs w:val="22"/>
        </w:rPr>
        <w:t> </w:t>
      </w:r>
      <w:r w:rsidR="00397353" w:rsidRPr="00B61AD3">
        <w:rPr>
          <w:rFonts w:cs="Times New Roman"/>
          <w:szCs w:val="22"/>
        </w:rPr>
        <w:t xml:space="preserve">Regulations </w:t>
      </w:r>
      <w:r w:rsidRPr="00B61AD3">
        <w:rPr>
          <w:rFonts w:cs="Times New Roman"/>
          <w:szCs w:val="22"/>
        </w:rPr>
        <w:t>exempts certain therapeutic goods that are therapeutic vaping substances, therapeutic vaping substance accessories, therapeutic vaping kits, or goods in a therapeutic vaping pack, subject to several conditions. In practice, this exemption is referred to as one of the ‘notified vaping goods’ exemptions.</w:t>
      </w:r>
    </w:p>
    <w:p w14:paraId="7AF3E100" w14:textId="77777777" w:rsidR="00772041" w:rsidRPr="00B61AD3" w:rsidRDefault="00772041" w:rsidP="00772041">
      <w:pPr>
        <w:spacing w:line="240" w:lineRule="auto"/>
        <w:contextualSpacing/>
        <w:rPr>
          <w:rFonts w:cs="Times New Roman"/>
          <w:szCs w:val="22"/>
        </w:rPr>
      </w:pPr>
    </w:p>
    <w:p w14:paraId="790BB362" w14:textId="354803BC" w:rsidR="00772041" w:rsidRPr="00B61AD3" w:rsidRDefault="00772041" w:rsidP="00772041">
      <w:pPr>
        <w:spacing w:line="240" w:lineRule="auto"/>
        <w:contextualSpacing/>
        <w:rPr>
          <w:rFonts w:cs="Times New Roman"/>
          <w:szCs w:val="22"/>
        </w:rPr>
      </w:pPr>
      <w:r w:rsidRPr="00B61AD3">
        <w:rPr>
          <w:rFonts w:cs="Times New Roman"/>
          <w:szCs w:val="22"/>
        </w:rPr>
        <w:t xml:space="preserve">It is appropriate for the conditions in </w:t>
      </w:r>
      <w:r w:rsidR="004412F3" w:rsidRPr="00B61AD3">
        <w:rPr>
          <w:rFonts w:cs="Times New Roman"/>
          <w:szCs w:val="22"/>
        </w:rPr>
        <w:t>item 15 of the table in Schedule 5A</w:t>
      </w:r>
      <w:r w:rsidR="00397353" w:rsidRPr="00B61AD3">
        <w:rPr>
          <w:rFonts w:cs="Times New Roman"/>
          <w:szCs w:val="22"/>
        </w:rPr>
        <w:t xml:space="preserve"> to the TG</w:t>
      </w:r>
      <w:r w:rsidR="008648FD" w:rsidRPr="00B61AD3">
        <w:rPr>
          <w:rFonts w:cs="Times New Roman"/>
          <w:szCs w:val="22"/>
        </w:rPr>
        <w:t> </w:t>
      </w:r>
      <w:r w:rsidR="00397353" w:rsidRPr="00B61AD3">
        <w:rPr>
          <w:rFonts w:cs="Times New Roman"/>
          <w:szCs w:val="22"/>
        </w:rPr>
        <w:t>Regulations</w:t>
      </w:r>
      <w:r w:rsidRPr="00B61AD3">
        <w:rPr>
          <w:rFonts w:cs="Times New Roman"/>
          <w:szCs w:val="22"/>
        </w:rPr>
        <w:t xml:space="preserve">, including the conditions introduced or amended </w:t>
      </w:r>
      <w:r w:rsidR="0024350D" w:rsidRPr="00B61AD3">
        <w:rPr>
          <w:rFonts w:cs="Times New Roman"/>
          <w:szCs w:val="22"/>
        </w:rPr>
        <w:t>by items</w:t>
      </w:r>
      <w:r w:rsidR="00153645">
        <w:rPr>
          <w:rFonts w:cs="Times New Roman"/>
          <w:szCs w:val="22"/>
        </w:rPr>
        <w:t xml:space="preserve"> mentioned</w:t>
      </w:r>
      <w:r w:rsidR="0024350D" w:rsidRPr="00B61AD3">
        <w:rPr>
          <w:rFonts w:cs="Times New Roman"/>
          <w:szCs w:val="22"/>
        </w:rPr>
        <w:t xml:space="preserve"> </w:t>
      </w:r>
      <w:r w:rsidRPr="00B61AD3">
        <w:rPr>
          <w:rFonts w:cs="Times New Roman"/>
          <w:szCs w:val="22"/>
        </w:rPr>
        <w:t>below, to be contained in regulations rather than primary legislation because:</w:t>
      </w:r>
    </w:p>
    <w:p w14:paraId="50EDB681" w14:textId="77777777" w:rsidR="00772041" w:rsidRPr="00B61AD3" w:rsidRDefault="00772041" w:rsidP="00772041">
      <w:pPr>
        <w:spacing w:line="240" w:lineRule="auto"/>
        <w:contextualSpacing/>
        <w:rPr>
          <w:rFonts w:cs="Times New Roman"/>
          <w:szCs w:val="22"/>
        </w:rPr>
      </w:pPr>
    </w:p>
    <w:p w14:paraId="4A7F4F1A" w14:textId="43404390" w:rsidR="00772041" w:rsidRPr="00B61AD3" w:rsidRDefault="0024350D" w:rsidP="00772041">
      <w:pPr>
        <w:pStyle w:val="ListParagraph"/>
        <w:numPr>
          <w:ilvl w:val="0"/>
          <w:numId w:val="28"/>
        </w:numPr>
        <w:spacing w:line="240" w:lineRule="auto"/>
        <w:rPr>
          <w:rFonts w:cs="Times New Roman"/>
          <w:szCs w:val="22"/>
        </w:rPr>
      </w:pPr>
      <w:r w:rsidRPr="00B61AD3">
        <w:rPr>
          <w:rFonts w:cs="Times New Roman"/>
          <w:szCs w:val="22"/>
        </w:rPr>
        <w:t xml:space="preserve">as noted above, </w:t>
      </w:r>
      <w:r w:rsidR="004412F3" w:rsidRPr="00B61AD3">
        <w:rPr>
          <w:rFonts w:cs="Times New Roman"/>
          <w:szCs w:val="22"/>
        </w:rPr>
        <w:t>sub</w:t>
      </w:r>
      <w:r w:rsidR="00772041" w:rsidRPr="00B61AD3">
        <w:rPr>
          <w:rFonts w:cs="Times New Roman"/>
          <w:szCs w:val="22"/>
        </w:rPr>
        <w:t xml:space="preserve">section </w:t>
      </w:r>
      <w:r w:rsidR="004412F3" w:rsidRPr="00B61AD3">
        <w:rPr>
          <w:rFonts w:cs="Times New Roman"/>
          <w:szCs w:val="22"/>
        </w:rPr>
        <w:t>18(1)</w:t>
      </w:r>
      <w:r w:rsidR="00772041" w:rsidRPr="00B61AD3">
        <w:rPr>
          <w:rFonts w:cs="Times New Roman"/>
          <w:szCs w:val="22"/>
        </w:rPr>
        <w:t xml:space="preserve"> of the Act</w:t>
      </w:r>
      <w:r w:rsidRPr="00B61AD3">
        <w:rPr>
          <w:rFonts w:cs="Times New Roman"/>
          <w:szCs w:val="22"/>
        </w:rPr>
        <w:t xml:space="preserve"> provides for the regulations to exempt therapeutic goods from the requirement to be included in the Register, subject to specified conditions. The Act therefore</w:t>
      </w:r>
      <w:r w:rsidR="00772041" w:rsidRPr="00B61AD3">
        <w:rPr>
          <w:rFonts w:cs="Times New Roman"/>
          <w:szCs w:val="22"/>
        </w:rPr>
        <w:t xml:space="preserve"> anticipates that exemptions may be </w:t>
      </w:r>
      <w:r w:rsidRPr="00B61AD3">
        <w:rPr>
          <w:rFonts w:cs="Times New Roman"/>
          <w:szCs w:val="22"/>
        </w:rPr>
        <w:t xml:space="preserve">subject to conditions that are </w:t>
      </w:r>
      <w:r w:rsidR="00772041" w:rsidRPr="00B61AD3">
        <w:rPr>
          <w:rFonts w:cs="Times New Roman"/>
          <w:szCs w:val="22"/>
        </w:rPr>
        <w:t>prescribed in the regulations;</w:t>
      </w:r>
    </w:p>
    <w:p w14:paraId="110A62ED" w14:textId="77777777" w:rsidR="00772041" w:rsidRPr="00B61AD3" w:rsidRDefault="00772041" w:rsidP="00772041">
      <w:pPr>
        <w:pStyle w:val="ListParagraph"/>
        <w:spacing w:line="240" w:lineRule="auto"/>
        <w:rPr>
          <w:rFonts w:cs="Times New Roman"/>
          <w:szCs w:val="22"/>
        </w:rPr>
      </w:pPr>
    </w:p>
    <w:p w14:paraId="5681E6B4" w14:textId="34727507" w:rsidR="00772041" w:rsidRPr="00B61AD3" w:rsidRDefault="00772041" w:rsidP="00772041">
      <w:pPr>
        <w:pStyle w:val="ListParagraph"/>
        <w:numPr>
          <w:ilvl w:val="0"/>
          <w:numId w:val="28"/>
        </w:numPr>
        <w:spacing w:line="240" w:lineRule="auto"/>
        <w:rPr>
          <w:rFonts w:cs="Times New Roman"/>
          <w:szCs w:val="22"/>
        </w:rPr>
      </w:pPr>
      <w:r w:rsidRPr="00B61AD3">
        <w:rPr>
          <w:rFonts w:cs="Times New Roman"/>
          <w:szCs w:val="22"/>
        </w:rPr>
        <w:t xml:space="preserve">they interact closely with the description of the </w:t>
      </w:r>
      <w:r w:rsidR="009453F8" w:rsidRPr="00B61AD3">
        <w:rPr>
          <w:rFonts w:cs="Times New Roman"/>
          <w:szCs w:val="22"/>
        </w:rPr>
        <w:t>therapeutic goods</w:t>
      </w:r>
      <w:r w:rsidRPr="00B61AD3">
        <w:rPr>
          <w:rFonts w:cs="Times New Roman"/>
          <w:szCs w:val="22"/>
        </w:rPr>
        <w:t xml:space="preserve"> that are the subject of the exemption. It is therefore not desirable to fragment conditions attaching to an exemption across the Act and the </w:t>
      </w:r>
      <w:r w:rsidR="008B2D05" w:rsidRPr="00B61AD3">
        <w:t>TG</w:t>
      </w:r>
      <w:r w:rsidR="007B77CC" w:rsidRPr="00B61AD3">
        <w:t> </w:t>
      </w:r>
      <w:r w:rsidRPr="00B61AD3">
        <w:t>Regulations</w:t>
      </w:r>
      <w:r w:rsidRPr="00B61AD3">
        <w:rPr>
          <w:rFonts w:cs="Times New Roman"/>
          <w:szCs w:val="22"/>
        </w:rPr>
        <w:t>. Rather, it is preferrable for conditions to remain attached to the relevant exemption; and</w:t>
      </w:r>
    </w:p>
    <w:p w14:paraId="507C619B" w14:textId="77777777" w:rsidR="00772041" w:rsidRPr="00B61AD3" w:rsidRDefault="00772041" w:rsidP="00772041">
      <w:pPr>
        <w:pStyle w:val="ListParagraph"/>
        <w:spacing w:line="240" w:lineRule="auto"/>
        <w:rPr>
          <w:rFonts w:cs="Times New Roman"/>
          <w:szCs w:val="22"/>
        </w:rPr>
      </w:pPr>
    </w:p>
    <w:p w14:paraId="4EB94575" w14:textId="0ABF0C47" w:rsidR="00772041" w:rsidRPr="00B61AD3" w:rsidRDefault="00772041" w:rsidP="00772041">
      <w:pPr>
        <w:pStyle w:val="ListParagraph"/>
        <w:numPr>
          <w:ilvl w:val="0"/>
          <w:numId w:val="28"/>
        </w:numPr>
        <w:spacing w:line="240" w:lineRule="auto"/>
        <w:rPr>
          <w:rFonts w:cs="Times New Roman"/>
          <w:szCs w:val="22"/>
        </w:rPr>
      </w:pPr>
      <w:r w:rsidRPr="00B61AD3">
        <w:rPr>
          <w:rFonts w:cs="Times New Roman"/>
          <w:szCs w:val="22"/>
        </w:rPr>
        <w:t xml:space="preserve">the inclusion of conditions of the relevant exemptions are appropriately limited to notified therapeutic vaping </w:t>
      </w:r>
      <w:r w:rsidR="009453F8" w:rsidRPr="00B61AD3">
        <w:rPr>
          <w:rFonts w:cs="Times New Roman"/>
          <w:szCs w:val="22"/>
        </w:rPr>
        <w:t>goods</w:t>
      </w:r>
      <w:r w:rsidRPr="00B61AD3">
        <w:rPr>
          <w:rFonts w:cs="Times New Roman"/>
          <w:szCs w:val="22"/>
        </w:rPr>
        <w:t xml:space="preserve">. The amendments </w:t>
      </w:r>
      <w:r w:rsidR="00420478" w:rsidRPr="00B61AD3">
        <w:rPr>
          <w:rFonts w:cs="Times New Roman"/>
          <w:szCs w:val="22"/>
        </w:rPr>
        <w:t>m</w:t>
      </w:r>
      <w:r w:rsidR="00153645">
        <w:rPr>
          <w:rFonts w:cs="Times New Roman"/>
          <w:szCs w:val="22"/>
        </w:rPr>
        <w:t>entioned</w:t>
      </w:r>
      <w:r w:rsidRPr="00B61AD3">
        <w:rPr>
          <w:rFonts w:cs="Times New Roman"/>
          <w:szCs w:val="22"/>
        </w:rPr>
        <w:t xml:space="preserve"> below clarify the circumstances in which those </w:t>
      </w:r>
      <w:r w:rsidR="009453F8" w:rsidRPr="00B61AD3">
        <w:rPr>
          <w:rFonts w:cs="Times New Roman"/>
          <w:szCs w:val="22"/>
        </w:rPr>
        <w:t>goods</w:t>
      </w:r>
      <w:r w:rsidRPr="00B61AD3">
        <w:rPr>
          <w:rFonts w:cs="Times New Roman"/>
          <w:szCs w:val="22"/>
        </w:rPr>
        <w:t xml:space="preserve"> continue to be exempt under existing arrangements.</w:t>
      </w:r>
    </w:p>
    <w:p w14:paraId="34AA84A7" w14:textId="77777777" w:rsidR="00772041" w:rsidRPr="00B61AD3" w:rsidRDefault="00772041" w:rsidP="00772041">
      <w:pPr>
        <w:spacing w:line="240" w:lineRule="auto"/>
        <w:contextualSpacing/>
        <w:rPr>
          <w:rFonts w:cs="Times New Roman"/>
          <w:szCs w:val="22"/>
        </w:rPr>
      </w:pPr>
    </w:p>
    <w:p w14:paraId="0CAFCAC5" w14:textId="77777777" w:rsidR="00772041" w:rsidRPr="00B61AD3" w:rsidRDefault="00772041" w:rsidP="005A3CF1">
      <w:pPr>
        <w:keepNext/>
        <w:spacing w:line="240" w:lineRule="auto"/>
        <w:contextualSpacing/>
        <w:rPr>
          <w:rFonts w:cs="Times New Roman"/>
          <w:szCs w:val="22"/>
        </w:rPr>
      </w:pPr>
      <w:r w:rsidRPr="00B61AD3">
        <w:rPr>
          <w:rFonts w:cs="Times New Roman"/>
          <w:szCs w:val="22"/>
        </w:rPr>
        <w:lastRenderedPageBreak/>
        <w:t>Additionally, it is considered necessary and appropriate to include the conditions of exemption in delegated legislation, rather than primary legislation, because:</w:t>
      </w:r>
    </w:p>
    <w:p w14:paraId="4F02A1B6" w14:textId="77777777" w:rsidR="00772041" w:rsidRPr="00B61AD3" w:rsidRDefault="00772041" w:rsidP="005A3CF1">
      <w:pPr>
        <w:keepNext/>
        <w:spacing w:line="240" w:lineRule="auto"/>
        <w:contextualSpacing/>
        <w:rPr>
          <w:rFonts w:cs="Times New Roman"/>
          <w:szCs w:val="22"/>
        </w:rPr>
      </w:pPr>
    </w:p>
    <w:p w14:paraId="33029B29" w14:textId="27F95BE9" w:rsidR="00772041" w:rsidRPr="00B61AD3" w:rsidRDefault="00772041" w:rsidP="005A3CF1">
      <w:pPr>
        <w:pStyle w:val="ListParagraph"/>
        <w:keepNext/>
        <w:numPr>
          <w:ilvl w:val="0"/>
          <w:numId w:val="28"/>
        </w:numPr>
        <w:spacing w:line="240" w:lineRule="auto"/>
        <w:rPr>
          <w:rFonts w:cs="Times New Roman"/>
          <w:szCs w:val="22"/>
        </w:rPr>
      </w:pPr>
      <w:r w:rsidRPr="00B61AD3">
        <w:rPr>
          <w:rFonts w:cs="Times New Roman"/>
          <w:szCs w:val="22"/>
        </w:rPr>
        <w:t>the exemptions to which the conditions attach depend on complex interactions between laws that are subject to change</w:t>
      </w:r>
      <w:r w:rsidR="00420478" w:rsidRPr="00B61AD3">
        <w:rPr>
          <w:rFonts w:cs="Times New Roman"/>
          <w:szCs w:val="22"/>
        </w:rPr>
        <w:t>.</w:t>
      </w:r>
      <w:r w:rsidRPr="00B61AD3">
        <w:rPr>
          <w:rFonts w:cs="Times New Roman"/>
          <w:szCs w:val="22"/>
        </w:rPr>
        <w:t xml:space="preserve"> </w:t>
      </w:r>
      <w:r w:rsidR="00420478" w:rsidRPr="00B61AD3">
        <w:rPr>
          <w:rFonts w:cs="Times New Roman"/>
          <w:szCs w:val="22"/>
        </w:rPr>
        <w:t>T</w:t>
      </w:r>
      <w:r w:rsidRPr="00B61AD3">
        <w:rPr>
          <w:rFonts w:cs="Times New Roman"/>
          <w:szCs w:val="22"/>
        </w:rPr>
        <w:t>he regulation of therapeutic goods and vaping goods is complex, being subject to overlapping Commonwealth and state and territory laws. Commonwealth delegated legislation (such as controls in the CPI</w:t>
      </w:r>
      <w:r w:rsidR="00B10356" w:rsidRPr="00B61AD3">
        <w:t> </w:t>
      </w:r>
      <w:r w:rsidRPr="00B61AD3">
        <w:rPr>
          <w:rFonts w:cs="Times New Roman"/>
          <w:szCs w:val="22"/>
        </w:rPr>
        <w:t>Regulations) and state and territory laws may change from time to time. It is necessary and appropriate to specify the conditions attaching to these exemptions in delegated legislation to deal with unintended situations that arise because of the complex interaction between, or changes to, these laws;</w:t>
      </w:r>
    </w:p>
    <w:p w14:paraId="060737C9" w14:textId="77777777" w:rsidR="00772041" w:rsidRPr="00B61AD3" w:rsidRDefault="00772041" w:rsidP="00772041">
      <w:pPr>
        <w:pStyle w:val="ListParagraph"/>
        <w:spacing w:line="240" w:lineRule="auto"/>
        <w:rPr>
          <w:rFonts w:cs="Times New Roman"/>
          <w:szCs w:val="22"/>
        </w:rPr>
      </w:pPr>
    </w:p>
    <w:p w14:paraId="5DF3BCDC" w14:textId="3D84F278" w:rsidR="00772041" w:rsidRPr="00B61AD3" w:rsidRDefault="00772041" w:rsidP="00772041">
      <w:pPr>
        <w:pStyle w:val="ListParagraph"/>
        <w:numPr>
          <w:ilvl w:val="0"/>
          <w:numId w:val="28"/>
        </w:numPr>
        <w:spacing w:line="240" w:lineRule="auto"/>
        <w:rPr>
          <w:rFonts w:cs="Times New Roman"/>
          <w:szCs w:val="22"/>
        </w:rPr>
      </w:pPr>
      <w:r w:rsidRPr="00B61AD3">
        <w:rPr>
          <w:rFonts w:cs="Times New Roman"/>
          <w:szCs w:val="22"/>
        </w:rPr>
        <w:t>the conditions interact with other parts of the exemptions</w:t>
      </w:r>
      <w:r w:rsidR="00420478" w:rsidRPr="00B61AD3">
        <w:rPr>
          <w:rFonts w:cs="Times New Roman"/>
          <w:szCs w:val="22"/>
        </w:rPr>
        <w:t>.</w:t>
      </w:r>
      <w:r w:rsidRPr="00B61AD3">
        <w:rPr>
          <w:rFonts w:cs="Times New Roman"/>
          <w:szCs w:val="22"/>
        </w:rPr>
        <w:t xml:space="preserve"> </w:t>
      </w:r>
      <w:r w:rsidR="00420478" w:rsidRPr="00B61AD3">
        <w:rPr>
          <w:rFonts w:cs="Times New Roman"/>
          <w:szCs w:val="22"/>
        </w:rPr>
        <w:t>T</w:t>
      </w:r>
      <w:r w:rsidRPr="00B61AD3">
        <w:rPr>
          <w:rFonts w:cs="Times New Roman"/>
          <w:szCs w:val="22"/>
        </w:rPr>
        <w:t xml:space="preserve">he conditions, including those added or amended below, cross-reference or otherwise interact with other parts of </w:t>
      </w:r>
      <w:r w:rsidR="009453F8" w:rsidRPr="00B61AD3">
        <w:rPr>
          <w:rFonts w:cs="Times New Roman"/>
          <w:szCs w:val="22"/>
        </w:rPr>
        <w:t>item 15 of the table in Schedule 5A to the TG</w:t>
      </w:r>
      <w:r w:rsidR="00B10356" w:rsidRPr="00B61AD3">
        <w:t> </w:t>
      </w:r>
      <w:r w:rsidR="009453F8" w:rsidRPr="00B61AD3">
        <w:rPr>
          <w:rFonts w:cs="Times New Roman"/>
          <w:szCs w:val="22"/>
        </w:rPr>
        <w:t>Regulations</w:t>
      </w:r>
      <w:r w:rsidRPr="00B61AD3">
        <w:rPr>
          <w:rFonts w:cs="Times New Roman"/>
          <w:szCs w:val="22"/>
        </w:rPr>
        <w:t xml:space="preserve">. To improve clarity and ease of understanding, it is desirable for these provisions to appear together, rather than being fragmented across the Act and </w:t>
      </w:r>
      <w:r w:rsidR="009453F8" w:rsidRPr="00B61AD3">
        <w:rPr>
          <w:rFonts w:cs="Times New Roman"/>
          <w:szCs w:val="22"/>
        </w:rPr>
        <w:t>TG</w:t>
      </w:r>
      <w:r w:rsidR="00B10356" w:rsidRPr="00B61AD3">
        <w:t> </w:t>
      </w:r>
      <w:r w:rsidRPr="00B61AD3">
        <w:rPr>
          <w:rFonts w:cs="Times New Roman"/>
          <w:szCs w:val="22"/>
        </w:rPr>
        <w:t>Regulations;</w:t>
      </w:r>
    </w:p>
    <w:p w14:paraId="6AA12F84" w14:textId="77777777" w:rsidR="00772041" w:rsidRPr="00B61AD3" w:rsidRDefault="00772041" w:rsidP="00772041">
      <w:pPr>
        <w:pStyle w:val="ListParagraph"/>
        <w:spacing w:line="240" w:lineRule="auto"/>
        <w:rPr>
          <w:rFonts w:cs="Times New Roman"/>
          <w:szCs w:val="22"/>
        </w:rPr>
      </w:pPr>
    </w:p>
    <w:p w14:paraId="44A8D4DD" w14:textId="7DD8EF35" w:rsidR="00772041" w:rsidRPr="00B61AD3" w:rsidRDefault="00772041" w:rsidP="00772041">
      <w:pPr>
        <w:pStyle w:val="ListParagraph"/>
        <w:numPr>
          <w:ilvl w:val="0"/>
          <w:numId w:val="28"/>
        </w:numPr>
        <w:spacing w:line="240" w:lineRule="auto"/>
        <w:rPr>
          <w:rFonts w:cs="Times New Roman"/>
          <w:szCs w:val="22"/>
        </w:rPr>
      </w:pPr>
      <w:r w:rsidRPr="00B61AD3">
        <w:rPr>
          <w:rFonts w:cs="Times New Roman"/>
          <w:szCs w:val="22"/>
        </w:rPr>
        <w:t>the conditions are highly detailed</w:t>
      </w:r>
      <w:r w:rsidR="00420478" w:rsidRPr="00B61AD3">
        <w:rPr>
          <w:rFonts w:cs="Times New Roman"/>
          <w:szCs w:val="22"/>
        </w:rPr>
        <w:t>.</w:t>
      </w:r>
      <w:r w:rsidRPr="00B61AD3">
        <w:rPr>
          <w:rFonts w:cs="Times New Roman"/>
          <w:szCs w:val="22"/>
        </w:rPr>
        <w:t xml:space="preserve"> </w:t>
      </w:r>
      <w:r w:rsidR="00420478" w:rsidRPr="00B61AD3">
        <w:rPr>
          <w:rFonts w:cs="Times New Roman"/>
          <w:szCs w:val="22"/>
        </w:rPr>
        <w:t>T</w:t>
      </w:r>
      <w:r w:rsidRPr="00B61AD3">
        <w:rPr>
          <w:rFonts w:cs="Times New Roman"/>
          <w:szCs w:val="22"/>
        </w:rPr>
        <w:t xml:space="preserve">he circumstances and conditions </w:t>
      </w:r>
      <w:r w:rsidR="00AC102D" w:rsidRPr="00B61AD3">
        <w:rPr>
          <w:rFonts w:cs="Times New Roman"/>
          <w:szCs w:val="22"/>
        </w:rPr>
        <w:t>in</w:t>
      </w:r>
      <w:r w:rsidRPr="00B61AD3">
        <w:rPr>
          <w:rFonts w:cs="Times New Roman"/>
          <w:szCs w:val="22"/>
        </w:rPr>
        <w:t xml:space="preserve"> which vaping goods may be lawfully imported</w:t>
      </w:r>
      <w:r w:rsidR="00303B57" w:rsidRPr="00B61AD3">
        <w:rPr>
          <w:rFonts w:cs="Times New Roman"/>
          <w:szCs w:val="22"/>
        </w:rPr>
        <w:t xml:space="preserve"> </w:t>
      </w:r>
      <w:r w:rsidR="00420478" w:rsidRPr="00B61AD3">
        <w:rPr>
          <w:rFonts w:cs="Times New Roman"/>
          <w:szCs w:val="22"/>
        </w:rPr>
        <w:t>and</w:t>
      </w:r>
      <w:r w:rsidRPr="00B61AD3">
        <w:rPr>
          <w:rFonts w:cs="Times New Roman"/>
          <w:szCs w:val="22"/>
        </w:rPr>
        <w:t xml:space="preserve"> supplied is complex. This detail is more appropriately dealt with in the </w:t>
      </w:r>
      <w:r w:rsidR="00153645">
        <w:rPr>
          <w:rFonts w:cs="Times New Roman"/>
          <w:szCs w:val="22"/>
        </w:rPr>
        <w:t>conditions of the</w:t>
      </w:r>
      <w:r w:rsidRPr="00B61AD3">
        <w:rPr>
          <w:rFonts w:cs="Times New Roman"/>
          <w:szCs w:val="22"/>
        </w:rPr>
        <w:t xml:space="preserve"> exemption for brevity and clarity;</w:t>
      </w:r>
    </w:p>
    <w:p w14:paraId="1BFAEA12" w14:textId="77777777" w:rsidR="00772041" w:rsidRPr="00B61AD3" w:rsidRDefault="00772041" w:rsidP="00772041">
      <w:pPr>
        <w:pStyle w:val="ListParagraph"/>
        <w:spacing w:line="240" w:lineRule="auto"/>
        <w:rPr>
          <w:rFonts w:cs="Times New Roman"/>
          <w:szCs w:val="22"/>
        </w:rPr>
      </w:pPr>
    </w:p>
    <w:p w14:paraId="03F26878" w14:textId="662A677A" w:rsidR="00772041" w:rsidRPr="00B61AD3" w:rsidRDefault="00772041" w:rsidP="00772041">
      <w:pPr>
        <w:pStyle w:val="ListParagraph"/>
        <w:numPr>
          <w:ilvl w:val="0"/>
          <w:numId w:val="28"/>
        </w:numPr>
        <w:spacing w:line="240" w:lineRule="auto"/>
        <w:rPr>
          <w:rFonts w:cs="Times New Roman"/>
          <w:szCs w:val="22"/>
        </w:rPr>
      </w:pPr>
      <w:r w:rsidRPr="00B61AD3">
        <w:rPr>
          <w:rFonts w:cs="Times New Roman"/>
          <w:szCs w:val="22"/>
        </w:rPr>
        <w:t>the vaping goods licit and illicit markets are dynamic</w:t>
      </w:r>
      <w:r w:rsidR="00420478" w:rsidRPr="00B61AD3">
        <w:rPr>
          <w:rFonts w:cs="Times New Roman"/>
          <w:szCs w:val="22"/>
        </w:rPr>
        <w:t>.</w:t>
      </w:r>
      <w:r w:rsidRPr="00B61AD3">
        <w:rPr>
          <w:rFonts w:cs="Times New Roman"/>
          <w:szCs w:val="22"/>
        </w:rPr>
        <w:t xml:space="preserve"> </w:t>
      </w:r>
      <w:r w:rsidR="00420478" w:rsidRPr="00B61AD3">
        <w:rPr>
          <w:rFonts w:cs="Times New Roman"/>
          <w:szCs w:val="22"/>
        </w:rPr>
        <w:t>T</w:t>
      </w:r>
      <w:r w:rsidRPr="00B61AD3">
        <w:rPr>
          <w:rFonts w:cs="Times New Roman"/>
          <w:szCs w:val="22"/>
        </w:rPr>
        <w:t xml:space="preserve">he regulation of vaping goods is complex, and the lawful and black-market supply of these goods is innovative. It is therefore necessary and appropriate for the conditions of exemption to be contained in regulations in accordance with the relevant head of power in </w:t>
      </w:r>
      <w:r w:rsidR="006E232B" w:rsidRPr="00B61AD3">
        <w:rPr>
          <w:rFonts w:cs="Times New Roman"/>
          <w:szCs w:val="22"/>
        </w:rPr>
        <w:t>sub</w:t>
      </w:r>
      <w:r w:rsidRPr="00B61AD3">
        <w:rPr>
          <w:rFonts w:cs="Times New Roman"/>
          <w:szCs w:val="22"/>
        </w:rPr>
        <w:t xml:space="preserve">section </w:t>
      </w:r>
      <w:r w:rsidR="006E232B" w:rsidRPr="00B61AD3">
        <w:rPr>
          <w:rFonts w:cs="Times New Roman"/>
          <w:szCs w:val="22"/>
        </w:rPr>
        <w:t>18(1)</w:t>
      </w:r>
      <w:r w:rsidRPr="00B61AD3">
        <w:rPr>
          <w:rFonts w:cs="Times New Roman"/>
          <w:szCs w:val="22"/>
        </w:rPr>
        <w:t xml:space="preserve"> of the Act. The use of regulations in this manner facilitates more timely regulatory change as the situation requires.</w:t>
      </w:r>
    </w:p>
    <w:p w14:paraId="059E725A" w14:textId="77777777" w:rsidR="00772041" w:rsidRPr="00B61AD3" w:rsidRDefault="00772041" w:rsidP="00772041">
      <w:pPr>
        <w:spacing w:line="240" w:lineRule="auto"/>
        <w:contextualSpacing/>
        <w:rPr>
          <w:rFonts w:cs="Times New Roman"/>
          <w:szCs w:val="22"/>
        </w:rPr>
      </w:pPr>
    </w:p>
    <w:p w14:paraId="2A95A75C" w14:textId="2BFF485A" w:rsidR="00772041" w:rsidRPr="00B61AD3" w:rsidRDefault="00772041" w:rsidP="00772041">
      <w:pPr>
        <w:spacing w:line="240" w:lineRule="auto"/>
        <w:contextualSpacing/>
        <w:rPr>
          <w:rFonts w:cs="Times New Roman"/>
          <w:szCs w:val="22"/>
        </w:rPr>
      </w:pPr>
      <w:r w:rsidRPr="00B61AD3">
        <w:rPr>
          <w:rFonts w:cs="Times New Roman"/>
          <w:szCs w:val="22"/>
        </w:rPr>
        <w:t xml:space="preserve">The </w:t>
      </w:r>
      <w:r w:rsidR="004244DF" w:rsidRPr="00B61AD3">
        <w:rPr>
          <w:rFonts w:cs="Times New Roman"/>
          <w:szCs w:val="22"/>
        </w:rPr>
        <w:t>TG</w:t>
      </w:r>
      <w:r w:rsidR="00B10356" w:rsidRPr="00B61AD3">
        <w:t> </w:t>
      </w:r>
      <w:r w:rsidRPr="00B61AD3">
        <w:rPr>
          <w:rFonts w:cs="Times New Roman"/>
          <w:szCs w:val="22"/>
        </w:rPr>
        <w:t>Regulations therefore provide an appropriate mechanism to enable conditions of exemption for the importation</w:t>
      </w:r>
      <w:r w:rsidR="00461206" w:rsidRPr="00B61AD3">
        <w:rPr>
          <w:rFonts w:cs="Times New Roman"/>
          <w:szCs w:val="22"/>
        </w:rPr>
        <w:t xml:space="preserve"> and</w:t>
      </w:r>
      <w:r w:rsidRPr="00B61AD3">
        <w:rPr>
          <w:rFonts w:cs="Times New Roman"/>
          <w:szCs w:val="22"/>
        </w:rPr>
        <w:t xml:space="preserve"> supply</w:t>
      </w:r>
      <w:r w:rsidR="00461206" w:rsidRPr="00B61AD3">
        <w:rPr>
          <w:rFonts w:cs="Times New Roman"/>
          <w:szCs w:val="22"/>
        </w:rPr>
        <w:t xml:space="preserve"> </w:t>
      </w:r>
      <w:r w:rsidRPr="00B61AD3">
        <w:rPr>
          <w:rFonts w:cs="Times New Roman"/>
          <w:szCs w:val="22"/>
        </w:rPr>
        <w:t xml:space="preserve">of legitimate </w:t>
      </w:r>
      <w:r w:rsidR="00A91271" w:rsidRPr="00B61AD3">
        <w:rPr>
          <w:rFonts w:cs="Times New Roman"/>
          <w:szCs w:val="22"/>
        </w:rPr>
        <w:t xml:space="preserve">therapeutic </w:t>
      </w:r>
      <w:r w:rsidRPr="00B61AD3">
        <w:rPr>
          <w:rFonts w:cs="Times New Roman"/>
          <w:szCs w:val="22"/>
        </w:rPr>
        <w:t xml:space="preserve">vaping </w:t>
      </w:r>
      <w:r w:rsidR="00FA7AD7" w:rsidRPr="00B61AD3">
        <w:rPr>
          <w:rFonts w:cs="Times New Roman"/>
          <w:szCs w:val="22"/>
        </w:rPr>
        <w:t>goods</w:t>
      </w:r>
      <w:r w:rsidRPr="00B61AD3">
        <w:rPr>
          <w:rFonts w:cs="Times New Roman"/>
          <w:szCs w:val="22"/>
        </w:rPr>
        <w:t>.</w:t>
      </w:r>
    </w:p>
    <w:p w14:paraId="4A4244E5" w14:textId="77777777" w:rsidR="00772041" w:rsidRPr="00B61AD3" w:rsidRDefault="00772041" w:rsidP="00772041">
      <w:pPr>
        <w:spacing w:line="240" w:lineRule="auto"/>
        <w:contextualSpacing/>
        <w:rPr>
          <w:rFonts w:cs="Times New Roman"/>
          <w:szCs w:val="22"/>
        </w:rPr>
      </w:pPr>
    </w:p>
    <w:p w14:paraId="6B59E22D" w14:textId="3088D681" w:rsidR="00772041" w:rsidRPr="00B61AD3" w:rsidRDefault="005A3CF1" w:rsidP="00772041">
      <w:pPr>
        <w:spacing w:line="240" w:lineRule="auto"/>
        <w:contextualSpacing/>
        <w:rPr>
          <w:rFonts w:cs="Times New Roman"/>
          <w:i/>
          <w:iCs/>
          <w:szCs w:val="22"/>
        </w:rPr>
      </w:pPr>
      <w:r w:rsidRPr="00B61AD3">
        <w:rPr>
          <w:rFonts w:cs="Times New Roman"/>
          <w:i/>
          <w:iCs/>
          <w:szCs w:val="22"/>
        </w:rPr>
        <w:t>O</w:t>
      </w:r>
      <w:r w:rsidR="00772041" w:rsidRPr="00B61AD3">
        <w:rPr>
          <w:rFonts w:cs="Times New Roman"/>
          <w:i/>
          <w:iCs/>
          <w:szCs w:val="22"/>
        </w:rPr>
        <w:t>ffence and civil penalties</w:t>
      </w:r>
    </w:p>
    <w:p w14:paraId="7246C225" w14:textId="77777777" w:rsidR="00772041" w:rsidRPr="00B61AD3" w:rsidRDefault="00772041" w:rsidP="00772041">
      <w:pPr>
        <w:spacing w:line="240" w:lineRule="auto"/>
        <w:contextualSpacing/>
        <w:rPr>
          <w:rFonts w:cs="Times New Roman"/>
          <w:i/>
          <w:iCs/>
          <w:szCs w:val="22"/>
        </w:rPr>
      </w:pPr>
    </w:p>
    <w:p w14:paraId="1F92F191" w14:textId="64BDD2C0" w:rsidR="00772041" w:rsidRPr="00B61AD3" w:rsidRDefault="00772041" w:rsidP="00772041">
      <w:pPr>
        <w:spacing w:line="259" w:lineRule="auto"/>
        <w:rPr>
          <w:lang w:val="en-GB"/>
        </w:rPr>
      </w:pPr>
      <w:r w:rsidRPr="00B61AD3">
        <w:rPr>
          <w:lang w:val="en-GB"/>
        </w:rPr>
        <w:t xml:space="preserve">The Act </w:t>
      </w:r>
      <w:r w:rsidR="00E750DB" w:rsidRPr="00B61AD3">
        <w:rPr>
          <w:lang w:val="en-GB"/>
        </w:rPr>
        <w:t>contains</w:t>
      </w:r>
      <w:r w:rsidRPr="00B61AD3">
        <w:rPr>
          <w:lang w:val="en-GB"/>
        </w:rPr>
        <w:t xml:space="preserve"> </w:t>
      </w:r>
      <w:r w:rsidR="00E750DB" w:rsidRPr="00B61AD3">
        <w:rPr>
          <w:lang w:val="en-GB"/>
        </w:rPr>
        <w:t>tiered offences and a civil penalty provision in relation to an act or omission that breaches a condition of exemption applicable under regulations made for the purposes of subsection 18(1) of the Act</w:t>
      </w:r>
      <w:r w:rsidRPr="00B61AD3">
        <w:rPr>
          <w:lang w:val="en-GB"/>
        </w:rPr>
        <w:t>.</w:t>
      </w:r>
    </w:p>
    <w:p w14:paraId="6349FF58" w14:textId="77777777" w:rsidR="00772041" w:rsidRPr="00B61AD3" w:rsidRDefault="00772041" w:rsidP="00772041">
      <w:pPr>
        <w:rPr>
          <w:lang w:val="en-GB"/>
        </w:rPr>
      </w:pPr>
    </w:p>
    <w:p w14:paraId="28D5D199" w14:textId="2CE1D595" w:rsidR="00772041" w:rsidRPr="00B61AD3" w:rsidRDefault="006E232B" w:rsidP="00772041">
      <w:pPr>
        <w:spacing w:line="259" w:lineRule="auto"/>
        <w:rPr>
          <w:lang w:val="en-GB"/>
        </w:rPr>
      </w:pPr>
      <w:r w:rsidRPr="00B61AD3">
        <w:rPr>
          <w:rFonts w:cs="Times New Roman"/>
          <w:szCs w:val="22"/>
        </w:rPr>
        <w:t xml:space="preserve">Item 15 of </w:t>
      </w:r>
      <w:r w:rsidR="000A7FC4" w:rsidRPr="00B61AD3">
        <w:rPr>
          <w:rFonts w:cs="Times New Roman"/>
          <w:szCs w:val="22"/>
        </w:rPr>
        <w:t xml:space="preserve">the table in </w:t>
      </w:r>
      <w:r w:rsidRPr="00B61AD3">
        <w:rPr>
          <w:rFonts w:cs="Times New Roman"/>
          <w:szCs w:val="22"/>
        </w:rPr>
        <w:t>Schedule 5A to the TG</w:t>
      </w:r>
      <w:r w:rsidR="00B10356" w:rsidRPr="00B61AD3">
        <w:t> </w:t>
      </w:r>
      <w:r w:rsidRPr="00B61AD3">
        <w:rPr>
          <w:rFonts w:cs="Times New Roman"/>
          <w:szCs w:val="22"/>
        </w:rPr>
        <w:t>Regulations</w:t>
      </w:r>
      <w:r w:rsidR="00772041" w:rsidRPr="00B61AD3">
        <w:rPr>
          <w:lang w:val="en-GB"/>
        </w:rPr>
        <w:t xml:space="preserve"> is made under </w:t>
      </w:r>
      <w:r w:rsidRPr="00B61AD3">
        <w:rPr>
          <w:lang w:val="en-GB"/>
        </w:rPr>
        <w:t>sub</w:t>
      </w:r>
      <w:r w:rsidR="00772041" w:rsidRPr="00B61AD3">
        <w:rPr>
          <w:lang w:val="en-GB"/>
        </w:rPr>
        <w:t xml:space="preserve">section </w:t>
      </w:r>
      <w:r w:rsidRPr="00B61AD3">
        <w:rPr>
          <w:lang w:val="en-GB"/>
        </w:rPr>
        <w:t>18(1)</w:t>
      </w:r>
      <w:r w:rsidR="00772041" w:rsidRPr="00B61AD3">
        <w:rPr>
          <w:lang w:val="en-GB"/>
        </w:rPr>
        <w:t xml:space="preserve"> of the Act. Therefore, an act or omission which breaches a condition in column 3 of item </w:t>
      </w:r>
      <w:r w:rsidR="00BB543C" w:rsidRPr="00B61AD3">
        <w:rPr>
          <w:lang w:val="en-GB"/>
        </w:rPr>
        <w:t>15</w:t>
      </w:r>
      <w:r w:rsidR="00772041" w:rsidRPr="00B61AD3">
        <w:rPr>
          <w:lang w:val="en-GB"/>
        </w:rPr>
        <w:t xml:space="preserve"> may be:</w:t>
      </w:r>
    </w:p>
    <w:p w14:paraId="2DD6B360" w14:textId="77777777" w:rsidR="00772041" w:rsidRPr="00B61AD3" w:rsidRDefault="00772041" w:rsidP="00772041">
      <w:pPr>
        <w:rPr>
          <w:lang w:val="en-GB"/>
        </w:rPr>
      </w:pPr>
    </w:p>
    <w:p w14:paraId="5AB938EC" w14:textId="77777777" w:rsidR="00E750DB" w:rsidRPr="00B61AD3" w:rsidRDefault="00E750DB" w:rsidP="00E750DB">
      <w:pPr>
        <w:pStyle w:val="ListParagraph"/>
        <w:numPr>
          <w:ilvl w:val="0"/>
          <w:numId w:val="28"/>
        </w:numPr>
        <w:spacing w:line="240" w:lineRule="auto"/>
        <w:rPr>
          <w:rFonts w:cs="Times New Roman"/>
          <w:szCs w:val="22"/>
        </w:rPr>
      </w:pPr>
      <w:r w:rsidRPr="00B61AD3">
        <w:rPr>
          <w:rFonts w:cs="Times New Roman"/>
          <w:szCs w:val="22"/>
        </w:rPr>
        <w:t>a fault-based offence under subsection 22(6), in circumstances where an aggravating factor applies. The maximum penalty for this aggravated offence is imprisonment for 5 years or 4,000 penalty units, or both;</w:t>
      </w:r>
    </w:p>
    <w:p w14:paraId="0EC9A23C" w14:textId="77777777" w:rsidR="00E750DB" w:rsidRPr="00B61AD3" w:rsidRDefault="00E750DB" w:rsidP="00E750DB">
      <w:pPr>
        <w:spacing w:line="240" w:lineRule="auto"/>
        <w:rPr>
          <w:rFonts w:cs="Times New Roman"/>
          <w:szCs w:val="22"/>
        </w:rPr>
      </w:pPr>
    </w:p>
    <w:p w14:paraId="68618BDF" w14:textId="77777777" w:rsidR="00E750DB" w:rsidRPr="00B61AD3" w:rsidRDefault="00E750DB" w:rsidP="00E750DB">
      <w:pPr>
        <w:pStyle w:val="ListParagraph"/>
        <w:numPr>
          <w:ilvl w:val="0"/>
          <w:numId w:val="28"/>
        </w:numPr>
        <w:spacing w:line="240" w:lineRule="auto"/>
        <w:rPr>
          <w:rFonts w:cs="Times New Roman"/>
          <w:szCs w:val="22"/>
        </w:rPr>
      </w:pPr>
      <w:r w:rsidRPr="00B61AD3">
        <w:rPr>
          <w:rFonts w:cs="Times New Roman"/>
          <w:szCs w:val="22"/>
        </w:rPr>
        <w:t>a fault-based offence under subsection 22(7), which does not include an aggravating factor. The maximum penalty for this offence is imprisonment for 12 months or 1,000 penalty units, or both;</w:t>
      </w:r>
    </w:p>
    <w:p w14:paraId="013FCD12" w14:textId="77777777" w:rsidR="00E750DB" w:rsidRPr="00B61AD3" w:rsidRDefault="00E750DB" w:rsidP="00E750DB">
      <w:pPr>
        <w:spacing w:line="240" w:lineRule="auto"/>
        <w:rPr>
          <w:rFonts w:cs="Times New Roman"/>
          <w:szCs w:val="22"/>
        </w:rPr>
      </w:pPr>
    </w:p>
    <w:p w14:paraId="07AAE3F7" w14:textId="77777777" w:rsidR="00E750DB" w:rsidRPr="00B61AD3" w:rsidRDefault="00E750DB" w:rsidP="00E750DB">
      <w:pPr>
        <w:pStyle w:val="ListParagraph"/>
        <w:numPr>
          <w:ilvl w:val="0"/>
          <w:numId w:val="28"/>
        </w:numPr>
        <w:spacing w:line="240" w:lineRule="auto"/>
        <w:rPr>
          <w:rFonts w:cs="Times New Roman"/>
          <w:szCs w:val="22"/>
        </w:rPr>
      </w:pPr>
      <w:r w:rsidRPr="00B61AD3">
        <w:rPr>
          <w:rFonts w:cs="Times New Roman"/>
          <w:szCs w:val="22"/>
        </w:rPr>
        <w:t>a strict liability offence under subsection 22(7AA). The maximum penalty for this offence is 100 penalty units;</w:t>
      </w:r>
    </w:p>
    <w:p w14:paraId="41F82597" w14:textId="77777777" w:rsidR="00E750DB" w:rsidRPr="00B61AD3" w:rsidRDefault="00E750DB" w:rsidP="00E750DB">
      <w:pPr>
        <w:spacing w:line="240" w:lineRule="auto"/>
        <w:rPr>
          <w:rFonts w:cs="Times New Roman"/>
          <w:szCs w:val="22"/>
        </w:rPr>
      </w:pPr>
    </w:p>
    <w:p w14:paraId="67C6F34C" w14:textId="77777777" w:rsidR="00E750DB" w:rsidRPr="00B61AD3" w:rsidRDefault="00E750DB" w:rsidP="00E750DB">
      <w:pPr>
        <w:pStyle w:val="ListParagraph"/>
        <w:numPr>
          <w:ilvl w:val="0"/>
          <w:numId w:val="28"/>
        </w:numPr>
        <w:spacing w:line="240" w:lineRule="auto"/>
        <w:rPr>
          <w:rFonts w:cs="Times New Roman"/>
          <w:szCs w:val="22"/>
        </w:rPr>
      </w:pPr>
      <w:r w:rsidRPr="00B61AD3">
        <w:rPr>
          <w:rFonts w:cs="Times New Roman"/>
          <w:szCs w:val="22"/>
        </w:rPr>
        <w:t>a contravention of the civil penalty provision in subsection 22AA(2). The maximum civil penalty is 5,000 penalty units for an individual and 50,000 penalty units for a body corporate.</w:t>
      </w:r>
    </w:p>
    <w:p w14:paraId="62C4CB2D" w14:textId="77777777" w:rsidR="00772041" w:rsidRPr="00B61AD3" w:rsidRDefault="00772041" w:rsidP="00772041">
      <w:pPr>
        <w:spacing w:line="240" w:lineRule="auto"/>
        <w:contextualSpacing/>
        <w:rPr>
          <w:rFonts w:cs="Times New Roman"/>
          <w:szCs w:val="22"/>
        </w:rPr>
      </w:pPr>
    </w:p>
    <w:p w14:paraId="7D3CA439" w14:textId="34D128AF" w:rsidR="00946436" w:rsidRPr="00B61AD3" w:rsidRDefault="00772041" w:rsidP="00772041">
      <w:pPr>
        <w:spacing w:line="259" w:lineRule="auto"/>
        <w:rPr>
          <w:lang w:val="en-GB"/>
        </w:rPr>
      </w:pPr>
      <w:r w:rsidRPr="00B61AD3">
        <w:rPr>
          <w:lang w:val="en-GB"/>
        </w:rPr>
        <w:lastRenderedPageBreak/>
        <w:t xml:space="preserve">Each of the conditions </w:t>
      </w:r>
      <w:r w:rsidR="00946436" w:rsidRPr="00B61AD3">
        <w:rPr>
          <w:lang w:val="en-GB"/>
        </w:rPr>
        <w:t xml:space="preserve">specified </w:t>
      </w:r>
      <w:r w:rsidRPr="00B61AD3">
        <w:rPr>
          <w:lang w:val="en-GB"/>
        </w:rPr>
        <w:t xml:space="preserve">in </w:t>
      </w:r>
      <w:r w:rsidR="000779E3" w:rsidRPr="00B61AD3">
        <w:rPr>
          <w:rFonts w:cs="Times New Roman"/>
          <w:szCs w:val="22"/>
        </w:rPr>
        <w:t xml:space="preserve">item 15 of </w:t>
      </w:r>
      <w:r w:rsidR="009456F9" w:rsidRPr="00B61AD3">
        <w:rPr>
          <w:rFonts w:cs="Times New Roman"/>
          <w:szCs w:val="22"/>
        </w:rPr>
        <w:t xml:space="preserve">the table in </w:t>
      </w:r>
      <w:r w:rsidR="000779E3" w:rsidRPr="00B61AD3">
        <w:rPr>
          <w:rFonts w:cs="Times New Roman"/>
          <w:szCs w:val="22"/>
        </w:rPr>
        <w:t>Schedule 5A to the TG</w:t>
      </w:r>
      <w:r w:rsidR="004B73FB" w:rsidRPr="00B61AD3">
        <w:t> </w:t>
      </w:r>
      <w:r w:rsidR="000779E3" w:rsidRPr="00B61AD3">
        <w:rPr>
          <w:rFonts w:cs="Times New Roman"/>
          <w:szCs w:val="22"/>
        </w:rPr>
        <w:t>Regulations</w:t>
      </w:r>
      <w:r w:rsidRPr="00B61AD3">
        <w:rPr>
          <w:lang w:val="en-GB"/>
        </w:rPr>
        <w:t xml:space="preserve">, including the conditions introduced </w:t>
      </w:r>
      <w:r w:rsidR="00E750DB" w:rsidRPr="00B61AD3">
        <w:rPr>
          <w:lang w:val="en-GB"/>
        </w:rPr>
        <w:t>or amended</w:t>
      </w:r>
      <w:r w:rsidR="00946436" w:rsidRPr="00B61AD3">
        <w:rPr>
          <w:lang w:val="en-GB"/>
        </w:rPr>
        <w:t xml:space="preserve"> by an item</w:t>
      </w:r>
      <w:r w:rsidR="00E750DB" w:rsidRPr="00B61AD3">
        <w:rPr>
          <w:lang w:val="en-GB"/>
        </w:rPr>
        <w:t xml:space="preserve"> </w:t>
      </w:r>
      <w:r w:rsidR="00153645">
        <w:rPr>
          <w:lang w:val="en-GB"/>
        </w:rPr>
        <w:t xml:space="preserve">mentioned </w:t>
      </w:r>
      <w:r w:rsidRPr="00B61AD3">
        <w:rPr>
          <w:lang w:val="en-GB"/>
        </w:rPr>
        <w:t xml:space="preserve">below, focuses on the conduct of the sponsor, who has voluntarily submitted themselves to the notified therapeutic vaping goods scheme by submitting a sponsor notice under </w:t>
      </w:r>
      <w:r w:rsidR="00FC0BEF" w:rsidRPr="00B61AD3">
        <w:rPr>
          <w:lang w:val="en-GB"/>
        </w:rPr>
        <w:t>paragraph (e) of column 2 of item 15</w:t>
      </w:r>
      <w:r w:rsidRPr="00B61AD3">
        <w:rPr>
          <w:lang w:val="en-GB"/>
        </w:rPr>
        <w:t>.</w:t>
      </w:r>
    </w:p>
    <w:p w14:paraId="54C065C3" w14:textId="77777777" w:rsidR="00946436" w:rsidRPr="00B61AD3" w:rsidRDefault="00946436" w:rsidP="00772041">
      <w:pPr>
        <w:spacing w:line="259" w:lineRule="auto"/>
        <w:rPr>
          <w:lang w:val="en-GB"/>
        </w:rPr>
      </w:pPr>
    </w:p>
    <w:p w14:paraId="32B35EC1" w14:textId="7F7D32B9" w:rsidR="00772041" w:rsidRPr="00B61AD3" w:rsidRDefault="00772041" w:rsidP="00772041">
      <w:pPr>
        <w:spacing w:line="259" w:lineRule="auto"/>
        <w:rPr>
          <w:lang w:val="en-GB"/>
        </w:rPr>
      </w:pPr>
      <w:r w:rsidRPr="00B61AD3">
        <w:rPr>
          <w:lang w:val="en-GB"/>
        </w:rPr>
        <w:t>Therefore, the sponsor has chosen to voluntarily subject themselves to applicable conditions of exemption, where non-compliance with a condition may be an offence or civil penalty contravention. By participating in the scheme, and complying with applicable conditions, a sponsor is permitted to lawfully possess and supply the relevant notified therapeutic vaping goods in Australia, as part of a regulated market.</w:t>
      </w:r>
    </w:p>
    <w:p w14:paraId="2646F10D" w14:textId="77777777" w:rsidR="00772041" w:rsidRPr="00B61AD3" w:rsidRDefault="00772041" w:rsidP="00772041">
      <w:pPr>
        <w:rPr>
          <w:lang w:val="en-GB"/>
        </w:rPr>
      </w:pPr>
    </w:p>
    <w:p w14:paraId="0A9A3886" w14:textId="77777777" w:rsidR="00772041" w:rsidRPr="00B61AD3" w:rsidRDefault="00772041" w:rsidP="00772041">
      <w:pPr>
        <w:spacing w:line="259" w:lineRule="auto"/>
        <w:rPr>
          <w:lang w:val="en-GB"/>
        </w:rPr>
      </w:pPr>
      <w:r w:rsidRPr="00B61AD3">
        <w:rPr>
          <w:lang w:val="en-GB"/>
        </w:rPr>
        <w:t>The scheme places trust in regulated entities to make truthful and accurate statements as to the quality and safety of relevant notified therapeutic vaping goods, and to comply with all applicable conditions of exemption until the sponsor notice has been withdrawn, or the goods are subject of a determination by the Secretary that supply of the goods be stopped or should cease.</w:t>
      </w:r>
    </w:p>
    <w:p w14:paraId="59771404" w14:textId="77777777" w:rsidR="00772041" w:rsidRPr="00B61AD3" w:rsidRDefault="00772041" w:rsidP="00772041">
      <w:pPr>
        <w:rPr>
          <w:lang w:val="en-GB"/>
        </w:rPr>
      </w:pPr>
    </w:p>
    <w:p w14:paraId="4847C527" w14:textId="6B286191" w:rsidR="00772041" w:rsidRPr="00B61AD3" w:rsidRDefault="00772041" w:rsidP="00772041">
      <w:pPr>
        <w:spacing w:line="259" w:lineRule="auto"/>
        <w:rPr>
          <w:lang w:val="en-GB"/>
        </w:rPr>
      </w:pPr>
      <w:r w:rsidRPr="00B61AD3">
        <w:rPr>
          <w:lang w:val="en-GB"/>
        </w:rPr>
        <w:t>There is no statutory process for the TGA to assess, approve or reject notifications when those notifications are made. Therefore, conditions—on pain of potential penalty for non-compliance—are critical to ensure ongoing patient and community safety, and patient, regulator and industry confidence in the scheme.</w:t>
      </w:r>
    </w:p>
    <w:p w14:paraId="046351FF" w14:textId="77777777" w:rsidR="00772041" w:rsidRPr="00B61AD3" w:rsidRDefault="00772041" w:rsidP="00772041">
      <w:pPr>
        <w:rPr>
          <w:lang w:val="en-GB"/>
        </w:rPr>
      </w:pPr>
    </w:p>
    <w:p w14:paraId="714D5B88" w14:textId="238A09ED" w:rsidR="00772041" w:rsidRPr="00B61AD3" w:rsidRDefault="00772041" w:rsidP="00772041">
      <w:pPr>
        <w:spacing w:line="259" w:lineRule="auto"/>
        <w:rPr>
          <w:lang w:val="en-GB"/>
        </w:rPr>
      </w:pPr>
      <w:r w:rsidRPr="00B61AD3">
        <w:rPr>
          <w:lang w:val="en-GB"/>
        </w:rPr>
        <w:t xml:space="preserve">For example, </w:t>
      </w:r>
      <w:r w:rsidR="002C182F" w:rsidRPr="00B61AD3">
        <w:rPr>
          <w:lang w:val="en-GB"/>
        </w:rPr>
        <w:t xml:space="preserve">item 13 </w:t>
      </w:r>
      <w:r w:rsidR="00153645">
        <w:rPr>
          <w:lang w:val="en-GB"/>
        </w:rPr>
        <w:t xml:space="preserve">mentioned </w:t>
      </w:r>
      <w:r w:rsidR="00354C1F" w:rsidRPr="00B61AD3">
        <w:rPr>
          <w:lang w:val="en-GB"/>
        </w:rPr>
        <w:t>below</w:t>
      </w:r>
      <w:r w:rsidR="002C182F" w:rsidRPr="00B61AD3">
        <w:rPr>
          <w:lang w:val="en-GB"/>
        </w:rPr>
        <w:t xml:space="preserve"> (among other things) </w:t>
      </w:r>
      <w:r w:rsidR="00C6639C" w:rsidRPr="00B61AD3">
        <w:rPr>
          <w:lang w:val="en-GB"/>
        </w:rPr>
        <w:t xml:space="preserve">clarifies </w:t>
      </w:r>
      <w:r w:rsidRPr="00B61AD3">
        <w:rPr>
          <w:lang w:val="en-GB"/>
        </w:rPr>
        <w:t xml:space="preserve">that a sponsor must ensure that their notified therapeutic </w:t>
      </w:r>
      <w:r w:rsidR="008A25F1" w:rsidRPr="00B61AD3">
        <w:rPr>
          <w:rFonts w:cs="Times New Roman"/>
          <w:szCs w:val="22"/>
        </w:rPr>
        <w:t>vaping substances, therapeutic vaping substance accessories, therapeutic vaping kits or goods in a therapeutic vaping pack</w:t>
      </w:r>
      <w:r w:rsidR="008A25F1" w:rsidRPr="00B61AD3">
        <w:rPr>
          <w:lang w:val="en-GB"/>
        </w:rPr>
        <w:t xml:space="preserve"> </w:t>
      </w:r>
      <w:r w:rsidR="00946436" w:rsidRPr="00B61AD3">
        <w:rPr>
          <w:lang w:val="en-GB"/>
        </w:rPr>
        <w:t>conform</w:t>
      </w:r>
      <w:r w:rsidRPr="00B61AD3">
        <w:rPr>
          <w:lang w:val="en-GB"/>
        </w:rPr>
        <w:t xml:space="preserve"> with </w:t>
      </w:r>
      <w:r w:rsidR="00AC102D" w:rsidRPr="00B61AD3">
        <w:rPr>
          <w:lang w:val="en-GB"/>
        </w:rPr>
        <w:t>applicable product standards</w:t>
      </w:r>
      <w:r w:rsidR="0085297B">
        <w:rPr>
          <w:lang w:val="en-GB"/>
        </w:rPr>
        <w:t xml:space="preserve"> (unless imported or supplied </w:t>
      </w:r>
      <w:r w:rsidR="0085297B" w:rsidRPr="00B61AD3">
        <w:rPr>
          <w:rFonts w:cs="Times New Roman"/>
          <w:szCs w:val="22"/>
        </w:rPr>
        <w:t xml:space="preserve">with the consent of the Secretary under section </w:t>
      </w:r>
      <w:r w:rsidR="0085297B">
        <w:rPr>
          <w:rFonts w:cs="Times New Roman"/>
          <w:szCs w:val="22"/>
        </w:rPr>
        <w:t>14 or 14A</w:t>
      </w:r>
      <w:r w:rsidR="0085297B" w:rsidRPr="00B61AD3">
        <w:rPr>
          <w:rFonts w:cs="Times New Roman"/>
          <w:szCs w:val="22"/>
        </w:rPr>
        <w:t xml:space="preserve"> of the Act</w:t>
      </w:r>
      <w:r w:rsidR="0085297B">
        <w:rPr>
          <w:rFonts w:cs="Times New Roman"/>
          <w:szCs w:val="22"/>
        </w:rPr>
        <w:t>)</w:t>
      </w:r>
      <w:r w:rsidRPr="00B61AD3">
        <w:rPr>
          <w:lang w:val="en-GB"/>
        </w:rPr>
        <w:t xml:space="preserve">, even where those </w:t>
      </w:r>
      <w:r w:rsidR="00AC102D" w:rsidRPr="00B61AD3">
        <w:rPr>
          <w:lang w:val="en-GB"/>
        </w:rPr>
        <w:t>standards</w:t>
      </w:r>
      <w:r w:rsidRPr="00B61AD3">
        <w:rPr>
          <w:lang w:val="en-GB"/>
        </w:rPr>
        <w:t xml:space="preserve"> change from time to time. Changes to standards</w:t>
      </w:r>
      <w:r w:rsidR="00AC102D" w:rsidRPr="00B61AD3">
        <w:rPr>
          <w:lang w:val="en-GB"/>
        </w:rPr>
        <w:t xml:space="preserve"> </w:t>
      </w:r>
      <w:r w:rsidRPr="00B61AD3">
        <w:rPr>
          <w:lang w:val="en-GB"/>
        </w:rPr>
        <w:t>are an important regulatory mechanism by which the TGA can respond to new and emerging public health concerns, such as innovation in the vaping industry and improved scientific understanding of the effect of certain ingredients in vaping substances.</w:t>
      </w:r>
    </w:p>
    <w:p w14:paraId="3FBD5D94" w14:textId="77777777" w:rsidR="00772041" w:rsidRPr="00B61AD3" w:rsidRDefault="00772041" w:rsidP="00772041">
      <w:pPr>
        <w:rPr>
          <w:lang w:val="en-GB"/>
        </w:rPr>
      </w:pPr>
    </w:p>
    <w:p w14:paraId="5EBBC344" w14:textId="2E5B39CF" w:rsidR="00772041" w:rsidRPr="00B61AD3" w:rsidRDefault="00772041" w:rsidP="00772041">
      <w:pPr>
        <w:spacing w:line="259" w:lineRule="auto"/>
        <w:rPr>
          <w:lang w:val="en-GB"/>
        </w:rPr>
      </w:pPr>
      <w:r w:rsidRPr="00B61AD3">
        <w:rPr>
          <w:lang w:val="en-GB"/>
        </w:rPr>
        <w:t xml:space="preserve">Except in an urgent public health crisis or similarly extraordinary circumstance, an update to </w:t>
      </w:r>
      <w:r w:rsidR="00AC102D" w:rsidRPr="00B61AD3">
        <w:rPr>
          <w:lang w:val="en-GB"/>
        </w:rPr>
        <w:t xml:space="preserve">a product standard </w:t>
      </w:r>
      <w:r w:rsidRPr="00B61AD3">
        <w:rPr>
          <w:lang w:val="en-GB"/>
        </w:rPr>
        <w:t xml:space="preserve">will </w:t>
      </w:r>
      <w:r w:rsidR="0085297B">
        <w:rPr>
          <w:lang w:val="en-GB"/>
        </w:rPr>
        <w:t xml:space="preserve">generally </w:t>
      </w:r>
      <w:r w:rsidRPr="00B61AD3">
        <w:rPr>
          <w:lang w:val="en-GB"/>
        </w:rPr>
        <w:t>provide for a delayed commencement or transitional period, to give sponsors time to bring their therapeutic vaping goods into compliance or, if they are unable to do so, to withdraw their sponsor notice and therefore no longer be subject to the conditions of exemption.</w:t>
      </w:r>
    </w:p>
    <w:p w14:paraId="643EF300" w14:textId="77777777" w:rsidR="00772041" w:rsidRPr="00B61AD3" w:rsidRDefault="00772041" w:rsidP="00772041">
      <w:pPr>
        <w:rPr>
          <w:lang w:val="en-GB"/>
        </w:rPr>
      </w:pPr>
    </w:p>
    <w:p w14:paraId="5DFD2509" w14:textId="47EBE6E7" w:rsidR="00772041" w:rsidRPr="00B61AD3" w:rsidRDefault="00772041" w:rsidP="00772041">
      <w:pPr>
        <w:spacing w:line="259" w:lineRule="auto"/>
        <w:rPr>
          <w:lang w:val="en-GB"/>
        </w:rPr>
      </w:pPr>
      <w:r w:rsidRPr="00B61AD3">
        <w:rPr>
          <w:lang w:val="en-GB"/>
        </w:rPr>
        <w:t xml:space="preserve">Ensuring compliance with updated </w:t>
      </w:r>
      <w:r w:rsidR="00AC102D" w:rsidRPr="00B61AD3">
        <w:rPr>
          <w:lang w:val="en-GB"/>
        </w:rPr>
        <w:t>standards</w:t>
      </w:r>
      <w:r w:rsidRPr="00B61AD3">
        <w:rPr>
          <w:lang w:val="en-GB"/>
        </w:rPr>
        <w:t xml:space="preserve"> and the other conditions of exemption is critical to avoid potentially significant public harm from the supply of unsafe, unapproved therapeutic vaping goods to patients. Tiered offences and a civil penalty contravention is an appropriate mechanism to promote compliance and have the desired deterrent effect.</w:t>
      </w:r>
    </w:p>
    <w:p w14:paraId="5382A289" w14:textId="77777777" w:rsidR="00772041" w:rsidRPr="00B61AD3" w:rsidRDefault="00772041" w:rsidP="00772041">
      <w:pPr>
        <w:rPr>
          <w:lang w:val="en-GB"/>
        </w:rPr>
      </w:pPr>
    </w:p>
    <w:p w14:paraId="55A23A8F" w14:textId="77777777" w:rsidR="00772041" w:rsidRPr="00B61AD3" w:rsidRDefault="00772041" w:rsidP="00772041">
      <w:pPr>
        <w:spacing w:line="259" w:lineRule="auto"/>
        <w:rPr>
          <w:lang w:val="en-GB"/>
        </w:rPr>
      </w:pPr>
      <w:r w:rsidRPr="00B61AD3">
        <w:rPr>
          <w:lang w:val="en-US"/>
        </w:rPr>
        <w:t>To provide effective deterrence against non-compliance by sponsors, the penalties for individuals and bodies corporate as outlined above are significant. These high penalties are commensurate to the public health risks associated with the inappropriate use of vaping goods.</w:t>
      </w:r>
    </w:p>
    <w:p w14:paraId="4BAD6327" w14:textId="77777777" w:rsidR="00772041" w:rsidRPr="00B61AD3" w:rsidRDefault="00772041" w:rsidP="00772041">
      <w:pPr>
        <w:rPr>
          <w:lang w:val="en-GB"/>
        </w:rPr>
      </w:pPr>
    </w:p>
    <w:p w14:paraId="55C1BBE3" w14:textId="276277C9" w:rsidR="00772041" w:rsidRPr="00B61AD3" w:rsidRDefault="00772041" w:rsidP="00772041">
      <w:pPr>
        <w:spacing w:line="259" w:lineRule="auto"/>
        <w:rPr>
          <w:lang w:val="en-GB"/>
        </w:rPr>
      </w:pPr>
      <w:r w:rsidRPr="00B61AD3">
        <w:rPr>
          <w:lang w:val="en-GB"/>
        </w:rPr>
        <w:t>Offences and civil penalties, and the maximum penalties in relation to each, for breach of a condition for th</w:t>
      </w:r>
      <w:r w:rsidR="00397353" w:rsidRPr="00B61AD3">
        <w:rPr>
          <w:lang w:val="en-GB"/>
        </w:rPr>
        <w:t>is</w:t>
      </w:r>
      <w:r w:rsidRPr="00B61AD3">
        <w:rPr>
          <w:lang w:val="en-GB"/>
        </w:rPr>
        <w:t xml:space="preserve"> notified vaping goods exemption </w:t>
      </w:r>
      <w:r w:rsidR="00397353" w:rsidRPr="00B61AD3">
        <w:rPr>
          <w:lang w:val="en-GB"/>
        </w:rPr>
        <w:t>are</w:t>
      </w:r>
      <w:r w:rsidRPr="00B61AD3">
        <w:rPr>
          <w:lang w:val="en-GB"/>
        </w:rPr>
        <w:t xml:space="preserve"> also equivalent to breach of a condition of registration</w:t>
      </w:r>
      <w:r w:rsidR="00397353" w:rsidRPr="00B61AD3">
        <w:rPr>
          <w:lang w:val="en-GB"/>
        </w:rPr>
        <w:t xml:space="preserve"> or</w:t>
      </w:r>
      <w:r w:rsidRPr="00B61AD3">
        <w:rPr>
          <w:lang w:val="en-GB"/>
        </w:rPr>
        <w:t xml:space="preserve"> listing of therapeutic goods in the Register. For example, the offences in subsections </w:t>
      </w:r>
      <w:r w:rsidR="001113D0" w:rsidRPr="00B61AD3">
        <w:rPr>
          <w:lang w:val="en-GB"/>
        </w:rPr>
        <w:t>21A(5)</w:t>
      </w:r>
      <w:r w:rsidRPr="00B61AD3">
        <w:rPr>
          <w:lang w:val="en-GB"/>
        </w:rPr>
        <w:t>, (</w:t>
      </w:r>
      <w:r w:rsidR="001113D0" w:rsidRPr="00B61AD3">
        <w:rPr>
          <w:lang w:val="en-GB"/>
        </w:rPr>
        <w:t>8</w:t>
      </w:r>
      <w:r w:rsidRPr="00B61AD3">
        <w:rPr>
          <w:lang w:val="en-GB"/>
        </w:rPr>
        <w:t>) and (</w:t>
      </w:r>
      <w:r w:rsidR="001113D0" w:rsidRPr="00B61AD3">
        <w:rPr>
          <w:lang w:val="en-GB"/>
        </w:rPr>
        <w:t>8</w:t>
      </w:r>
      <w:r w:rsidRPr="00B61AD3">
        <w:rPr>
          <w:lang w:val="en-GB"/>
        </w:rPr>
        <w:t xml:space="preserve">A) of the Act (which apply to </w:t>
      </w:r>
      <w:r w:rsidR="001113D0" w:rsidRPr="00B61AD3">
        <w:rPr>
          <w:lang w:val="en-GB"/>
        </w:rPr>
        <w:t>therapeutic goods</w:t>
      </w:r>
      <w:r w:rsidRPr="00B61AD3">
        <w:rPr>
          <w:lang w:val="en-GB"/>
        </w:rPr>
        <w:t xml:space="preserve"> </w:t>
      </w:r>
      <w:r w:rsidR="008107FC" w:rsidRPr="00B61AD3">
        <w:rPr>
          <w:lang w:val="en-GB"/>
        </w:rPr>
        <w:t>that are registered or listed</w:t>
      </w:r>
      <w:r w:rsidRPr="00B61AD3">
        <w:rPr>
          <w:lang w:val="en-GB"/>
        </w:rPr>
        <w:t xml:space="preserve">) have the same tiered structure, elements and maximum penalties as subsections </w:t>
      </w:r>
      <w:r w:rsidR="001113D0" w:rsidRPr="00B61AD3">
        <w:rPr>
          <w:lang w:val="en-GB"/>
        </w:rPr>
        <w:t>22</w:t>
      </w:r>
      <w:r w:rsidRPr="00B61AD3">
        <w:rPr>
          <w:lang w:val="en-GB"/>
        </w:rPr>
        <w:t>(</w:t>
      </w:r>
      <w:r w:rsidR="001113D0" w:rsidRPr="00B61AD3">
        <w:rPr>
          <w:lang w:val="en-GB"/>
        </w:rPr>
        <w:t>6</w:t>
      </w:r>
      <w:r w:rsidRPr="00B61AD3">
        <w:rPr>
          <w:lang w:val="en-GB"/>
        </w:rPr>
        <w:t>), (</w:t>
      </w:r>
      <w:r w:rsidR="001113D0" w:rsidRPr="00B61AD3">
        <w:rPr>
          <w:lang w:val="en-GB"/>
        </w:rPr>
        <w:t>7</w:t>
      </w:r>
      <w:r w:rsidRPr="00B61AD3">
        <w:rPr>
          <w:lang w:val="en-GB"/>
        </w:rPr>
        <w:t>) and (</w:t>
      </w:r>
      <w:r w:rsidR="001113D0" w:rsidRPr="00B61AD3">
        <w:rPr>
          <w:lang w:val="en-GB"/>
        </w:rPr>
        <w:t>7AA</w:t>
      </w:r>
      <w:r w:rsidRPr="00B61AD3">
        <w:rPr>
          <w:lang w:val="en-GB"/>
        </w:rPr>
        <w:t xml:space="preserve">) of the Act (for </w:t>
      </w:r>
      <w:r w:rsidR="001113D0" w:rsidRPr="00B61AD3">
        <w:rPr>
          <w:lang w:val="en-GB"/>
        </w:rPr>
        <w:t>therapeutic goods</w:t>
      </w:r>
      <w:r w:rsidRPr="00B61AD3">
        <w:rPr>
          <w:lang w:val="en-GB"/>
        </w:rPr>
        <w:t xml:space="preserve"> the subject of an exemption under </w:t>
      </w:r>
      <w:r w:rsidR="001113D0" w:rsidRPr="00B61AD3">
        <w:rPr>
          <w:lang w:val="en-GB"/>
        </w:rPr>
        <w:t>sub</w:t>
      </w:r>
      <w:r w:rsidRPr="00B61AD3">
        <w:rPr>
          <w:lang w:val="en-GB"/>
        </w:rPr>
        <w:t xml:space="preserve">section </w:t>
      </w:r>
      <w:r w:rsidR="001113D0" w:rsidRPr="00B61AD3">
        <w:rPr>
          <w:lang w:val="en-GB"/>
        </w:rPr>
        <w:t>18(1)</w:t>
      </w:r>
      <w:r w:rsidRPr="00B61AD3">
        <w:rPr>
          <w:lang w:val="en-GB"/>
        </w:rPr>
        <w:t>).</w:t>
      </w:r>
    </w:p>
    <w:p w14:paraId="0451E2D0" w14:textId="77777777" w:rsidR="00772041" w:rsidRPr="00B61AD3" w:rsidRDefault="00772041" w:rsidP="00772041">
      <w:pPr>
        <w:spacing w:line="240" w:lineRule="auto"/>
        <w:contextualSpacing/>
        <w:rPr>
          <w:rFonts w:cs="Times New Roman"/>
          <w:i/>
          <w:iCs/>
          <w:szCs w:val="22"/>
        </w:rPr>
      </w:pPr>
    </w:p>
    <w:p w14:paraId="5476F5E4" w14:textId="77777777" w:rsidR="00772041" w:rsidRPr="00B61AD3" w:rsidRDefault="00772041" w:rsidP="008A6FAB">
      <w:pPr>
        <w:keepNext/>
        <w:spacing w:line="240" w:lineRule="auto"/>
        <w:contextualSpacing/>
        <w:rPr>
          <w:rFonts w:cs="Times New Roman"/>
          <w:i/>
          <w:iCs/>
          <w:szCs w:val="22"/>
        </w:rPr>
      </w:pPr>
      <w:r w:rsidRPr="00B61AD3">
        <w:rPr>
          <w:rFonts w:cs="Times New Roman"/>
          <w:i/>
          <w:iCs/>
          <w:szCs w:val="22"/>
        </w:rPr>
        <w:lastRenderedPageBreak/>
        <w:t>Scope of offences and civil penalties</w:t>
      </w:r>
    </w:p>
    <w:p w14:paraId="72C40BBC" w14:textId="77777777" w:rsidR="00772041" w:rsidRPr="00B61AD3" w:rsidRDefault="00772041" w:rsidP="008A6FAB">
      <w:pPr>
        <w:keepNext/>
        <w:spacing w:line="240" w:lineRule="auto"/>
        <w:contextualSpacing/>
        <w:rPr>
          <w:rFonts w:cs="Times New Roman"/>
          <w:i/>
          <w:iCs/>
          <w:szCs w:val="22"/>
        </w:rPr>
      </w:pPr>
    </w:p>
    <w:p w14:paraId="66031851" w14:textId="77777777" w:rsidR="00772041" w:rsidRPr="00B61AD3" w:rsidRDefault="00772041" w:rsidP="008A6FAB">
      <w:pPr>
        <w:keepNext/>
        <w:spacing w:line="259" w:lineRule="auto"/>
        <w:rPr>
          <w:lang w:val="en-GB"/>
        </w:rPr>
      </w:pPr>
      <w:r w:rsidRPr="00B61AD3">
        <w:rPr>
          <w:lang w:val="en-GB"/>
        </w:rPr>
        <w:t>In relation to the scope of the tiered offences and civil penalty provision outlined above:</w:t>
      </w:r>
    </w:p>
    <w:p w14:paraId="1FC8C05B" w14:textId="77777777" w:rsidR="00772041" w:rsidRPr="00B61AD3" w:rsidRDefault="00772041" w:rsidP="00772041">
      <w:pPr>
        <w:rPr>
          <w:lang w:val="en-GB"/>
        </w:rPr>
      </w:pPr>
    </w:p>
    <w:p w14:paraId="7388303B" w14:textId="77777777" w:rsidR="00772041" w:rsidRPr="00B61AD3" w:rsidRDefault="00772041" w:rsidP="00772041">
      <w:pPr>
        <w:pStyle w:val="ListParagraph"/>
        <w:numPr>
          <w:ilvl w:val="0"/>
          <w:numId w:val="28"/>
        </w:numPr>
        <w:spacing w:line="240" w:lineRule="auto"/>
        <w:rPr>
          <w:lang w:val="en-GB"/>
        </w:rPr>
      </w:pPr>
      <w:r w:rsidRPr="00B61AD3">
        <w:rPr>
          <w:lang w:val="en-GB"/>
        </w:rPr>
        <w:t xml:space="preserve">Division 2 of Part 5A-1 of Chapter 5A of the Act places restrictions on what kinds of proceedings can be brought against persons who are alleged to have contravened the Act. These limitations broadly mirror those seen in Division 3 of Part 4 of the </w:t>
      </w:r>
      <w:r w:rsidRPr="00B61AD3">
        <w:rPr>
          <w:i/>
          <w:iCs/>
          <w:lang w:val="en-GB"/>
        </w:rPr>
        <w:t>Regulatory Powers (Standard Provisions) Act 2014</w:t>
      </w:r>
      <w:r w:rsidRPr="00B61AD3">
        <w:rPr>
          <w:lang w:val="en-GB"/>
        </w:rPr>
        <w:t>;</w:t>
      </w:r>
    </w:p>
    <w:p w14:paraId="4AAF4B15" w14:textId="77777777" w:rsidR="00772041" w:rsidRPr="00B61AD3" w:rsidRDefault="00772041" w:rsidP="00772041">
      <w:pPr>
        <w:rPr>
          <w:lang w:val="en-GB"/>
        </w:rPr>
      </w:pPr>
    </w:p>
    <w:p w14:paraId="41E04403" w14:textId="77777777" w:rsidR="00772041" w:rsidRPr="00B61AD3" w:rsidRDefault="00772041" w:rsidP="00772041">
      <w:pPr>
        <w:pStyle w:val="ListParagraph"/>
        <w:numPr>
          <w:ilvl w:val="0"/>
          <w:numId w:val="28"/>
        </w:numPr>
        <w:spacing w:line="240" w:lineRule="auto"/>
        <w:rPr>
          <w:lang w:val="en-GB"/>
        </w:rPr>
      </w:pPr>
      <w:r w:rsidRPr="00B61AD3">
        <w:rPr>
          <w:lang w:val="en-GB"/>
        </w:rPr>
        <w:t>the Commonwealth will decide in each case whether to prosecute a person for a fault-based or strict liability offence, or whether to bring proceedings for a civil penalty order. A criminal prosecution will generally be a more appropriate sanction where a contravention is deliberate, where fraud may be involved, where the conduct demonstrates recklessness, where there is a serious pattern of continuous intentional contraventions, or where conduct has endangered lives or has caused death or serious injury. A civil penalty may be an appropriate sanction where criminal prosecution or other sanctions may not be as effective or appropriate, and generally focuses on the regulation of commercial activity;</w:t>
      </w:r>
    </w:p>
    <w:p w14:paraId="539E09B2" w14:textId="77777777" w:rsidR="00772041" w:rsidRPr="00B61AD3" w:rsidRDefault="00772041" w:rsidP="00772041">
      <w:pPr>
        <w:rPr>
          <w:lang w:val="en-GB"/>
        </w:rPr>
      </w:pPr>
    </w:p>
    <w:p w14:paraId="70E6CD00" w14:textId="67190ED2" w:rsidR="00772041" w:rsidRPr="00B61AD3" w:rsidRDefault="00772041" w:rsidP="00772041">
      <w:pPr>
        <w:pStyle w:val="ListParagraph"/>
        <w:numPr>
          <w:ilvl w:val="0"/>
          <w:numId w:val="28"/>
        </w:numPr>
        <w:spacing w:line="240" w:lineRule="auto"/>
        <w:rPr>
          <w:lang w:val="en-GB"/>
        </w:rPr>
      </w:pPr>
      <w:r w:rsidRPr="00B61AD3">
        <w:rPr>
          <w:lang w:val="en-GB"/>
        </w:rPr>
        <w:t xml:space="preserve">if a jury acquits a person of </w:t>
      </w:r>
      <w:r w:rsidR="002510D2" w:rsidRPr="00B61AD3">
        <w:rPr>
          <w:lang w:val="en-GB"/>
        </w:rPr>
        <w:t>th</w:t>
      </w:r>
      <w:r w:rsidRPr="00B61AD3">
        <w:rPr>
          <w:lang w:val="en-GB"/>
        </w:rPr>
        <w:t xml:space="preserve">e aggravated offence (i.e. subsection 22(6) of the Act), a jury may instead convict the person of the related ordinary offence (i.e. subsection 22(7) of the Act), if the jury is satisfied beyond reasonable doubt of the facts that prove the person is guilty of the ordinary offence (see table item 9B </w:t>
      </w:r>
      <w:r w:rsidR="00AE0889" w:rsidRPr="00B61AD3">
        <w:rPr>
          <w:lang w:val="en-GB"/>
        </w:rPr>
        <w:t>i</w:t>
      </w:r>
      <w:r w:rsidRPr="00B61AD3">
        <w:rPr>
          <w:lang w:val="en-GB"/>
        </w:rPr>
        <w:t>n section 53A of the Act);</w:t>
      </w:r>
    </w:p>
    <w:p w14:paraId="615362F2" w14:textId="77777777" w:rsidR="00772041" w:rsidRPr="00B61AD3" w:rsidRDefault="00772041" w:rsidP="00772041">
      <w:pPr>
        <w:rPr>
          <w:lang w:val="en-GB"/>
        </w:rPr>
      </w:pPr>
    </w:p>
    <w:p w14:paraId="55C2612A" w14:textId="5707D81F" w:rsidR="00772041" w:rsidRPr="00B61AD3" w:rsidRDefault="00772041" w:rsidP="00301094">
      <w:pPr>
        <w:pStyle w:val="ListParagraph"/>
        <w:numPr>
          <w:ilvl w:val="0"/>
          <w:numId w:val="28"/>
        </w:numPr>
        <w:spacing w:line="240" w:lineRule="auto"/>
        <w:rPr>
          <w:rFonts w:cs="Times New Roman"/>
          <w:szCs w:val="22"/>
          <w:u w:val="single"/>
        </w:rPr>
      </w:pPr>
      <w:r w:rsidRPr="00B61AD3">
        <w:rPr>
          <w:lang w:val="en-GB"/>
        </w:rPr>
        <w:t>an executive officer of a body corporate (such as managing directors or Chief Executive Officers, who are directly involved in or participate in the management of a company) may be personally liable for an offence committed, or a civil penalty provision contravened, by that body corporate, if the officer knew that the offence or contravention would occur, was in a position to influence the conduct of the body corporate in relation to the offending conduct, and failed to take all reasonable steps to prevent that conduct (see section 54B of the Act).</w:t>
      </w:r>
    </w:p>
    <w:p w14:paraId="352D2039" w14:textId="77777777" w:rsidR="00886DBA" w:rsidRPr="00B61AD3" w:rsidRDefault="00886DBA" w:rsidP="00C646C3">
      <w:pPr>
        <w:spacing w:line="240" w:lineRule="auto"/>
        <w:contextualSpacing/>
        <w:rPr>
          <w:rFonts w:cs="Times New Roman"/>
          <w:szCs w:val="22"/>
        </w:rPr>
      </w:pPr>
    </w:p>
    <w:p w14:paraId="1F39EE85" w14:textId="5E79A96A" w:rsidR="00886DBA" w:rsidRPr="00B61AD3" w:rsidRDefault="00886DBA" w:rsidP="00C646C3">
      <w:pPr>
        <w:spacing w:line="240" w:lineRule="auto"/>
        <w:contextualSpacing/>
        <w:rPr>
          <w:rFonts w:cs="Times New Roman"/>
          <w:b/>
          <w:bCs/>
          <w:strike/>
          <w:szCs w:val="22"/>
        </w:rPr>
      </w:pPr>
      <w:r w:rsidRPr="00B61AD3">
        <w:rPr>
          <w:rFonts w:cs="Times New Roman"/>
          <w:b/>
          <w:bCs/>
          <w:szCs w:val="22"/>
        </w:rPr>
        <w:t xml:space="preserve">Item </w:t>
      </w:r>
      <w:r w:rsidR="00FD6062" w:rsidRPr="00B61AD3">
        <w:rPr>
          <w:rFonts w:cs="Times New Roman"/>
          <w:b/>
          <w:bCs/>
          <w:szCs w:val="22"/>
        </w:rPr>
        <w:t>11</w:t>
      </w:r>
      <w:r w:rsidRPr="00B61AD3">
        <w:rPr>
          <w:rFonts w:cs="Times New Roman"/>
          <w:b/>
          <w:bCs/>
          <w:szCs w:val="22"/>
        </w:rPr>
        <w:t xml:space="preserve"> – Schedule 5A (at the end of the cell at table item 15, column 2)</w:t>
      </w:r>
    </w:p>
    <w:p w14:paraId="0C80268E" w14:textId="77777777" w:rsidR="00886DBA" w:rsidRPr="00B61AD3" w:rsidRDefault="00886DBA" w:rsidP="00C646C3">
      <w:pPr>
        <w:spacing w:line="240" w:lineRule="auto"/>
        <w:contextualSpacing/>
        <w:rPr>
          <w:rFonts w:cs="Times New Roman"/>
          <w:szCs w:val="22"/>
        </w:rPr>
      </w:pPr>
    </w:p>
    <w:p w14:paraId="6F168C81" w14:textId="36ED36F8" w:rsidR="00886DBA" w:rsidRPr="00B61AD3" w:rsidRDefault="00301094" w:rsidP="00C646C3">
      <w:pPr>
        <w:spacing w:line="240" w:lineRule="auto"/>
        <w:contextualSpacing/>
        <w:rPr>
          <w:rFonts w:cs="Times New Roman"/>
          <w:szCs w:val="22"/>
        </w:rPr>
      </w:pPr>
      <w:r w:rsidRPr="00B61AD3">
        <w:rPr>
          <w:rFonts w:cs="Times New Roman"/>
          <w:szCs w:val="22"/>
        </w:rPr>
        <w:t>I</w:t>
      </w:r>
      <w:r w:rsidR="00886DBA" w:rsidRPr="00B61AD3">
        <w:rPr>
          <w:rFonts w:cs="Times New Roman"/>
          <w:szCs w:val="22"/>
        </w:rPr>
        <w:t xml:space="preserve">tem 15 of the table in Schedule 5A </w:t>
      </w:r>
      <w:r w:rsidR="009456F9" w:rsidRPr="00B61AD3">
        <w:rPr>
          <w:rFonts w:cs="Times New Roman"/>
          <w:szCs w:val="22"/>
        </w:rPr>
        <w:t>to the TG</w:t>
      </w:r>
      <w:r w:rsidR="00962D66" w:rsidRPr="00B61AD3">
        <w:rPr>
          <w:rFonts w:cs="Times New Roman"/>
          <w:szCs w:val="22"/>
        </w:rPr>
        <w:t> </w:t>
      </w:r>
      <w:r w:rsidR="009456F9" w:rsidRPr="00B61AD3">
        <w:rPr>
          <w:rFonts w:cs="Times New Roman"/>
          <w:szCs w:val="22"/>
        </w:rPr>
        <w:t xml:space="preserve">Regulations </w:t>
      </w:r>
      <w:r w:rsidR="00886DBA" w:rsidRPr="00B61AD3">
        <w:rPr>
          <w:rFonts w:cs="Times New Roman"/>
          <w:szCs w:val="22"/>
        </w:rPr>
        <w:t xml:space="preserve">exempts certain therapeutic goods that are therapeutic vaping substances, therapeutic vaping substance accessories, therapeutic vaping kits, or goods in a therapeutic </w:t>
      </w:r>
      <w:r w:rsidR="00904854" w:rsidRPr="00B61AD3">
        <w:rPr>
          <w:rFonts w:cs="Times New Roman"/>
          <w:szCs w:val="22"/>
        </w:rPr>
        <w:t xml:space="preserve">vaping </w:t>
      </w:r>
      <w:r w:rsidR="00886DBA" w:rsidRPr="00B61AD3">
        <w:rPr>
          <w:rFonts w:cs="Times New Roman"/>
          <w:szCs w:val="22"/>
        </w:rPr>
        <w:t>pack, subject to several conditions.</w:t>
      </w:r>
    </w:p>
    <w:p w14:paraId="4F19297F" w14:textId="7BF02E41" w:rsidR="00886DBA" w:rsidRPr="00B61AD3" w:rsidRDefault="00886DBA" w:rsidP="00C646C3">
      <w:pPr>
        <w:spacing w:line="240" w:lineRule="auto"/>
        <w:contextualSpacing/>
        <w:rPr>
          <w:rFonts w:cs="Times New Roman"/>
          <w:szCs w:val="22"/>
        </w:rPr>
      </w:pPr>
    </w:p>
    <w:p w14:paraId="7AB08D93" w14:textId="2F963D1F" w:rsidR="0069212E" w:rsidRPr="00B61AD3" w:rsidRDefault="0069212E" w:rsidP="00C646C3">
      <w:pPr>
        <w:spacing w:line="240" w:lineRule="auto"/>
        <w:contextualSpacing/>
        <w:rPr>
          <w:rFonts w:cs="Times New Roman"/>
          <w:szCs w:val="22"/>
        </w:rPr>
      </w:pPr>
      <w:r w:rsidRPr="00B61AD3">
        <w:rPr>
          <w:rFonts w:cs="Times New Roman"/>
          <w:szCs w:val="22"/>
        </w:rPr>
        <w:t>The conditions include requirements for the sponsor to</w:t>
      </w:r>
      <w:r w:rsidR="006C2FB4" w:rsidRPr="00B61AD3">
        <w:rPr>
          <w:rFonts w:cs="Times New Roman"/>
          <w:szCs w:val="22"/>
        </w:rPr>
        <w:t>,</w:t>
      </w:r>
      <w:r w:rsidRPr="00B61AD3">
        <w:rPr>
          <w:rFonts w:cs="Times New Roman"/>
          <w:szCs w:val="22"/>
        </w:rPr>
        <w:t xml:space="preserve"> among other things</w:t>
      </w:r>
      <w:r w:rsidR="00925E58" w:rsidRPr="00B61AD3">
        <w:rPr>
          <w:rFonts w:cs="Times New Roman"/>
          <w:szCs w:val="22"/>
        </w:rPr>
        <w:t>,</w:t>
      </w:r>
      <w:r w:rsidR="00E5081B" w:rsidRPr="00B61AD3">
        <w:rPr>
          <w:rFonts w:cs="Times New Roman"/>
          <w:szCs w:val="22"/>
        </w:rPr>
        <w:t xml:space="preserve"> </w:t>
      </w:r>
      <w:r w:rsidRPr="00B61AD3">
        <w:rPr>
          <w:rFonts w:cs="Times New Roman"/>
          <w:szCs w:val="22"/>
        </w:rPr>
        <w:t>provide a pre-market noti</w:t>
      </w:r>
      <w:r w:rsidR="00E5081B" w:rsidRPr="00B61AD3">
        <w:rPr>
          <w:rFonts w:cs="Times New Roman"/>
          <w:szCs w:val="22"/>
        </w:rPr>
        <w:t>ce</w:t>
      </w:r>
      <w:r w:rsidRPr="00B61AD3">
        <w:rPr>
          <w:rFonts w:cs="Times New Roman"/>
          <w:szCs w:val="22"/>
        </w:rPr>
        <w:t xml:space="preserve"> to the Secretary prior to the importation, manufacture or supply of the goods in Australia (paragraph (a) of column 3 refers)</w:t>
      </w:r>
      <w:r w:rsidR="00E5081B" w:rsidRPr="00B61AD3">
        <w:rPr>
          <w:rFonts w:cs="Times New Roman"/>
          <w:szCs w:val="22"/>
        </w:rPr>
        <w:t xml:space="preserve">. The notice must include a statement </w:t>
      </w:r>
      <w:r w:rsidRPr="00B61AD3">
        <w:rPr>
          <w:rFonts w:cs="Times New Roman"/>
          <w:szCs w:val="22"/>
        </w:rPr>
        <w:t>that:</w:t>
      </w:r>
    </w:p>
    <w:p w14:paraId="4EE62605" w14:textId="77777777" w:rsidR="00E5081B" w:rsidRPr="00B61AD3" w:rsidRDefault="00E5081B" w:rsidP="00C646C3">
      <w:pPr>
        <w:spacing w:line="240" w:lineRule="auto"/>
        <w:contextualSpacing/>
        <w:rPr>
          <w:rFonts w:cs="Times New Roman"/>
          <w:szCs w:val="22"/>
        </w:rPr>
      </w:pPr>
    </w:p>
    <w:p w14:paraId="62344207" w14:textId="25F308BE" w:rsidR="0069212E" w:rsidRPr="00B61AD3" w:rsidRDefault="0069212E" w:rsidP="00C646C3">
      <w:pPr>
        <w:pStyle w:val="ListParagraph"/>
        <w:numPr>
          <w:ilvl w:val="0"/>
          <w:numId w:val="28"/>
        </w:numPr>
        <w:spacing w:line="240" w:lineRule="auto"/>
        <w:rPr>
          <w:rFonts w:cs="Times New Roman"/>
          <w:szCs w:val="22"/>
        </w:rPr>
      </w:pPr>
      <w:r w:rsidRPr="00B61AD3">
        <w:rPr>
          <w:rFonts w:cs="Times New Roman"/>
          <w:szCs w:val="22"/>
        </w:rPr>
        <w:t xml:space="preserve">the goods </w:t>
      </w:r>
      <w:r w:rsidR="006C2FB4" w:rsidRPr="00B61AD3">
        <w:rPr>
          <w:rFonts w:cs="Times New Roman"/>
          <w:szCs w:val="22"/>
        </w:rPr>
        <w:t xml:space="preserve">conform </w:t>
      </w:r>
      <w:r w:rsidRPr="00B61AD3">
        <w:rPr>
          <w:rFonts w:cs="Times New Roman"/>
          <w:szCs w:val="22"/>
        </w:rPr>
        <w:t>with any standard applicable to the goods, or are imported or supplied (as</w:t>
      </w:r>
      <w:r w:rsidR="00F9528F" w:rsidRPr="00B61AD3">
        <w:rPr>
          <w:rFonts w:cs="Times New Roman"/>
          <w:szCs w:val="22"/>
        </w:rPr>
        <w:t> </w:t>
      </w:r>
      <w:r w:rsidRPr="00B61AD3">
        <w:rPr>
          <w:rFonts w:cs="Times New Roman"/>
          <w:szCs w:val="22"/>
        </w:rPr>
        <w:t>the case may be) with the consent of the Secretary; and</w:t>
      </w:r>
    </w:p>
    <w:p w14:paraId="1FF2B924" w14:textId="77777777" w:rsidR="00E5081B" w:rsidRPr="00B61AD3" w:rsidRDefault="00E5081B" w:rsidP="00C646C3">
      <w:pPr>
        <w:pStyle w:val="ListParagraph"/>
        <w:spacing w:line="240" w:lineRule="auto"/>
        <w:rPr>
          <w:rFonts w:cs="Times New Roman"/>
          <w:szCs w:val="22"/>
        </w:rPr>
      </w:pPr>
    </w:p>
    <w:p w14:paraId="09D5E9AD" w14:textId="32115EDC" w:rsidR="0069212E" w:rsidRPr="00B61AD3" w:rsidRDefault="0069212E" w:rsidP="00C646C3">
      <w:pPr>
        <w:pStyle w:val="ListParagraph"/>
        <w:numPr>
          <w:ilvl w:val="0"/>
          <w:numId w:val="28"/>
        </w:numPr>
        <w:spacing w:line="240" w:lineRule="auto"/>
        <w:rPr>
          <w:rFonts w:cs="Times New Roman"/>
          <w:szCs w:val="22"/>
        </w:rPr>
      </w:pPr>
      <w:r w:rsidRPr="00B61AD3">
        <w:rPr>
          <w:rFonts w:cs="Times New Roman"/>
          <w:szCs w:val="22"/>
        </w:rPr>
        <w:t xml:space="preserve">the only indications </w:t>
      </w:r>
      <w:r w:rsidR="00FD6062" w:rsidRPr="00B61AD3">
        <w:rPr>
          <w:rFonts w:cs="Times New Roman"/>
          <w:szCs w:val="22"/>
        </w:rPr>
        <w:t>of</w:t>
      </w:r>
      <w:r w:rsidRPr="00B61AD3">
        <w:rPr>
          <w:rFonts w:cs="Times New Roman"/>
          <w:szCs w:val="22"/>
        </w:rPr>
        <w:t xml:space="preserve"> the goods are </w:t>
      </w:r>
      <w:r w:rsidR="006C2FB4" w:rsidRPr="00B61AD3">
        <w:rPr>
          <w:rFonts w:cs="Times New Roman"/>
          <w:szCs w:val="22"/>
        </w:rPr>
        <w:t xml:space="preserve">use </w:t>
      </w:r>
      <w:r w:rsidRPr="00B61AD3">
        <w:rPr>
          <w:rFonts w:cs="Times New Roman"/>
          <w:szCs w:val="22"/>
        </w:rPr>
        <w:t>for smoking cessation or the management of nicotine dependence.</w:t>
      </w:r>
    </w:p>
    <w:p w14:paraId="78C29901" w14:textId="77777777" w:rsidR="00886DBA" w:rsidRPr="00B61AD3" w:rsidRDefault="00886DBA" w:rsidP="00C646C3">
      <w:pPr>
        <w:spacing w:line="240" w:lineRule="auto"/>
        <w:contextualSpacing/>
        <w:rPr>
          <w:rFonts w:cs="Times New Roman"/>
          <w:szCs w:val="22"/>
        </w:rPr>
      </w:pPr>
    </w:p>
    <w:p w14:paraId="36AE0A84" w14:textId="77777777" w:rsidR="00C368A3" w:rsidRPr="00B61AD3" w:rsidRDefault="00E5081B" w:rsidP="00C646C3">
      <w:pPr>
        <w:spacing w:line="240" w:lineRule="auto"/>
        <w:contextualSpacing/>
        <w:rPr>
          <w:rFonts w:cs="Times New Roman"/>
          <w:szCs w:val="22"/>
        </w:rPr>
      </w:pPr>
      <w:r w:rsidRPr="00B61AD3">
        <w:rPr>
          <w:rFonts w:cs="Times New Roman"/>
          <w:szCs w:val="22"/>
        </w:rPr>
        <w:t xml:space="preserve">Moving aspects of these requirements from column 3 to column 2 better reflects </w:t>
      </w:r>
      <w:r w:rsidR="00886DBA" w:rsidRPr="00B61AD3">
        <w:rPr>
          <w:rFonts w:cs="Times New Roman"/>
          <w:szCs w:val="22"/>
        </w:rPr>
        <w:t>the regulatory intent of th</w:t>
      </w:r>
      <w:r w:rsidRPr="00B61AD3">
        <w:rPr>
          <w:rFonts w:cs="Times New Roman"/>
          <w:szCs w:val="22"/>
        </w:rPr>
        <w:t>e</w:t>
      </w:r>
      <w:r w:rsidR="00886DBA" w:rsidRPr="00B61AD3">
        <w:rPr>
          <w:rFonts w:cs="Times New Roman"/>
          <w:szCs w:val="22"/>
        </w:rPr>
        <w:t xml:space="preserve"> notified vaping goods exemption</w:t>
      </w:r>
      <w:r w:rsidRPr="00B61AD3">
        <w:rPr>
          <w:rFonts w:cs="Times New Roman"/>
          <w:szCs w:val="22"/>
        </w:rPr>
        <w:t>. That intention</w:t>
      </w:r>
      <w:r w:rsidR="00886DBA" w:rsidRPr="00B61AD3">
        <w:rPr>
          <w:rFonts w:cs="Times New Roman"/>
          <w:szCs w:val="22"/>
        </w:rPr>
        <w:t xml:space="preserve"> is that the relevant vaping goods </w:t>
      </w:r>
      <w:r w:rsidRPr="00B61AD3">
        <w:rPr>
          <w:rFonts w:cs="Times New Roman"/>
          <w:szCs w:val="22"/>
        </w:rPr>
        <w:t>are only exempt goods</w:t>
      </w:r>
      <w:r w:rsidR="00886DBA" w:rsidRPr="00B61AD3">
        <w:rPr>
          <w:rFonts w:cs="Times New Roman"/>
          <w:szCs w:val="22"/>
        </w:rPr>
        <w:t xml:space="preserve"> where the sponsor has </w:t>
      </w:r>
      <w:r w:rsidR="0051427B" w:rsidRPr="00B61AD3">
        <w:rPr>
          <w:rFonts w:cs="Times New Roman"/>
          <w:szCs w:val="22"/>
        </w:rPr>
        <w:t xml:space="preserve">given </w:t>
      </w:r>
      <w:r w:rsidR="0069212E" w:rsidRPr="00B61AD3">
        <w:rPr>
          <w:rFonts w:cs="Times New Roman"/>
          <w:szCs w:val="22"/>
        </w:rPr>
        <w:t>a</w:t>
      </w:r>
      <w:r w:rsidR="00886DBA" w:rsidRPr="00B61AD3">
        <w:rPr>
          <w:rFonts w:cs="Times New Roman"/>
          <w:szCs w:val="22"/>
        </w:rPr>
        <w:t xml:space="preserve"> pre-market noti</w:t>
      </w:r>
      <w:r w:rsidRPr="00B61AD3">
        <w:rPr>
          <w:rFonts w:cs="Times New Roman"/>
          <w:szCs w:val="22"/>
        </w:rPr>
        <w:t>ce to the Secretary</w:t>
      </w:r>
      <w:r w:rsidR="0069212E" w:rsidRPr="00B61AD3">
        <w:rPr>
          <w:rFonts w:cs="Times New Roman"/>
          <w:szCs w:val="22"/>
        </w:rPr>
        <w:t>, maintain</w:t>
      </w:r>
      <w:r w:rsidRPr="00B61AD3">
        <w:rPr>
          <w:rFonts w:cs="Times New Roman"/>
          <w:szCs w:val="22"/>
        </w:rPr>
        <w:t>s</w:t>
      </w:r>
      <w:r w:rsidR="0069212E" w:rsidRPr="00B61AD3">
        <w:rPr>
          <w:rFonts w:cs="Times New Roman"/>
          <w:szCs w:val="22"/>
        </w:rPr>
        <w:t xml:space="preserve"> that noti</w:t>
      </w:r>
      <w:r w:rsidRPr="00B61AD3">
        <w:rPr>
          <w:rFonts w:cs="Times New Roman"/>
          <w:szCs w:val="22"/>
        </w:rPr>
        <w:t>ce</w:t>
      </w:r>
      <w:r w:rsidR="0069212E" w:rsidRPr="00B61AD3">
        <w:rPr>
          <w:rFonts w:cs="Times New Roman"/>
          <w:szCs w:val="22"/>
        </w:rPr>
        <w:t xml:space="preserve"> (and </w:t>
      </w:r>
      <w:r w:rsidR="00617C80" w:rsidRPr="00B61AD3">
        <w:rPr>
          <w:rFonts w:cs="Times New Roman"/>
          <w:szCs w:val="22"/>
        </w:rPr>
        <w:t xml:space="preserve">the </w:t>
      </w:r>
      <w:r w:rsidR="0069212E" w:rsidRPr="00B61AD3">
        <w:rPr>
          <w:rFonts w:cs="Times New Roman"/>
          <w:szCs w:val="22"/>
        </w:rPr>
        <w:t>ongoing obligations related to that noti</w:t>
      </w:r>
      <w:r w:rsidRPr="00B61AD3">
        <w:rPr>
          <w:rFonts w:cs="Times New Roman"/>
          <w:szCs w:val="22"/>
        </w:rPr>
        <w:t>ce</w:t>
      </w:r>
      <w:r w:rsidR="0069212E" w:rsidRPr="00B61AD3">
        <w:rPr>
          <w:rFonts w:cs="Times New Roman"/>
          <w:szCs w:val="22"/>
        </w:rPr>
        <w:t>)</w:t>
      </w:r>
      <w:r w:rsidR="00C45430" w:rsidRPr="00B61AD3">
        <w:rPr>
          <w:rFonts w:cs="Times New Roman"/>
          <w:szCs w:val="22"/>
        </w:rPr>
        <w:t>,</w:t>
      </w:r>
      <w:r w:rsidR="0069212E" w:rsidRPr="00B61AD3">
        <w:rPr>
          <w:rFonts w:cs="Times New Roman"/>
          <w:szCs w:val="22"/>
        </w:rPr>
        <w:t xml:space="preserve"> and the goods have </w:t>
      </w:r>
      <w:r w:rsidR="00886DBA" w:rsidRPr="00B61AD3">
        <w:rPr>
          <w:rFonts w:cs="Times New Roman"/>
          <w:szCs w:val="22"/>
        </w:rPr>
        <w:t xml:space="preserve">not </w:t>
      </w:r>
      <w:r w:rsidR="0069212E" w:rsidRPr="00B61AD3">
        <w:rPr>
          <w:rFonts w:cs="Times New Roman"/>
          <w:szCs w:val="22"/>
        </w:rPr>
        <w:t xml:space="preserve">been </w:t>
      </w:r>
      <w:r w:rsidR="00702D91" w:rsidRPr="00B61AD3">
        <w:rPr>
          <w:rFonts w:cs="Times New Roman"/>
          <w:szCs w:val="22"/>
        </w:rPr>
        <w:t xml:space="preserve">the </w:t>
      </w:r>
      <w:r w:rsidR="00886DBA" w:rsidRPr="00B61AD3">
        <w:rPr>
          <w:rFonts w:cs="Times New Roman"/>
          <w:szCs w:val="22"/>
        </w:rPr>
        <w:t xml:space="preserve">subject </w:t>
      </w:r>
      <w:r w:rsidR="00702D91" w:rsidRPr="00B61AD3">
        <w:rPr>
          <w:rFonts w:cs="Times New Roman"/>
          <w:szCs w:val="22"/>
        </w:rPr>
        <w:t>of</w:t>
      </w:r>
      <w:r w:rsidR="00886DBA" w:rsidRPr="00B61AD3">
        <w:rPr>
          <w:rFonts w:cs="Times New Roman"/>
          <w:szCs w:val="22"/>
        </w:rPr>
        <w:t xml:space="preserve"> a</w:t>
      </w:r>
      <w:r w:rsidR="0069212E" w:rsidRPr="00B61AD3">
        <w:rPr>
          <w:rFonts w:cs="Times New Roman"/>
          <w:szCs w:val="22"/>
        </w:rPr>
        <w:t xml:space="preserve"> cease</w:t>
      </w:r>
      <w:r w:rsidR="00886DBA" w:rsidRPr="00B61AD3">
        <w:rPr>
          <w:rFonts w:cs="Times New Roman"/>
          <w:szCs w:val="22"/>
        </w:rPr>
        <w:t xml:space="preserve"> supply determination.</w:t>
      </w:r>
    </w:p>
    <w:p w14:paraId="2F46B344" w14:textId="77777777" w:rsidR="00C368A3" w:rsidRPr="00B61AD3" w:rsidRDefault="00C368A3" w:rsidP="00C646C3">
      <w:pPr>
        <w:spacing w:line="240" w:lineRule="auto"/>
        <w:contextualSpacing/>
        <w:rPr>
          <w:rFonts w:cs="Times New Roman"/>
          <w:szCs w:val="22"/>
        </w:rPr>
      </w:pPr>
    </w:p>
    <w:p w14:paraId="0FBDF80D" w14:textId="3D09C48F" w:rsidR="00886DBA" w:rsidRPr="00B61AD3" w:rsidRDefault="00301094" w:rsidP="00C646C3">
      <w:pPr>
        <w:spacing w:line="240" w:lineRule="auto"/>
        <w:contextualSpacing/>
        <w:rPr>
          <w:rFonts w:cs="Times New Roman"/>
          <w:szCs w:val="22"/>
          <w:lang w:val="en-GB"/>
        </w:rPr>
      </w:pPr>
      <w:r w:rsidRPr="00B61AD3">
        <w:rPr>
          <w:rFonts w:cs="Times New Roman"/>
          <w:szCs w:val="22"/>
          <w:lang w:val="en-GB"/>
        </w:rPr>
        <w:t xml:space="preserve">For clarification, this amendment does not impose </w:t>
      </w:r>
      <w:r w:rsidR="00C368A3" w:rsidRPr="00B61AD3">
        <w:rPr>
          <w:rFonts w:cs="Times New Roman"/>
          <w:szCs w:val="22"/>
          <w:lang w:val="en-GB"/>
        </w:rPr>
        <w:t xml:space="preserve">a </w:t>
      </w:r>
      <w:r w:rsidRPr="00B61AD3">
        <w:rPr>
          <w:rFonts w:cs="Times New Roman"/>
          <w:szCs w:val="22"/>
          <w:lang w:val="en-GB"/>
        </w:rPr>
        <w:t>new condition</w:t>
      </w:r>
      <w:r w:rsidR="00C368A3" w:rsidRPr="00B61AD3">
        <w:rPr>
          <w:rFonts w:cs="Times New Roman"/>
          <w:szCs w:val="22"/>
          <w:lang w:val="en-GB"/>
        </w:rPr>
        <w:t xml:space="preserve"> on the ex</w:t>
      </w:r>
      <w:r w:rsidR="00303B57" w:rsidRPr="00B61AD3">
        <w:rPr>
          <w:rFonts w:cs="Times New Roman"/>
          <w:szCs w:val="22"/>
          <w:lang w:val="en-GB"/>
        </w:rPr>
        <w:t>e</w:t>
      </w:r>
      <w:r w:rsidR="00C368A3" w:rsidRPr="00B61AD3">
        <w:rPr>
          <w:rFonts w:cs="Times New Roman"/>
          <w:szCs w:val="22"/>
          <w:lang w:val="en-GB"/>
        </w:rPr>
        <w:t>mption</w:t>
      </w:r>
      <w:r w:rsidRPr="00B61AD3">
        <w:rPr>
          <w:rFonts w:cs="Times New Roman"/>
          <w:szCs w:val="22"/>
          <w:lang w:val="en-GB"/>
        </w:rPr>
        <w:t xml:space="preserve">. Rather, together with the provisions repealed by item 13 below, it moves certain requirements from being conditions </w:t>
      </w:r>
      <w:r w:rsidRPr="00B61AD3">
        <w:rPr>
          <w:rFonts w:cs="Times New Roman"/>
          <w:szCs w:val="22"/>
          <w:lang w:val="en-GB"/>
        </w:rPr>
        <w:lastRenderedPageBreak/>
        <w:t>of the exemption to being part of the description of the notified therapeutic vaping goods to which the exemption applie</w:t>
      </w:r>
      <w:r w:rsidR="0066458F">
        <w:rPr>
          <w:rFonts w:cs="Times New Roman"/>
          <w:szCs w:val="22"/>
          <w:lang w:val="en-GB"/>
        </w:rPr>
        <w:t>s</w:t>
      </w:r>
      <w:r w:rsidRPr="00B61AD3">
        <w:rPr>
          <w:rFonts w:cs="Times New Roman"/>
          <w:szCs w:val="22"/>
          <w:lang w:val="en-GB"/>
        </w:rPr>
        <w:t>.</w:t>
      </w:r>
    </w:p>
    <w:p w14:paraId="05E1C0E6" w14:textId="77777777" w:rsidR="00886DBA" w:rsidRPr="00B61AD3" w:rsidRDefault="00886DBA" w:rsidP="00C646C3">
      <w:pPr>
        <w:spacing w:line="240" w:lineRule="auto"/>
        <w:contextualSpacing/>
        <w:rPr>
          <w:rFonts w:cs="Times New Roman"/>
          <w:szCs w:val="22"/>
        </w:rPr>
      </w:pPr>
    </w:p>
    <w:p w14:paraId="17BDDB89" w14:textId="303C8C72" w:rsidR="0069212E" w:rsidRPr="00B61AD3" w:rsidRDefault="0069212E" w:rsidP="00C646C3">
      <w:pPr>
        <w:spacing w:line="240" w:lineRule="auto"/>
        <w:contextualSpacing/>
        <w:rPr>
          <w:rFonts w:cs="Times New Roman"/>
          <w:szCs w:val="22"/>
        </w:rPr>
      </w:pPr>
      <w:r w:rsidRPr="00B61AD3">
        <w:rPr>
          <w:rFonts w:cs="Times New Roman"/>
          <w:szCs w:val="22"/>
        </w:rPr>
        <w:t>Further, the</w:t>
      </w:r>
      <w:r w:rsidR="00E5081B" w:rsidRPr="00B61AD3">
        <w:rPr>
          <w:rFonts w:cs="Times New Roman"/>
          <w:szCs w:val="22"/>
        </w:rPr>
        <w:t xml:space="preserve"> item incorporates a new paragraph in column 2 to provide an</w:t>
      </w:r>
      <w:r w:rsidRPr="00B61AD3">
        <w:rPr>
          <w:rFonts w:cs="Times New Roman"/>
          <w:szCs w:val="22"/>
        </w:rPr>
        <w:t xml:space="preserve"> express </w:t>
      </w:r>
      <w:r w:rsidR="002449C6" w:rsidRPr="00B61AD3">
        <w:rPr>
          <w:rFonts w:cs="Times New Roman"/>
          <w:szCs w:val="22"/>
        </w:rPr>
        <w:t xml:space="preserve">mechanism for a sponsor to </w:t>
      </w:r>
      <w:r w:rsidRPr="00B61AD3">
        <w:rPr>
          <w:rFonts w:cs="Times New Roman"/>
          <w:szCs w:val="22"/>
        </w:rPr>
        <w:t>withdraw</w:t>
      </w:r>
      <w:r w:rsidR="002449C6" w:rsidRPr="00B61AD3">
        <w:rPr>
          <w:rFonts w:cs="Times New Roman"/>
          <w:szCs w:val="22"/>
        </w:rPr>
        <w:t xml:space="preserve"> its sponsor notice</w:t>
      </w:r>
      <w:r w:rsidR="00E5081B" w:rsidRPr="00B61AD3">
        <w:rPr>
          <w:rFonts w:cs="Times New Roman"/>
          <w:szCs w:val="22"/>
        </w:rPr>
        <w:t>. The mechanism</w:t>
      </w:r>
      <w:r w:rsidRPr="00B61AD3">
        <w:rPr>
          <w:rFonts w:cs="Times New Roman"/>
          <w:szCs w:val="22"/>
        </w:rPr>
        <w:t xml:space="preserve"> provides greater regulatory certainty to sponsors, as the conditions of exemption would cease to apply when the sponsor notice is withdrawn. Certainty as to </w:t>
      </w:r>
      <w:r w:rsidR="00617C80" w:rsidRPr="00B61AD3">
        <w:rPr>
          <w:rFonts w:cs="Times New Roman"/>
          <w:szCs w:val="22"/>
        </w:rPr>
        <w:t xml:space="preserve">when </w:t>
      </w:r>
      <w:r w:rsidRPr="00B61AD3">
        <w:rPr>
          <w:rFonts w:cs="Times New Roman"/>
          <w:szCs w:val="22"/>
        </w:rPr>
        <w:t>the obligations contained in the conditions of exemption cease to apply to sponsors is particularly important as an act or omission by a sponsor</w:t>
      </w:r>
      <w:r w:rsidR="00080B3F" w:rsidRPr="00B61AD3">
        <w:rPr>
          <w:rFonts w:cs="Times New Roman"/>
          <w:szCs w:val="22"/>
        </w:rPr>
        <w:t>,</w:t>
      </w:r>
      <w:r w:rsidRPr="00B61AD3">
        <w:rPr>
          <w:rFonts w:cs="Times New Roman"/>
          <w:szCs w:val="22"/>
        </w:rPr>
        <w:t xml:space="preserve"> which results in a breach of a condition of exemption may be a criminal offence (subsections 22(6) and 22(7AA) of the Act refer) or contravene civil penalty provisions (subsection 22AA(2) of the Act refers).</w:t>
      </w:r>
    </w:p>
    <w:p w14:paraId="06726DFC" w14:textId="77777777" w:rsidR="00886DBA" w:rsidRPr="00B61AD3" w:rsidRDefault="00886DBA" w:rsidP="00C646C3">
      <w:pPr>
        <w:spacing w:line="240" w:lineRule="auto"/>
        <w:contextualSpacing/>
        <w:rPr>
          <w:rFonts w:cs="Times New Roman"/>
          <w:szCs w:val="22"/>
        </w:rPr>
      </w:pPr>
    </w:p>
    <w:p w14:paraId="7F11E6EC" w14:textId="7FBB22E2" w:rsidR="00886DBA" w:rsidRPr="00B61AD3" w:rsidRDefault="00E5081B" w:rsidP="00C646C3">
      <w:pPr>
        <w:spacing w:line="240" w:lineRule="auto"/>
        <w:contextualSpacing/>
        <w:rPr>
          <w:rFonts w:cs="Times New Roman"/>
          <w:szCs w:val="22"/>
        </w:rPr>
      </w:pPr>
      <w:r w:rsidRPr="00B61AD3">
        <w:rPr>
          <w:rFonts w:cs="Times New Roman"/>
          <w:szCs w:val="22"/>
        </w:rPr>
        <w:t>Specifically, t</w:t>
      </w:r>
      <w:r w:rsidR="00886DBA" w:rsidRPr="00B61AD3">
        <w:rPr>
          <w:rFonts w:cs="Times New Roman"/>
          <w:szCs w:val="22"/>
        </w:rPr>
        <w:t>his item amend</w:t>
      </w:r>
      <w:r w:rsidR="00FA030A" w:rsidRPr="00B61AD3">
        <w:rPr>
          <w:rFonts w:cs="Times New Roman"/>
          <w:szCs w:val="22"/>
        </w:rPr>
        <w:t>s</w:t>
      </w:r>
      <w:r w:rsidR="00886DBA" w:rsidRPr="00B61AD3">
        <w:rPr>
          <w:rFonts w:cs="Times New Roman"/>
          <w:szCs w:val="22"/>
        </w:rPr>
        <w:t xml:space="preserve"> column 2 in item 15 of the table in Schedule 5A to the TG Regulations by introducing new paragraphs (e) to (g).</w:t>
      </w:r>
      <w:r w:rsidRPr="00B61AD3">
        <w:rPr>
          <w:rFonts w:cs="Times New Roman"/>
          <w:szCs w:val="22"/>
        </w:rPr>
        <w:t xml:space="preserve"> Essentially, t</w:t>
      </w:r>
      <w:r w:rsidR="00886DBA" w:rsidRPr="00B61AD3">
        <w:rPr>
          <w:rFonts w:cs="Times New Roman"/>
          <w:szCs w:val="22"/>
        </w:rPr>
        <w:t>his amendment make</w:t>
      </w:r>
      <w:r w:rsidR="00FA030A" w:rsidRPr="00B61AD3">
        <w:rPr>
          <w:rFonts w:cs="Times New Roman"/>
          <w:szCs w:val="22"/>
        </w:rPr>
        <w:t>s</w:t>
      </w:r>
      <w:r w:rsidR="00886DBA" w:rsidRPr="00B61AD3">
        <w:rPr>
          <w:rFonts w:cs="Times New Roman"/>
          <w:szCs w:val="22"/>
        </w:rPr>
        <w:t xml:space="preserve"> it clear that the exemption in item 15 in Schedule 5A to the TG Regulations only applies to </w:t>
      </w:r>
      <w:r w:rsidRPr="00B61AD3">
        <w:rPr>
          <w:rFonts w:cs="Times New Roman"/>
          <w:szCs w:val="22"/>
        </w:rPr>
        <w:t xml:space="preserve">certain therapeutic </w:t>
      </w:r>
      <w:r w:rsidR="0051427B" w:rsidRPr="00B61AD3">
        <w:rPr>
          <w:rFonts w:cs="Times New Roman"/>
          <w:szCs w:val="22"/>
        </w:rPr>
        <w:t xml:space="preserve">vaping substances, therapeutic vaping substance accessories, therapeutic vaping kits and </w:t>
      </w:r>
      <w:r w:rsidRPr="00B61AD3">
        <w:rPr>
          <w:rFonts w:cs="Times New Roman"/>
          <w:szCs w:val="22"/>
        </w:rPr>
        <w:t>goods</w:t>
      </w:r>
      <w:r w:rsidR="0051427B" w:rsidRPr="00B61AD3">
        <w:rPr>
          <w:rFonts w:cs="Times New Roman"/>
          <w:szCs w:val="22"/>
        </w:rPr>
        <w:t xml:space="preserve"> in a therapeutic vaping pack</w:t>
      </w:r>
      <w:r w:rsidR="00886DBA" w:rsidRPr="00B61AD3">
        <w:rPr>
          <w:rFonts w:cs="Times New Roman"/>
          <w:szCs w:val="22"/>
        </w:rPr>
        <w:t xml:space="preserve"> if:</w:t>
      </w:r>
    </w:p>
    <w:p w14:paraId="46570D55" w14:textId="77777777" w:rsidR="00E5081B" w:rsidRPr="00B61AD3" w:rsidRDefault="00E5081B" w:rsidP="00C646C3">
      <w:pPr>
        <w:spacing w:line="240" w:lineRule="auto"/>
        <w:contextualSpacing/>
        <w:rPr>
          <w:rFonts w:cs="Times New Roman"/>
          <w:szCs w:val="22"/>
        </w:rPr>
      </w:pPr>
    </w:p>
    <w:p w14:paraId="6CD4F0A8" w14:textId="77777777" w:rsidR="00886DBA" w:rsidRPr="00B61AD3" w:rsidRDefault="00886DBA" w:rsidP="00C646C3">
      <w:pPr>
        <w:pStyle w:val="ListParagraph"/>
        <w:numPr>
          <w:ilvl w:val="0"/>
          <w:numId w:val="18"/>
        </w:numPr>
        <w:spacing w:line="240" w:lineRule="auto"/>
        <w:rPr>
          <w:rFonts w:cs="Times New Roman"/>
          <w:szCs w:val="22"/>
        </w:rPr>
      </w:pPr>
      <w:r w:rsidRPr="00B61AD3">
        <w:rPr>
          <w:rFonts w:cs="Times New Roman"/>
          <w:szCs w:val="22"/>
        </w:rPr>
        <w:t>the sponsor has given a sponsor notice to the Secretary; and</w:t>
      </w:r>
    </w:p>
    <w:p w14:paraId="7E81165F" w14:textId="77777777" w:rsidR="00E5081B" w:rsidRPr="00B61AD3" w:rsidRDefault="00E5081B" w:rsidP="00C646C3">
      <w:pPr>
        <w:pStyle w:val="ListParagraph"/>
        <w:spacing w:line="240" w:lineRule="auto"/>
        <w:rPr>
          <w:rFonts w:cs="Times New Roman"/>
          <w:szCs w:val="22"/>
        </w:rPr>
      </w:pPr>
    </w:p>
    <w:p w14:paraId="40213FDD" w14:textId="77777777" w:rsidR="00886DBA" w:rsidRPr="00B61AD3" w:rsidRDefault="00886DBA" w:rsidP="00C646C3">
      <w:pPr>
        <w:pStyle w:val="ListParagraph"/>
        <w:numPr>
          <w:ilvl w:val="0"/>
          <w:numId w:val="18"/>
        </w:numPr>
        <w:spacing w:line="240" w:lineRule="auto"/>
        <w:rPr>
          <w:rFonts w:cs="Times New Roman"/>
          <w:szCs w:val="22"/>
        </w:rPr>
      </w:pPr>
      <w:r w:rsidRPr="00B61AD3">
        <w:rPr>
          <w:rFonts w:cs="Times New Roman"/>
          <w:szCs w:val="22"/>
        </w:rPr>
        <w:t>the sponsor has not withdrawn the sponsor notice; and</w:t>
      </w:r>
    </w:p>
    <w:p w14:paraId="21DDD2F3" w14:textId="77777777" w:rsidR="00E5081B" w:rsidRPr="00B61AD3" w:rsidRDefault="00E5081B" w:rsidP="00C646C3">
      <w:pPr>
        <w:spacing w:line="240" w:lineRule="auto"/>
        <w:contextualSpacing/>
        <w:rPr>
          <w:rFonts w:cs="Times New Roman"/>
          <w:szCs w:val="22"/>
        </w:rPr>
      </w:pPr>
    </w:p>
    <w:p w14:paraId="569BCB3D" w14:textId="77777777" w:rsidR="00886DBA" w:rsidRPr="00B61AD3" w:rsidRDefault="00886DBA" w:rsidP="00C646C3">
      <w:pPr>
        <w:pStyle w:val="ListParagraph"/>
        <w:numPr>
          <w:ilvl w:val="0"/>
          <w:numId w:val="18"/>
        </w:numPr>
        <w:spacing w:line="240" w:lineRule="auto"/>
        <w:rPr>
          <w:rFonts w:cs="Times New Roman"/>
          <w:szCs w:val="22"/>
        </w:rPr>
      </w:pPr>
      <w:r w:rsidRPr="00B61AD3">
        <w:rPr>
          <w:rFonts w:cs="Times New Roman"/>
          <w:szCs w:val="22"/>
        </w:rPr>
        <w:t>the goods are not the subject of a cease supply determination.</w:t>
      </w:r>
    </w:p>
    <w:p w14:paraId="31D0C7B7" w14:textId="77777777" w:rsidR="00886DBA" w:rsidRPr="00B61AD3" w:rsidRDefault="00886DBA" w:rsidP="00C646C3">
      <w:pPr>
        <w:spacing w:line="240" w:lineRule="auto"/>
        <w:contextualSpacing/>
        <w:rPr>
          <w:rFonts w:cs="Times New Roman"/>
          <w:szCs w:val="22"/>
        </w:rPr>
      </w:pPr>
    </w:p>
    <w:p w14:paraId="700B5EC6" w14:textId="2DBF528F" w:rsidR="00C368A3" w:rsidRPr="00B61AD3" w:rsidRDefault="00F50067" w:rsidP="00CB7B61">
      <w:pPr>
        <w:spacing w:line="240" w:lineRule="auto"/>
        <w:contextualSpacing/>
        <w:rPr>
          <w:rFonts w:cs="Times New Roman"/>
          <w:szCs w:val="22"/>
        </w:rPr>
      </w:pPr>
      <w:r w:rsidRPr="00B61AD3">
        <w:rPr>
          <w:rFonts w:cs="Times New Roman"/>
          <w:szCs w:val="22"/>
        </w:rPr>
        <w:t>New paragraph (</w:t>
      </w:r>
      <w:r w:rsidR="00E5081B" w:rsidRPr="00B61AD3">
        <w:rPr>
          <w:rFonts w:cs="Times New Roman"/>
          <w:szCs w:val="22"/>
        </w:rPr>
        <w:t>g</w:t>
      </w:r>
      <w:r w:rsidRPr="00B61AD3">
        <w:rPr>
          <w:rFonts w:cs="Times New Roman"/>
          <w:szCs w:val="22"/>
        </w:rPr>
        <w:t>) also has the effect of expanding the circumstances in which the goods may be</w:t>
      </w:r>
      <w:r w:rsidR="00702D91" w:rsidRPr="00B61AD3">
        <w:rPr>
          <w:rFonts w:cs="Times New Roman"/>
          <w:szCs w:val="22"/>
        </w:rPr>
        <w:t xml:space="preserve"> the</w:t>
      </w:r>
      <w:r w:rsidRPr="00B61AD3">
        <w:rPr>
          <w:rFonts w:cs="Times New Roman"/>
          <w:szCs w:val="22"/>
        </w:rPr>
        <w:t xml:space="preserve"> subject </w:t>
      </w:r>
      <w:r w:rsidR="00702D91" w:rsidRPr="00B61AD3">
        <w:rPr>
          <w:rFonts w:cs="Times New Roman"/>
          <w:szCs w:val="22"/>
        </w:rPr>
        <w:t xml:space="preserve">of </w:t>
      </w:r>
      <w:r w:rsidRPr="00B61AD3">
        <w:rPr>
          <w:rFonts w:cs="Times New Roman"/>
          <w:szCs w:val="22"/>
        </w:rPr>
        <w:t xml:space="preserve">a cease supply determination to include failure to comply with the condition in new paragraph (e) </w:t>
      </w:r>
      <w:r w:rsidR="00E5081B" w:rsidRPr="00B61AD3">
        <w:rPr>
          <w:rFonts w:cs="Times New Roman"/>
          <w:szCs w:val="22"/>
        </w:rPr>
        <w:t xml:space="preserve">of column 3 </w:t>
      </w:r>
      <w:r w:rsidR="008941D6">
        <w:rPr>
          <w:rFonts w:cs="Times New Roman"/>
          <w:szCs w:val="22"/>
        </w:rPr>
        <w:t>mentioned</w:t>
      </w:r>
      <w:r w:rsidRPr="00B61AD3">
        <w:rPr>
          <w:rFonts w:cs="Times New Roman"/>
          <w:szCs w:val="22"/>
        </w:rPr>
        <w:t xml:space="preserve"> below.</w:t>
      </w:r>
    </w:p>
    <w:p w14:paraId="5B96488B" w14:textId="77777777" w:rsidR="00C368A3" w:rsidRPr="00B61AD3" w:rsidRDefault="00C368A3" w:rsidP="00CB7B61">
      <w:pPr>
        <w:spacing w:line="240" w:lineRule="auto"/>
        <w:contextualSpacing/>
        <w:rPr>
          <w:rFonts w:cs="Times New Roman"/>
          <w:szCs w:val="22"/>
        </w:rPr>
      </w:pPr>
    </w:p>
    <w:p w14:paraId="56D15B88" w14:textId="4562AB4C" w:rsidR="00CB7B61" w:rsidRPr="00B61AD3" w:rsidRDefault="00F50067" w:rsidP="00CB7B61">
      <w:pPr>
        <w:spacing w:line="240" w:lineRule="auto"/>
        <w:contextualSpacing/>
        <w:rPr>
          <w:rFonts w:cs="Times New Roman"/>
          <w:szCs w:val="22"/>
          <w:lang w:val="en-GB"/>
        </w:rPr>
      </w:pPr>
      <w:r w:rsidRPr="00B61AD3">
        <w:rPr>
          <w:rFonts w:cs="Times New Roman"/>
          <w:szCs w:val="22"/>
        </w:rPr>
        <w:t>Relevantly, new paragraph (e) provides that a sponsor must, when requested by the Secretary, give a notice to the Secretary that the goods conform with each standard that is applicable to the goods</w:t>
      </w:r>
      <w:r w:rsidR="00FD6062" w:rsidRPr="00B61AD3">
        <w:rPr>
          <w:rFonts w:cs="Times New Roman"/>
          <w:szCs w:val="22"/>
        </w:rPr>
        <w:t xml:space="preserve"> (as in force from time to time),</w:t>
      </w:r>
      <w:r w:rsidRPr="00B61AD3">
        <w:rPr>
          <w:rFonts w:cs="Times New Roman"/>
          <w:szCs w:val="22"/>
        </w:rPr>
        <w:t xml:space="preserve"> or is imported or suppl</w:t>
      </w:r>
      <w:r w:rsidR="00617C80" w:rsidRPr="00B61AD3">
        <w:rPr>
          <w:rFonts w:cs="Times New Roman"/>
          <w:szCs w:val="22"/>
        </w:rPr>
        <w:t>ied</w:t>
      </w:r>
      <w:r w:rsidRPr="00B61AD3">
        <w:rPr>
          <w:rFonts w:cs="Times New Roman"/>
          <w:szCs w:val="22"/>
        </w:rPr>
        <w:t xml:space="preserve"> (as</w:t>
      </w:r>
      <w:r w:rsidR="00E5081B" w:rsidRPr="00B61AD3">
        <w:rPr>
          <w:rFonts w:cs="Times New Roman"/>
          <w:szCs w:val="22"/>
        </w:rPr>
        <w:t> </w:t>
      </w:r>
      <w:r w:rsidRPr="00B61AD3">
        <w:rPr>
          <w:rFonts w:cs="Times New Roman"/>
          <w:szCs w:val="22"/>
        </w:rPr>
        <w:t>the case may be), with the consent of the Secretary under section 14 or 14A of the Act.</w:t>
      </w:r>
    </w:p>
    <w:p w14:paraId="44165331" w14:textId="77777777" w:rsidR="00F50067" w:rsidRPr="00B61AD3" w:rsidRDefault="00F50067" w:rsidP="00C646C3">
      <w:pPr>
        <w:spacing w:line="240" w:lineRule="auto"/>
        <w:contextualSpacing/>
        <w:rPr>
          <w:rFonts w:cs="Times New Roman"/>
          <w:szCs w:val="22"/>
        </w:rPr>
      </w:pPr>
    </w:p>
    <w:p w14:paraId="318A882E" w14:textId="7F263379" w:rsidR="00886DBA" w:rsidRPr="00B61AD3" w:rsidRDefault="00886DBA" w:rsidP="00C646C3">
      <w:pPr>
        <w:spacing w:line="240" w:lineRule="auto"/>
        <w:contextualSpacing/>
        <w:rPr>
          <w:rFonts w:cs="Times New Roman"/>
          <w:b/>
          <w:bCs/>
          <w:strike/>
          <w:szCs w:val="22"/>
        </w:rPr>
      </w:pPr>
      <w:r w:rsidRPr="00B61AD3">
        <w:rPr>
          <w:rFonts w:cs="Times New Roman"/>
          <w:b/>
          <w:bCs/>
          <w:szCs w:val="22"/>
        </w:rPr>
        <w:t>Item 1</w:t>
      </w:r>
      <w:r w:rsidR="00FD6062" w:rsidRPr="00B61AD3">
        <w:rPr>
          <w:rFonts w:cs="Times New Roman"/>
          <w:b/>
          <w:bCs/>
          <w:szCs w:val="22"/>
        </w:rPr>
        <w:t>2</w:t>
      </w:r>
      <w:r w:rsidRPr="00B61AD3">
        <w:rPr>
          <w:rFonts w:cs="Times New Roman"/>
          <w:b/>
          <w:bCs/>
          <w:szCs w:val="22"/>
        </w:rPr>
        <w:t xml:space="preserve"> – Schedule 5A (table item 15, column 3, paragraph (a))</w:t>
      </w:r>
    </w:p>
    <w:p w14:paraId="2A97183E" w14:textId="77777777" w:rsidR="00886DBA" w:rsidRPr="00B61AD3" w:rsidRDefault="00886DBA" w:rsidP="00C646C3">
      <w:pPr>
        <w:spacing w:line="240" w:lineRule="auto"/>
        <w:contextualSpacing/>
        <w:rPr>
          <w:rFonts w:cs="Times New Roman"/>
          <w:szCs w:val="22"/>
        </w:rPr>
      </w:pPr>
    </w:p>
    <w:p w14:paraId="0189B99A" w14:textId="3AD6A43C" w:rsidR="00886DBA" w:rsidRPr="00B61AD3" w:rsidRDefault="00886DBA" w:rsidP="00C646C3">
      <w:pPr>
        <w:spacing w:line="240" w:lineRule="auto"/>
        <w:contextualSpacing/>
        <w:rPr>
          <w:rFonts w:cs="Times New Roman"/>
          <w:szCs w:val="22"/>
        </w:rPr>
      </w:pPr>
      <w:r w:rsidRPr="00B61AD3">
        <w:rPr>
          <w:rFonts w:cs="Times New Roman"/>
          <w:szCs w:val="22"/>
        </w:rPr>
        <w:t>This item amend</w:t>
      </w:r>
      <w:r w:rsidR="00FA030A" w:rsidRPr="00B61AD3">
        <w:rPr>
          <w:rFonts w:cs="Times New Roman"/>
          <w:szCs w:val="22"/>
        </w:rPr>
        <w:t>s</w:t>
      </w:r>
      <w:r w:rsidRPr="00B61AD3">
        <w:rPr>
          <w:rFonts w:cs="Times New Roman"/>
          <w:szCs w:val="22"/>
        </w:rPr>
        <w:t xml:space="preserve"> column 3 of item 15 of the table in Schedule 5A to the TG Regulations to replace existing paragraph (a) with a new paragraph (a). The amendment is consequential to the amendment made above to remove content that would otherwise be duplicative as a result of that amendment.</w:t>
      </w:r>
    </w:p>
    <w:p w14:paraId="1BA1E977" w14:textId="77777777" w:rsidR="00886DBA" w:rsidRPr="00B61AD3" w:rsidRDefault="00886DBA" w:rsidP="00C646C3">
      <w:pPr>
        <w:spacing w:line="240" w:lineRule="auto"/>
        <w:contextualSpacing/>
        <w:rPr>
          <w:rFonts w:cs="Times New Roman"/>
          <w:szCs w:val="22"/>
        </w:rPr>
      </w:pPr>
    </w:p>
    <w:p w14:paraId="5E7ECA6A" w14:textId="76C2F78F" w:rsidR="00F50067" w:rsidRPr="00B61AD3" w:rsidRDefault="00F50067" w:rsidP="00C646C3">
      <w:pPr>
        <w:spacing w:line="240" w:lineRule="auto"/>
        <w:contextualSpacing/>
        <w:rPr>
          <w:rFonts w:cs="Times New Roman"/>
          <w:szCs w:val="22"/>
        </w:rPr>
      </w:pPr>
      <w:r w:rsidRPr="00B61AD3">
        <w:rPr>
          <w:rFonts w:cs="Times New Roman"/>
          <w:szCs w:val="22"/>
        </w:rPr>
        <w:t xml:space="preserve">New paragraph (a) requires a sponsor to give the sponsor notice (i.e. the notice </w:t>
      </w:r>
      <w:r w:rsidR="00E5081B" w:rsidRPr="00B61AD3">
        <w:rPr>
          <w:rFonts w:cs="Times New Roman"/>
          <w:szCs w:val="22"/>
        </w:rPr>
        <w:t xml:space="preserve">mentioned </w:t>
      </w:r>
      <w:r w:rsidRPr="00B61AD3">
        <w:rPr>
          <w:rFonts w:cs="Times New Roman"/>
          <w:szCs w:val="22"/>
        </w:rPr>
        <w:t>in new paragraph (</w:t>
      </w:r>
      <w:r w:rsidR="00904854" w:rsidRPr="00B61AD3">
        <w:rPr>
          <w:rFonts w:cs="Times New Roman"/>
          <w:szCs w:val="22"/>
        </w:rPr>
        <w:t>e</w:t>
      </w:r>
      <w:r w:rsidRPr="00B61AD3">
        <w:rPr>
          <w:rFonts w:cs="Times New Roman"/>
          <w:szCs w:val="22"/>
        </w:rPr>
        <w:t>) in column 2 of that item, and including the statement to be set out in that paragraph) to the Secretary in an approved form.</w:t>
      </w:r>
    </w:p>
    <w:p w14:paraId="41282564" w14:textId="77777777" w:rsidR="00F50067" w:rsidRPr="00B61AD3" w:rsidRDefault="00F50067" w:rsidP="00C646C3">
      <w:pPr>
        <w:spacing w:line="240" w:lineRule="auto"/>
        <w:contextualSpacing/>
        <w:rPr>
          <w:rFonts w:cs="Times New Roman"/>
          <w:szCs w:val="22"/>
        </w:rPr>
      </w:pPr>
    </w:p>
    <w:p w14:paraId="3C2F41D9" w14:textId="1DE4CD6E" w:rsidR="00F50067" w:rsidRPr="00B61AD3" w:rsidRDefault="002449C6" w:rsidP="00C646C3">
      <w:pPr>
        <w:spacing w:line="240" w:lineRule="auto"/>
        <w:contextualSpacing/>
        <w:rPr>
          <w:rFonts w:cs="Times New Roman"/>
          <w:szCs w:val="22"/>
        </w:rPr>
      </w:pPr>
      <w:r w:rsidRPr="00B61AD3">
        <w:rPr>
          <w:rFonts w:cs="Times New Roman"/>
          <w:szCs w:val="22"/>
        </w:rPr>
        <w:t>I</w:t>
      </w:r>
      <w:r w:rsidR="00E5081B" w:rsidRPr="00B61AD3">
        <w:rPr>
          <w:rFonts w:cs="Times New Roman"/>
          <w:szCs w:val="22"/>
        </w:rPr>
        <w:t>t is intended that</w:t>
      </w:r>
      <w:r w:rsidR="00F50067" w:rsidRPr="00B61AD3">
        <w:rPr>
          <w:rFonts w:cs="Times New Roman"/>
          <w:szCs w:val="22"/>
        </w:rPr>
        <w:t xml:space="preserve"> new paragraph (a)</w:t>
      </w:r>
      <w:r w:rsidR="00E5081B" w:rsidRPr="00B61AD3">
        <w:rPr>
          <w:rFonts w:cs="Times New Roman"/>
          <w:szCs w:val="22"/>
        </w:rPr>
        <w:t>—</w:t>
      </w:r>
      <w:r w:rsidR="00F50067" w:rsidRPr="00B61AD3">
        <w:rPr>
          <w:rFonts w:cs="Times New Roman"/>
          <w:szCs w:val="22"/>
        </w:rPr>
        <w:t>that is, the giving of a sponsor notice to the Secretary in the approved form</w:t>
      </w:r>
      <w:r w:rsidR="00E5081B" w:rsidRPr="00B61AD3">
        <w:rPr>
          <w:rFonts w:cs="Times New Roman"/>
          <w:szCs w:val="22"/>
        </w:rPr>
        <w:t>—continues</w:t>
      </w:r>
      <w:r w:rsidR="00F50067" w:rsidRPr="00B61AD3">
        <w:rPr>
          <w:rFonts w:cs="Times New Roman"/>
          <w:szCs w:val="22"/>
        </w:rPr>
        <w:t xml:space="preserve"> to satisfy the description </w:t>
      </w:r>
      <w:r w:rsidR="00E5081B" w:rsidRPr="00B61AD3">
        <w:rPr>
          <w:rFonts w:cs="Times New Roman"/>
          <w:szCs w:val="22"/>
        </w:rPr>
        <w:t xml:space="preserve">of the paragraph </w:t>
      </w:r>
      <w:r w:rsidR="00F50067" w:rsidRPr="00B61AD3">
        <w:rPr>
          <w:rFonts w:cs="Times New Roman"/>
          <w:szCs w:val="22"/>
        </w:rPr>
        <w:t>contained in subparagraph 5A(13)(b)(i</w:t>
      </w:r>
      <w:r w:rsidR="00911303" w:rsidRPr="00B61AD3">
        <w:rPr>
          <w:rFonts w:cs="Times New Roman"/>
          <w:szCs w:val="22"/>
        </w:rPr>
        <w:t>ii</w:t>
      </w:r>
      <w:r w:rsidR="00F50067" w:rsidRPr="00B61AD3">
        <w:rPr>
          <w:rFonts w:cs="Times New Roman"/>
          <w:szCs w:val="22"/>
        </w:rPr>
        <w:t>) of the CPI Regulations.</w:t>
      </w:r>
    </w:p>
    <w:p w14:paraId="553862C4" w14:textId="77777777" w:rsidR="004E377C" w:rsidRPr="00B61AD3" w:rsidRDefault="004E377C" w:rsidP="00C646C3">
      <w:pPr>
        <w:spacing w:line="240" w:lineRule="auto"/>
        <w:contextualSpacing/>
        <w:rPr>
          <w:rFonts w:cs="Times New Roman"/>
          <w:szCs w:val="22"/>
        </w:rPr>
      </w:pPr>
    </w:p>
    <w:p w14:paraId="73D5CABF" w14:textId="188A43F4" w:rsidR="004E377C" w:rsidRPr="00B61AD3" w:rsidRDefault="004E377C" w:rsidP="00C646C3">
      <w:pPr>
        <w:spacing w:line="240" w:lineRule="auto"/>
        <w:contextualSpacing/>
        <w:rPr>
          <w:rFonts w:cs="Times New Roman"/>
          <w:szCs w:val="22"/>
        </w:rPr>
      </w:pPr>
      <w:r w:rsidRPr="00B61AD3">
        <w:rPr>
          <w:rFonts w:cs="Times New Roman"/>
          <w:szCs w:val="22"/>
        </w:rPr>
        <w:t xml:space="preserve">Vaping goods may only be lawfully imported to Australia by a person with a licence and written permission granted by a prescribed authority under regulation 5A of the CPI Regulations. A prescribed authority may only grant a permission to a person who is a licence holder and one or more of the circumstances contained in paragraph 5A(12)(b) of the CPI Regulations apply. One of those circumstances is that the vaping goods meet the ‘notification requirements’ prescribed in subregulation 5A(13) of the CPI Regulations (subparagraph 5A(12)(b)(ii) refers). Subparagraph 5A(13)(b)(iii) of the CPI Regulations is one of these ‘notification requirements’, and provides that “a </w:t>
      </w:r>
      <w:r w:rsidRPr="00B61AD3">
        <w:rPr>
          <w:rFonts w:cs="Times New Roman"/>
          <w:szCs w:val="22"/>
        </w:rPr>
        <w:lastRenderedPageBreak/>
        <w:t>notice in relation to the vaping goods has been given in accordance with paragraph (a) of column 3 of item 15 of Schedule 5A to the [TG Regulations]”.</w:t>
      </w:r>
    </w:p>
    <w:p w14:paraId="652F312F" w14:textId="77777777" w:rsidR="00F50067" w:rsidRPr="00B61AD3" w:rsidRDefault="00F50067" w:rsidP="00C646C3">
      <w:pPr>
        <w:spacing w:line="240" w:lineRule="auto"/>
        <w:contextualSpacing/>
        <w:rPr>
          <w:rFonts w:cs="Times New Roman"/>
          <w:szCs w:val="22"/>
        </w:rPr>
      </w:pPr>
    </w:p>
    <w:p w14:paraId="2D864DA1" w14:textId="3AAE455F" w:rsidR="00886DBA" w:rsidRPr="00B61AD3" w:rsidRDefault="00886DBA" w:rsidP="00C646C3">
      <w:pPr>
        <w:spacing w:line="240" w:lineRule="auto"/>
        <w:contextualSpacing/>
        <w:rPr>
          <w:rFonts w:cs="Times New Roman"/>
          <w:szCs w:val="22"/>
        </w:rPr>
      </w:pPr>
      <w:r w:rsidRPr="00B61AD3">
        <w:rPr>
          <w:rFonts w:cs="Times New Roman"/>
          <w:b/>
          <w:bCs/>
          <w:szCs w:val="22"/>
        </w:rPr>
        <w:t>Item 1</w:t>
      </w:r>
      <w:r w:rsidR="00FD6062" w:rsidRPr="00B61AD3">
        <w:rPr>
          <w:rFonts w:cs="Times New Roman"/>
          <w:b/>
          <w:bCs/>
          <w:szCs w:val="22"/>
        </w:rPr>
        <w:t>3</w:t>
      </w:r>
      <w:r w:rsidRPr="00B61AD3">
        <w:rPr>
          <w:rFonts w:cs="Times New Roman"/>
          <w:b/>
          <w:bCs/>
          <w:szCs w:val="22"/>
        </w:rPr>
        <w:t xml:space="preserve"> – Schedule 5A (table item 15, column 3, paragraphs (c) to (e))</w:t>
      </w:r>
    </w:p>
    <w:p w14:paraId="145CDED6" w14:textId="77777777" w:rsidR="00886DBA" w:rsidRPr="00B61AD3" w:rsidRDefault="00886DBA" w:rsidP="00C646C3">
      <w:pPr>
        <w:spacing w:line="240" w:lineRule="auto"/>
        <w:contextualSpacing/>
        <w:rPr>
          <w:rFonts w:cs="Times New Roman"/>
          <w:szCs w:val="22"/>
        </w:rPr>
      </w:pPr>
    </w:p>
    <w:p w14:paraId="49DD828F" w14:textId="5478F084" w:rsidR="00886DBA" w:rsidRPr="00B61AD3" w:rsidRDefault="00886DBA" w:rsidP="00C646C3">
      <w:pPr>
        <w:spacing w:line="240" w:lineRule="auto"/>
        <w:contextualSpacing/>
        <w:rPr>
          <w:rFonts w:cs="Times New Roman"/>
          <w:szCs w:val="22"/>
        </w:rPr>
      </w:pPr>
      <w:r w:rsidRPr="00B61AD3">
        <w:rPr>
          <w:rFonts w:cs="Times New Roman"/>
          <w:szCs w:val="22"/>
        </w:rPr>
        <w:t>This item amend</w:t>
      </w:r>
      <w:r w:rsidR="00FA030A" w:rsidRPr="00B61AD3">
        <w:rPr>
          <w:rFonts w:cs="Times New Roman"/>
          <w:szCs w:val="22"/>
        </w:rPr>
        <w:t>s</w:t>
      </w:r>
      <w:r w:rsidRPr="00B61AD3">
        <w:rPr>
          <w:rFonts w:cs="Times New Roman"/>
          <w:szCs w:val="22"/>
        </w:rPr>
        <w:t xml:space="preserve"> item 15 of the </w:t>
      </w:r>
      <w:r w:rsidR="00FD6062" w:rsidRPr="00B61AD3">
        <w:rPr>
          <w:rFonts w:cs="Times New Roman"/>
          <w:szCs w:val="22"/>
        </w:rPr>
        <w:t xml:space="preserve">table </w:t>
      </w:r>
      <w:r w:rsidRPr="00B61AD3">
        <w:rPr>
          <w:rFonts w:cs="Times New Roman"/>
          <w:szCs w:val="22"/>
        </w:rPr>
        <w:t>in Schedule 5A to the TG Regulations to replace existing paragraphs (c) to (e) in column 3 with new paragraphs (c) to (e).</w:t>
      </w:r>
    </w:p>
    <w:p w14:paraId="4995488B" w14:textId="77777777" w:rsidR="00254258" w:rsidRPr="00B61AD3" w:rsidRDefault="00254258" w:rsidP="00C646C3">
      <w:pPr>
        <w:spacing w:line="240" w:lineRule="auto"/>
        <w:contextualSpacing/>
        <w:rPr>
          <w:rFonts w:cs="Times New Roman"/>
          <w:szCs w:val="22"/>
        </w:rPr>
      </w:pPr>
    </w:p>
    <w:p w14:paraId="64B28270" w14:textId="75526F54" w:rsidR="00254258" w:rsidRPr="00B61AD3" w:rsidRDefault="00254258" w:rsidP="00C646C3">
      <w:pPr>
        <w:spacing w:line="240" w:lineRule="auto"/>
        <w:contextualSpacing/>
        <w:rPr>
          <w:rFonts w:cs="Times New Roman"/>
          <w:szCs w:val="22"/>
        </w:rPr>
      </w:pPr>
      <w:r w:rsidRPr="00B61AD3">
        <w:rPr>
          <w:rFonts w:cs="Times New Roman"/>
          <w:szCs w:val="22"/>
        </w:rPr>
        <w:t>At a high level, this amendment clarifies that goods must conform with each applicable standard as in force at all times while a good is notified (which may change from time to time). It also provide</w:t>
      </w:r>
      <w:r w:rsidR="00A55AAD" w:rsidRPr="00B61AD3">
        <w:rPr>
          <w:rFonts w:cs="Times New Roman"/>
          <w:szCs w:val="22"/>
        </w:rPr>
        <w:t>s</w:t>
      </w:r>
      <w:r w:rsidRPr="00B61AD3">
        <w:rPr>
          <w:rFonts w:cs="Times New Roman"/>
          <w:szCs w:val="22"/>
        </w:rPr>
        <w:t xml:space="preserve"> a mechanism by which the Secretary may require a sponsor to confirm that their good continues to conform with the applicable standard (for example, in circumstances where an applicable standard has been amended since a sponsor provided an original sponsor notice).</w:t>
      </w:r>
    </w:p>
    <w:p w14:paraId="51E67CBB" w14:textId="77777777" w:rsidR="00886DBA" w:rsidRPr="00B61AD3" w:rsidRDefault="00886DBA" w:rsidP="00C646C3">
      <w:pPr>
        <w:spacing w:line="240" w:lineRule="auto"/>
        <w:contextualSpacing/>
        <w:rPr>
          <w:rFonts w:cs="Times New Roman"/>
          <w:szCs w:val="22"/>
        </w:rPr>
      </w:pPr>
    </w:p>
    <w:p w14:paraId="05A6C70F" w14:textId="131B071C" w:rsidR="00F50067" w:rsidRPr="00B61AD3" w:rsidRDefault="00F50067" w:rsidP="00C646C3">
      <w:pPr>
        <w:spacing w:line="240" w:lineRule="auto"/>
        <w:contextualSpacing/>
        <w:rPr>
          <w:rFonts w:cs="Times New Roman"/>
          <w:szCs w:val="22"/>
        </w:rPr>
      </w:pPr>
      <w:r w:rsidRPr="00B61AD3">
        <w:rPr>
          <w:rFonts w:cs="Times New Roman"/>
          <w:szCs w:val="22"/>
        </w:rPr>
        <w:t>Existing paragraphs (c) and (d) require that a sponsor</w:t>
      </w:r>
      <w:r w:rsidR="00E5081B" w:rsidRPr="00B61AD3">
        <w:rPr>
          <w:rFonts w:cs="Times New Roman"/>
          <w:szCs w:val="22"/>
        </w:rPr>
        <w:t xml:space="preserve"> </w:t>
      </w:r>
      <w:r w:rsidRPr="00B61AD3">
        <w:rPr>
          <w:rFonts w:cs="Times New Roman"/>
          <w:szCs w:val="22"/>
        </w:rPr>
        <w:t>holds information or evidence to support the statements which the sponsor made in the sponsor notice,</w:t>
      </w:r>
      <w:r w:rsidR="00E5081B" w:rsidRPr="00B61AD3">
        <w:rPr>
          <w:rFonts w:cs="Times New Roman"/>
          <w:szCs w:val="22"/>
        </w:rPr>
        <w:t xml:space="preserve"> and</w:t>
      </w:r>
      <w:r w:rsidRPr="00B61AD3">
        <w:rPr>
          <w:rFonts w:cs="Times New Roman"/>
          <w:szCs w:val="22"/>
        </w:rPr>
        <w:t xml:space="preserve"> </w:t>
      </w:r>
      <w:r w:rsidR="00E5081B" w:rsidRPr="00B61AD3">
        <w:rPr>
          <w:rFonts w:cs="Times New Roman"/>
          <w:szCs w:val="22"/>
        </w:rPr>
        <w:t>neither of the statements made in the sponsor notice is incorrect. The statements in the sponsor notice are</w:t>
      </w:r>
      <w:r w:rsidRPr="00B61AD3">
        <w:rPr>
          <w:rFonts w:cs="Times New Roman"/>
          <w:szCs w:val="22"/>
        </w:rPr>
        <w:t xml:space="preserve"> that:</w:t>
      </w:r>
    </w:p>
    <w:p w14:paraId="6FE096C1" w14:textId="77777777" w:rsidR="00E5081B" w:rsidRPr="00B61AD3" w:rsidRDefault="00E5081B" w:rsidP="00C646C3">
      <w:pPr>
        <w:pStyle w:val="ListParagraph"/>
        <w:spacing w:line="240" w:lineRule="auto"/>
        <w:rPr>
          <w:rFonts w:cs="Times New Roman"/>
          <w:szCs w:val="22"/>
        </w:rPr>
      </w:pPr>
    </w:p>
    <w:p w14:paraId="6A2F30A9" w14:textId="217C6C4A" w:rsidR="00F50067" w:rsidRPr="00B61AD3" w:rsidRDefault="00F50067" w:rsidP="00C646C3">
      <w:pPr>
        <w:pStyle w:val="ListParagraph"/>
        <w:numPr>
          <w:ilvl w:val="0"/>
          <w:numId w:val="18"/>
        </w:numPr>
        <w:spacing w:line="240" w:lineRule="auto"/>
        <w:rPr>
          <w:rFonts w:cs="Times New Roman"/>
          <w:szCs w:val="22"/>
        </w:rPr>
      </w:pPr>
      <w:r w:rsidRPr="00B61AD3">
        <w:rPr>
          <w:rFonts w:cs="Times New Roman"/>
          <w:szCs w:val="22"/>
        </w:rPr>
        <w:t>the only indications of the goods are use for smoking cessation or the management of nicotine dependence; and</w:t>
      </w:r>
    </w:p>
    <w:p w14:paraId="125982EE" w14:textId="77777777" w:rsidR="00E5081B" w:rsidRPr="00B61AD3" w:rsidRDefault="00E5081B" w:rsidP="00C646C3">
      <w:pPr>
        <w:spacing w:line="240" w:lineRule="auto"/>
        <w:ind w:left="360"/>
        <w:contextualSpacing/>
        <w:rPr>
          <w:rFonts w:cs="Times New Roman"/>
          <w:szCs w:val="22"/>
        </w:rPr>
      </w:pPr>
    </w:p>
    <w:p w14:paraId="2F6AB5A9" w14:textId="211A516D" w:rsidR="00F50067" w:rsidRPr="00B61AD3" w:rsidRDefault="00F50067" w:rsidP="00C646C3">
      <w:pPr>
        <w:pStyle w:val="ListParagraph"/>
        <w:numPr>
          <w:ilvl w:val="0"/>
          <w:numId w:val="18"/>
        </w:numPr>
        <w:spacing w:line="240" w:lineRule="auto"/>
        <w:rPr>
          <w:rFonts w:cs="Times New Roman"/>
          <w:szCs w:val="22"/>
        </w:rPr>
      </w:pPr>
      <w:r w:rsidRPr="00B61AD3">
        <w:rPr>
          <w:rFonts w:cs="Times New Roman"/>
          <w:szCs w:val="22"/>
        </w:rPr>
        <w:t>the goods conform with any standard that applies to the goods, or is imported or supplied (as</w:t>
      </w:r>
      <w:r w:rsidR="00E5081B" w:rsidRPr="00B61AD3">
        <w:rPr>
          <w:rFonts w:cs="Times New Roman"/>
          <w:szCs w:val="22"/>
        </w:rPr>
        <w:t> </w:t>
      </w:r>
      <w:r w:rsidRPr="00B61AD3">
        <w:rPr>
          <w:rFonts w:cs="Times New Roman"/>
          <w:szCs w:val="22"/>
        </w:rPr>
        <w:t>the case may be) with the consent of the Secretary under section 14 or 14A of the Act</w:t>
      </w:r>
      <w:r w:rsidR="00E5081B" w:rsidRPr="00B61AD3">
        <w:rPr>
          <w:rFonts w:cs="Times New Roman"/>
          <w:szCs w:val="22"/>
        </w:rPr>
        <w:t>.</w:t>
      </w:r>
    </w:p>
    <w:p w14:paraId="300E2557" w14:textId="77777777" w:rsidR="00F50067" w:rsidRPr="00B61AD3" w:rsidRDefault="00F50067" w:rsidP="00C646C3">
      <w:pPr>
        <w:spacing w:line="240" w:lineRule="auto"/>
        <w:contextualSpacing/>
        <w:rPr>
          <w:rFonts w:cs="Times New Roman"/>
          <w:szCs w:val="22"/>
        </w:rPr>
      </w:pPr>
    </w:p>
    <w:p w14:paraId="29BB4FE0" w14:textId="07DD46C4" w:rsidR="00F50067" w:rsidRPr="00B61AD3" w:rsidRDefault="00F50067" w:rsidP="00C646C3">
      <w:pPr>
        <w:spacing w:line="240" w:lineRule="auto"/>
        <w:contextualSpacing/>
        <w:rPr>
          <w:rFonts w:cs="Times New Roman"/>
          <w:szCs w:val="22"/>
        </w:rPr>
      </w:pPr>
      <w:r w:rsidRPr="00B61AD3">
        <w:rPr>
          <w:rFonts w:cs="Times New Roman"/>
          <w:szCs w:val="22"/>
        </w:rPr>
        <w:t xml:space="preserve">Existing paragraph (e) currently provides that the goods must not be the subject of a cease supply determination. </w:t>
      </w:r>
      <w:r w:rsidR="00C368A3" w:rsidRPr="00B61AD3">
        <w:rPr>
          <w:rFonts w:cs="Times New Roman"/>
          <w:szCs w:val="22"/>
        </w:rPr>
        <w:t>The</w:t>
      </w:r>
      <w:r w:rsidRPr="00B61AD3">
        <w:rPr>
          <w:rFonts w:cs="Times New Roman"/>
          <w:szCs w:val="22"/>
        </w:rPr>
        <w:t xml:space="preserve"> amendment above move</w:t>
      </w:r>
      <w:r w:rsidR="00FF78C9" w:rsidRPr="00B61AD3">
        <w:rPr>
          <w:rFonts w:cs="Times New Roman"/>
          <w:szCs w:val="22"/>
        </w:rPr>
        <w:t>s</w:t>
      </w:r>
      <w:r w:rsidRPr="00B61AD3">
        <w:rPr>
          <w:rFonts w:cs="Times New Roman"/>
          <w:szCs w:val="22"/>
        </w:rPr>
        <w:t xml:space="preserve"> the substance of this provision, with amendment, </w:t>
      </w:r>
      <w:r w:rsidR="00B2787A" w:rsidRPr="00B61AD3">
        <w:rPr>
          <w:rFonts w:cs="Times New Roman"/>
          <w:szCs w:val="22"/>
        </w:rPr>
        <w:t xml:space="preserve">from column 3 </w:t>
      </w:r>
      <w:r w:rsidRPr="00B61AD3">
        <w:rPr>
          <w:rFonts w:cs="Times New Roman"/>
          <w:szCs w:val="22"/>
        </w:rPr>
        <w:t>to column 2 of item 15.</w:t>
      </w:r>
    </w:p>
    <w:p w14:paraId="0D1B794B" w14:textId="77777777" w:rsidR="00833DB3" w:rsidRPr="00B61AD3" w:rsidRDefault="00833DB3" w:rsidP="00C646C3">
      <w:pPr>
        <w:spacing w:line="240" w:lineRule="auto"/>
        <w:contextualSpacing/>
        <w:rPr>
          <w:rFonts w:cs="Times New Roman"/>
          <w:szCs w:val="22"/>
        </w:rPr>
      </w:pPr>
    </w:p>
    <w:p w14:paraId="28FC7B9C" w14:textId="6567C73D" w:rsidR="00833DB3" w:rsidRPr="00B61AD3" w:rsidRDefault="00833DB3" w:rsidP="00C646C3">
      <w:pPr>
        <w:spacing w:line="240" w:lineRule="auto"/>
        <w:contextualSpacing/>
        <w:rPr>
          <w:rFonts w:cs="Times New Roman"/>
          <w:szCs w:val="22"/>
        </w:rPr>
      </w:pPr>
      <w:r w:rsidRPr="00B61AD3">
        <w:rPr>
          <w:rFonts w:cs="Times New Roman"/>
          <w:szCs w:val="22"/>
        </w:rPr>
        <w:t xml:space="preserve">New paragraph (e) introduces a new condition of exemption to require a sponsor to provide, on request by the Secretary, a notice </w:t>
      </w:r>
      <w:r w:rsidR="00463530" w:rsidRPr="00B61AD3">
        <w:rPr>
          <w:rFonts w:cs="Times New Roman"/>
          <w:szCs w:val="22"/>
        </w:rPr>
        <w:t>re</w:t>
      </w:r>
      <w:r w:rsidRPr="00B61AD3">
        <w:rPr>
          <w:rFonts w:cs="Times New Roman"/>
          <w:szCs w:val="22"/>
        </w:rPr>
        <w:t>stating one of the matters which the sponsor stated in its original sponsor notice</w:t>
      </w:r>
      <w:r w:rsidR="00CE2039" w:rsidRPr="00B61AD3">
        <w:rPr>
          <w:rFonts w:cs="Times New Roman"/>
          <w:szCs w:val="22"/>
        </w:rPr>
        <w:t xml:space="preserve">—namely, </w:t>
      </w:r>
      <w:r w:rsidRPr="00B61AD3">
        <w:rPr>
          <w:rFonts w:cs="Times New Roman"/>
          <w:szCs w:val="22"/>
        </w:rPr>
        <w:t>that either the goods conform with each standard that is applicable to the goods, or that the goods are being imported or supplied (as the case may be) with the consent of the Secretary. The notice must be given by the sponsor in an approved form and within the period requested by the Secretary (which must be at least 5 working days). The approved form for such a notice would be published on the TGA website at www.tga.gov.au.</w:t>
      </w:r>
    </w:p>
    <w:p w14:paraId="791EC697" w14:textId="77777777" w:rsidR="00833DB3" w:rsidRPr="00B61AD3" w:rsidRDefault="00833DB3" w:rsidP="00C646C3">
      <w:pPr>
        <w:spacing w:line="240" w:lineRule="auto"/>
        <w:contextualSpacing/>
        <w:rPr>
          <w:rFonts w:cs="Times New Roman"/>
          <w:szCs w:val="22"/>
        </w:rPr>
      </w:pPr>
    </w:p>
    <w:p w14:paraId="2CB59487" w14:textId="77777777" w:rsidR="00833DB3" w:rsidRPr="00B61AD3" w:rsidRDefault="00833DB3" w:rsidP="00C646C3">
      <w:pPr>
        <w:spacing w:line="240" w:lineRule="auto"/>
        <w:contextualSpacing/>
        <w:rPr>
          <w:rFonts w:cs="Times New Roman"/>
          <w:szCs w:val="22"/>
        </w:rPr>
      </w:pPr>
      <w:r w:rsidRPr="00B61AD3">
        <w:rPr>
          <w:rFonts w:cs="Times New Roman"/>
          <w:szCs w:val="22"/>
        </w:rPr>
        <w:t>The principal purpose of paragraph (e) is to provide an efficient mechanism for the Secretary to confirm that:</w:t>
      </w:r>
    </w:p>
    <w:p w14:paraId="4D0FDAAE" w14:textId="77777777" w:rsidR="00833DB3" w:rsidRPr="00B61AD3" w:rsidRDefault="00833DB3" w:rsidP="00C646C3">
      <w:pPr>
        <w:spacing w:line="240" w:lineRule="auto"/>
        <w:contextualSpacing/>
        <w:rPr>
          <w:rFonts w:cs="Times New Roman"/>
          <w:szCs w:val="22"/>
        </w:rPr>
      </w:pPr>
    </w:p>
    <w:p w14:paraId="744524AB" w14:textId="5096A0D5" w:rsidR="00833DB3" w:rsidRPr="00B61AD3" w:rsidRDefault="00833DB3" w:rsidP="00C646C3">
      <w:pPr>
        <w:pStyle w:val="ListParagraph"/>
        <w:numPr>
          <w:ilvl w:val="0"/>
          <w:numId w:val="28"/>
        </w:numPr>
        <w:spacing w:line="240" w:lineRule="auto"/>
        <w:rPr>
          <w:rFonts w:cs="Times New Roman"/>
          <w:szCs w:val="22"/>
        </w:rPr>
      </w:pPr>
      <w:r w:rsidRPr="00B61AD3">
        <w:rPr>
          <w:rFonts w:cs="Times New Roman"/>
          <w:szCs w:val="22"/>
        </w:rPr>
        <w:t xml:space="preserve">if </w:t>
      </w:r>
      <w:r w:rsidR="00865120" w:rsidRPr="00B61AD3">
        <w:rPr>
          <w:rFonts w:cs="Times New Roman"/>
          <w:szCs w:val="22"/>
        </w:rPr>
        <w:t xml:space="preserve">the </w:t>
      </w:r>
      <w:r w:rsidR="00865120" w:rsidRPr="00B61AD3">
        <w:rPr>
          <w:rFonts w:cs="Times New Roman"/>
          <w:i/>
          <w:iCs/>
          <w:szCs w:val="22"/>
        </w:rPr>
        <w:t xml:space="preserve">Therapeutic Goods (Standard for Therapeutic Vaping Goods) (TGO 110) Order 2021 </w:t>
      </w:r>
      <w:r w:rsidR="00865120" w:rsidRPr="00B61AD3">
        <w:rPr>
          <w:rFonts w:cs="Times New Roman"/>
          <w:szCs w:val="22"/>
        </w:rPr>
        <w:t>(</w:t>
      </w:r>
      <w:r w:rsidRPr="00B61AD3">
        <w:rPr>
          <w:rFonts w:cs="Times New Roman"/>
          <w:szCs w:val="22"/>
        </w:rPr>
        <w:t>TGO 110</w:t>
      </w:r>
      <w:r w:rsidR="00865120" w:rsidRPr="00B61AD3">
        <w:rPr>
          <w:rFonts w:cs="Times New Roman"/>
          <w:szCs w:val="22"/>
        </w:rPr>
        <w:t>)</w:t>
      </w:r>
      <w:r w:rsidRPr="00B61AD3">
        <w:rPr>
          <w:rFonts w:cs="Times New Roman"/>
          <w:szCs w:val="22"/>
        </w:rPr>
        <w:t xml:space="preserve"> (or a future applicable standard) is amended and the amendment applies to a sponsor’s goods—the sponsor continues to warrant that the goods conform with the standards that apply to the goods (or the sponsor has the consent of the Secretary to import or supply the goods, despite the non-compliance);</w:t>
      </w:r>
      <w:r w:rsidR="00865120" w:rsidRPr="00B61AD3">
        <w:rPr>
          <w:rFonts w:cs="Times New Roman"/>
          <w:szCs w:val="22"/>
        </w:rPr>
        <w:t xml:space="preserve"> and</w:t>
      </w:r>
    </w:p>
    <w:p w14:paraId="1B9C9DB3" w14:textId="77777777" w:rsidR="00833DB3" w:rsidRPr="00B61AD3" w:rsidRDefault="00833DB3" w:rsidP="00C646C3">
      <w:pPr>
        <w:pStyle w:val="ListParagraph"/>
        <w:spacing w:line="240" w:lineRule="auto"/>
        <w:rPr>
          <w:rFonts w:cs="Times New Roman"/>
          <w:szCs w:val="22"/>
        </w:rPr>
      </w:pPr>
    </w:p>
    <w:p w14:paraId="625A8CF4" w14:textId="77777777" w:rsidR="00833DB3" w:rsidRPr="00B61AD3" w:rsidRDefault="00833DB3" w:rsidP="00C646C3">
      <w:pPr>
        <w:pStyle w:val="ListParagraph"/>
        <w:numPr>
          <w:ilvl w:val="0"/>
          <w:numId w:val="28"/>
        </w:numPr>
        <w:spacing w:line="240" w:lineRule="auto"/>
        <w:rPr>
          <w:rFonts w:cs="Times New Roman"/>
          <w:szCs w:val="22"/>
        </w:rPr>
      </w:pPr>
      <w:r w:rsidRPr="00B61AD3">
        <w:rPr>
          <w:rFonts w:cs="Times New Roman"/>
          <w:szCs w:val="22"/>
        </w:rPr>
        <w:t>if the sponsor stated in its original sponsor notice that the goods were being imported or supplied with the consent of the Secretary under section 14 or 14A of the Act, and then that consent expires or is withdrawn—the sponsor warrants that the goods conform with each applicable standard.</w:t>
      </w:r>
    </w:p>
    <w:p w14:paraId="46DE5DEF" w14:textId="77777777" w:rsidR="00833DB3" w:rsidRPr="00B61AD3" w:rsidRDefault="00833DB3" w:rsidP="00C646C3">
      <w:pPr>
        <w:spacing w:line="240" w:lineRule="auto"/>
        <w:contextualSpacing/>
        <w:rPr>
          <w:rFonts w:cs="Times New Roman"/>
          <w:szCs w:val="22"/>
        </w:rPr>
      </w:pPr>
    </w:p>
    <w:p w14:paraId="5BC665E0" w14:textId="566FF339" w:rsidR="00833DB3" w:rsidRPr="00B61AD3" w:rsidRDefault="00833DB3" w:rsidP="00C646C3">
      <w:pPr>
        <w:spacing w:line="240" w:lineRule="auto"/>
        <w:contextualSpacing/>
        <w:rPr>
          <w:rFonts w:cs="Times New Roman"/>
          <w:szCs w:val="22"/>
        </w:rPr>
      </w:pPr>
      <w:r w:rsidRPr="00B61AD3">
        <w:rPr>
          <w:rFonts w:cs="Times New Roman"/>
          <w:szCs w:val="22"/>
        </w:rPr>
        <w:t xml:space="preserve">Confirmation that sponsors consider that their goods conform with updated standards is critical to the maintenance of the notified vaping goods exemptions in the TG Regulations, and the health and safety of the Australian community. Goods </w:t>
      </w:r>
      <w:r w:rsidR="00463530" w:rsidRPr="00B61AD3">
        <w:rPr>
          <w:rFonts w:cs="Times New Roman"/>
          <w:szCs w:val="22"/>
        </w:rPr>
        <w:t xml:space="preserve">that are </w:t>
      </w:r>
      <w:r w:rsidRPr="00B61AD3">
        <w:rPr>
          <w:rFonts w:cs="Times New Roman"/>
          <w:szCs w:val="22"/>
        </w:rPr>
        <w:t>the subject of this notified vaping exemption are not evaluated by the Secretary for quality, safety or efficacy.</w:t>
      </w:r>
    </w:p>
    <w:p w14:paraId="653F2A39" w14:textId="77777777" w:rsidR="00833DB3" w:rsidRPr="00B61AD3" w:rsidRDefault="00833DB3" w:rsidP="00C646C3">
      <w:pPr>
        <w:spacing w:line="240" w:lineRule="auto"/>
        <w:contextualSpacing/>
        <w:rPr>
          <w:rFonts w:cs="Times New Roman"/>
          <w:szCs w:val="22"/>
        </w:rPr>
      </w:pPr>
    </w:p>
    <w:p w14:paraId="4343C378" w14:textId="77777777" w:rsidR="00833DB3" w:rsidRPr="00B61AD3" w:rsidRDefault="00833DB3" w:rsidP="00C646C3">
      <w:pPr>
        <w:spacing w:line="240" w:lineRule="auto"/>
        <w:contextualSpacing/>
        <w:rPr>
          <w:rFonts w:cs="Times New Roman"/>
          <w:szCs w:val="22"/>
        </w:rPr>
      </w:pPr>
      <w:r w:rsidRPr="00B61AD3">
        <w:rPr>
          <w:rFonts w:cs="Times New Roman"/>
          <w:szCs w:val="22"/>
        </w:rPr>
        <w:t>New paragraph (e) provides the Secretary with a mechanism to require sponsors to make a representation about the conformity of their goods with changes to the applicable standards, helping to reduce risks associated with the use of those goods.</w:t>
      </w:r>
    </w:p>
    <w:p w14:paraId="19AEA89D" w14:textId="77777777" w:rsidR="00833DB3" w:rsidRPr="00B61AD3" w:rsidRDefault="00833DB3" w:rsidP="00C646C3">
      <w:pPr>
        <w:spacing w:line="240" w:lineRule="auto"/>
        <w:contextualSpacing/>
        <w:rPr>
          <w:rFonts w:cs="Times New Roman"/>
          <w:szCs w:val="22"/>
        </w:rPr>
      </w:pPr>
    </w:p>
    <w:p w14:paraId="5C875697" w14:textId="18BA1A06" w:rsidR="00833DB3" w:rsidRPr="00B61AD3" w:rsidRDefault="00833DB3" w:rsidP="00C646C3">
      <w:pPr>
        <w:spacing w:line="240" w:lineRule="auto"/>
        <w:contextualSpacing/>
        <w:rPr>
          <w:rFonts w:cs="Times New Roman"/>
          <w:szCs w:val="22"/>
        </w:rPr>
      </w:pPr>
      <w:r w:rsidRPr="00B61AD3">
        <w:rPr>
          <w:rFonts w:cs="Times New Roman"/>
          <w:szCs w:val="22"/>
        </w:rPr>
        <w:t xml:space="preserve">This mechanism is also intended to reduce administrative and regulatory burden for sponsors by providing a straightforward mechanism to certify conformity with applicable standards, </w:t>
      </w:r>
      <w:r w:rsidR="00171693" w:rsidRPr="00B61AD3">
        <w:rPr>
          <w:rFonts w:cs="Times New Roman"/>
          <w:szCs w:val="22"/>
        </w:rPr>
        <w:t>rather than undergoing a</w:t>
      </w:r>
      <w:r w:rsidRPr="00B61AD3">
        <w:rPr>
          <w:rFonts w:cs="Times New Roman"/>
          <w:szCs w:val="22"/>
        </w:rPr>
        <w:t xml:space="preserve"> detailed evaluation by the Secretary under Part 3-2 of the Act as to whether the goods conform with applicable standards. This new condition is not anticipated to materially change a sponsor’s regulatory requirements under the notified vaping goods exemption, as current conditions of exemption require goods to conform with applicable standards at all times (and as amended from time to time) while the goods are exempt (paragraph (d) in column 3 of item 15 refers).</w:t>
      </w:r>
    </w:p>
    <w:p w14:paraId="11F412FA" w14:textId="77777777" w:rsidR="00F50067" w:rsidRPr="00B61AD3" w:rsidRDefault="00F50067" w:rsidP="00C646C3">
      <w:pPr>
        <w:spacing w:line="240" w:lineRule="auto"/>
        <w:contextualSpacing/>
        <w:rPr>
          <w:rFonts w:cs="Times New Roman"/>
          <w:szCs w:val="22"/>
        </w:rPr>
      </w:pPr>
    </w:p>
    <w:p w14:paraId="28EAE941" w14:textId="396860AA" w:rsidR="00F50067" w:rsidRPr="00B61AD3" w:rsidRDefault="00F50067" w:rsidP="00C646C3">
      <w:pPr>
        <w:spacing w:line="240" w:lineRule="auto"/>
        <w:contextualSpacing/>
        <w:rPr>
          <w:rFonts w:cs="Times New Roman"/>
          <w:szCs w:val="22"/>
        </w:rPr>
      </w:pPr>
      <w:r w:rsidRPr="00B61AD3">
        <w:rPr>
          <w:rFonts w:cs="Times New Roman"/>
          <w:szCs w:val="22"/>
        </w:rPr>
        <w:t xml:space="preserve">New paragraph (c) </w:t>
      </w:r>
      <w:r w:rsidR="006F2DD3" w:rsidRPr="00B61AD3">
        <w:rPr>
          <w:rFonts w:cs="Times New Roman"/>
          <w:szCs w:val="22"/>
        </w:rPr>
        <w:t xml:space="preserve">makes minor </w:t>
      </w:r>
      <w:r w:rsidR="000E3F06" w:rsidRPr="00B61AD3">
        <w:rPr>
          <w:rFonts w:cs="Times New Roman"/>
        </w:rPr>
        <w:t>amendments to the existing condition of exemption requiring sponsors to hold information or evidence to support the statement made in the sponsor notice.</w:t>
      </w:r>
    </w:p>
    <w:p w14:paraId="2D338824" w14:textId="77777777" w:rsidR="00864D1A" w:rsidRPr="00B61AD3" w:rsidRDefault="00864D1A" w:rsidP="00C646C3">
      <w:pPr>
        <w:spacing w:line="240" w:lineRule="auto"/>
        <w:contextualSpacing/>
        <w:rPr>
          <w:rFonts w:cs="Times New Roman"/>
          <w:szCs w:val="22"/>
        </w:rPr>
      </w:pPr>
    </w:p>
    <w:p w14:paraId="57031E08" w14:textId="47688284" w:rsidR="00F50067" w:rsidRPr="00B61AD3" w:rsidRDefault="00864D1A" w:rsidP="00C646C3">
      <w:pPr>
        <w:spacing w:line="240" w:lineRule="auto"/>
        <w:contextualSpacing/>
        <w:rPr>
          <w:rFonts w:cs="Times New Roman"/>
          <w:szCs w:val="22"/>
        </w:rPr>
      </w:pPr>
      <w:r w:rsidRPr="00B61AD3">
        <w:rPr>
          <w:rFonts w:cs="Times New Roman"/>
          <w:szCs w:val="22"/>
        </w:rPr>
        <w:t xml:space="preserve">New paragraph (d) </w:t>
      </w:r>
      <w:r w:rsidR="00474047" w:rsidRPr="00B61AD3">
        <w:rPr>
          <w:rFonts w:cs="Times New Roman"/>
          <w:szCs w:val="22"/>
        </w:rPr>
        <w:t xml:space="preserve">clarifies </w:t>
      </w:r>
      <w:r w:rsidR="00F50067" w:rsidRPr="00B61AD3">
        <w:rPr>
          <w:rFonts w:cs="Times New Roman"/>
          <w:szCs w:val="22"/>
        </w:rPr>
        <w:t xml:space="preserve">that those statements </w:t>
      </w:r>
      <w:r w:rsidR="00474047" w:rsidRPr="00B61AD3">
        <w:rPr>
          <w:rFonts w:cs="Times New Roman"/>
          <w:szCs w:val="22"/>
        </w:rPr>
        <w:t>must be</w:t>
      </w:r>
      <w:r w:rsidR="00F50067" w:rsidRPr="00B61AD3">
        <w:rPr>
          <w:rFonts w:cs="Times New Roman"/>
          <w:szCs w:val="22"/>
        </w:rPr>
        <w:t>, and continue to be, correct.</w:t>
      </w:r>
    </w:p>
    <w:p w14:paraId="52C9C539" w14:textId="77777777" w:rsidR="00E85D3C" w:rsidRPr="00B61AD3" w:rsidRDefault="00E85D3C" w:rsidP="00C646C3">
      <w:pPr>
        <w:spacing w:line="240" w:lineRule="auto"/>
        <w:contextualSpacing/>
        <w:rPr>
          <w:rFonts w:cs="Times New Roman"/>
          <w:szCs w:val="22"/>
        </w:rPr>
      </w:pPr>
    </w:p>
    <w:p w14:paraId="324E8440" w14:textId="2407437F" w:rsidR="00CB0364" w:rsidRPr="00B61AD3" w:rsidRDefault="00E85D3C" w:rsidP="00C646C3">
      <w:pPr>
        <w:shd w:val="clear" w:color="auto" w:fill="FFFFFF" w:themeFill="background1"/>
        <w:spacing w:line="240" w:lineRule="auto"/>
        <w:contextualSpacing/>
        <w:rPr>
          <w:rFonts w:cs="Times New Roman"/>
          <w:szCs w:val="22"/>
        </w:rPr>
      </w:pPr>
      <w:r w:rsidRPr="00B61AD3">
        <w:rPr>
          <w:rFonts w:cs="Times New Roman"/>
          <w:szCs w:val="22"/>
        </w:rPr>
        <w:t xml:space="preserve">The new paragraphs (c) and (d) incorporate by reference ‘each standard (as in force from time to time) that is applicable to the goods’. In practice, the applicable standards are specified in orders made under section 10 of the Act. Currently the relevant standard applicable to the goods is TGO 110. </w:t>
      </w:r>
      <w:r w:rsidR="00192101" w:rsidRPr="00B61AD3">
        <w:rPr>
          <w:rFonts w:cs="Times New Roman"/>
          <w:szCs w:val="22"/>
        </w:rPr>
        <w:t>As the applicable standards are specified in an instrument other than the TG Regulations</w:t>
      </w:r>
      <w:r w:rsidR="00807014" w:rsidRPr="00B61AD3">
        <w:rPr>
          <w:rFonts w:cs="Times New Roman"/>
          <w:szCs w:val="22"/>
        </w:rPr>
        <w:t xml:space="preserve">, it is necessary for paragraphs (c) and (d) to expressly refer to those standards ‘as in force </w:t>
      </w:r>
      <w:r w:rsidR="00A22B4C" w:rsidRPr="00B61AD3">
        <w:rPr>
          <w:rFonts w:cs="Times New Roman"/>
          <w:szCs w:val="22"/>
        </w:rPr>
        <w:t>from time to time’</w:t>
      </w:r>
      <w:r w:rsidR="00204E8C" w:rsidRPr="00B61AD3">
        <w:rPr>
          <w:rFonts w:cs="Times New Roman"/>
          <w:szCs w:val="22"/>
        </w:rPr>
        <w:t>, distinct from the provisions relating to medical devices, where the essential principles apply.</w:t>
      </w:r>
    </w:p>
    <w:p w14:paraId="0FADF0B1" w14:textId="77777777" w:rsidR="00CB0364" w:rsidRPr="00B61AD3" w:rsidRDefault="00CB0364" w:rsidP="00C646C3">
      <w:pPr>
        <w:shd w:val="clear" w:color="auto" w:fill="FFFFFF" w:themeFill="background1"/>
        <w:spacing w:line="240" w:lineRule="auto"/>
        <w:contextualSpacing/>
        <w:rPr>
          <w:rFonts w:cs="Times New Roman"/>
          <w:szCs w:val="22"/>
        </w:rPr>
      </w:pPr>
    </w:p>
    <w:p w14:paraId="0DE18272" w14:textId="0D584DD1" w:rsidR="00E85D3C" w:rsidRPr="00B61AD3" w:rsidRDefault="00E85D3C" w:rsidP="00C646C3">
      <w:pPr>
        <w:shd w:val="clear" w:color="auto" w:fill="FFFFFF" w:themeFill="background1"/>
        <w:spacing w:line="240" w:lineRule="auto"/>
        <w:contextualSpacing/>
        <w:rPr>
          <w:rFonts w:cs="Times New Roman"/>
          <w:color w:val="000000"/>
          <w:szCs w:val="22"/>
        </w:rPr>
      </w:pPr>
      <w:r w:rsidRPr="00B61AD3">
        <w:rPr>
          <w:rFonts w:cs="Times New Roman"/>
          <w:szCs w:val="22"/>
        </w:rPr>
        <w:t xml:space="preserve">TGO 110 </w:t>
      </w:r>
      <w:r w:rsidRPr="00B61AD3">
        <w:rPr>
          <w:rFonts w:cs="Times New Roman"/>
          <w:color w:val="000000" w:themeColor="text1"/>
          <w:szCs w:val="22"/>
        </w:rPr>
        <w:t>is a disallowable legislative instrument made under section 10 of the Act and sets out minimum safety, quality and efficacy standards for therapeutic vaping goods. TGO 110 is freely available on the Federal Register of Legislation (</w:t>
      </w:r>
      <w:r w:rsidRPr="00B61AD3">
        <w:rPr>
          <w:rFonts w:cs="Times New Roman"/>
          <w:szCs w:val="22"/>
        </w:rPr>
        <w:t>www.legislation.gov.au</w:t>
      </w:r>
      <w:r w:rsidRPr="00B61AD3">
        <w:rPr>
          <w:rFonts w:cs="Times New Roman"/>
          <w:color w:val="000000" w:themeColor="text1"/>
          <w:szCs w:val="22"/>
        </w:rPr>
        <w:t>).</w:t>
      </w:r>
    </w:p>
    <w:p w14:paraId="1F55F9AD" w14:textId="77777777" w:rsidR="00E85D3C" w:rsidRPr="00B61AD3" w:rsidRDefault="00E85D3C" w:rsidP="00C646C3">
      <w:pPr>
        <w:shd w:val="clear" w:color="auto" w:fill="FFFFFF" w:themeFill="background1"/>
        <w:spacing w:line="240" w:lineRule="auto"/>
        <w:contextualSpacing/>
        <w:rPr>
          <w:rFonts w:cs="Times New Roman"/>
          <w:color w:val="000000"/>
          <w:szCs w:val="22"/>
        </w:rPr>
      </w:pPr>
    </w:p>
    <w:p w14:paraId="40582668" w14:textId="0F93719C" w:rsidR="00E85D3C" w:rsidRPr="00B61AD3" w:rsidRDefault="00E85D3C" w:rsidP="00C646C3">
      <w:pPr>
        <w:shd w:val="clear" w:color="auto" w:fill="FFFFFF" w:themeFill="background1"/>
        <w:spacing w:line="240" w:lineRule="auto"/>
        <w:contextualSpacing/>
        <w:rPr>
          <w:rFonts w:cs="Times New Roman"/>
          <w:color w:val="000000" w:themeColor="text1"/>
          <w:szCs w:val="22"/>
        </w:rPr>
      </w:pPr>
      <w:r w:rsidRPr="00B61AD3">
        <w:rPr>
          <w:rFonts w:cs="Times New Roman"/>
          <w:color w:val="000000" w:themeColor="text1"/>
          <w:szCs w:val="22"/>
        </w:rPr>
        <w:t>The incorporation by reference of a disallowable legislative instrument made under section 10 of the Act,</w:t>
      </w:r>
      <w:r w:rsidR="00CB0364" w:rsidRPr="00B61AD3">
        <w:rPr>
          <w:rFonts w:cs="Times New Roman"/>
          <w:color w:val="000000" w:themeColor="text1"/>
          <w:szCs w:val="22"/>
        </w:rPr>
        <w:t xml:space="preserve"> as in force from time to time,</w:t>
      </w:r>
      <w:r w:rsidRPr="00B61AD3">
        <w:rPr>
          <w:rFonts w:cs="Times New Roman"/>
          <w:color w:val="000000" w:themeColor="text1"/>
          <w:szCs w:val="22"/>
        </w:rPr>
        <w:t xml:space="preserve"> in the TG Regulations is consistent with subsection 14(1) of the </w:t>
      </w:r>
      <w:r w:rsidRPr="00B61AD3">
        <w:rPr>
          <w:rFonts w:cs="Times New Roman"/>
          <w:iCs/>
          <w:color w:val="000000" w:themeColor="text1"/>
          <w:szCs w:val="22"/>
        </w:rPr>
        <w:t>Legislation Act</w:t>
      </w:r>
      <w:r w:rsidRPr="00B61AD3">
        <w:rPr>
          <w:rFonts w:cs="Times New Roman"/>
          <w:color w:val="000000" w:themeColor="text1"/>
          <w:szCs w:val="22"/>
        </w:rPr>
        <w:t>.</w:t>
      </w:r>
    </w:p>
    <w:p w14:paraId="046A0062" w14:textId="77777777" w:rsidR="00F50067" w:rsidRPr="00B61AD3" w:rsidRDefault="00F50067" w:rsidP="00C646C3">
      <w:pPr>
        <w:shd w:val="clear" w:color="auto" w:fill="FFFFFF" w:themeFill="background1"/>
        <w:spacing w:line="240" w:lineRule="auto"/>
        <w:contextualSpacing/>
        <w:rPr>
          <w:rFonts w:cs="Times New Roman"/>
          <w:color w:val="000000" w:themeColor="text1"/>
          <w:szCs w:val="22"/>
        </w:rPr>
      </w:pPr>
    </w:p>
    <w:p w14:paraId="719D70DD" w14:textId="2D3EF00B" w:rsidR="00F50067" w:rsidRPr="00B61AD3" w:rsidRDefault="00F50067" w:rsidP="00C646C3">
      <w:pPr>
        <w:spacing w:line="240" w:lineRule="auto"/>
        <w:contextualSpacing/>
        <w:rPr>
          <w:rFonts w:cs="Times New Roman"/>
          <w:szCs w:val="22"/>
        </w:rPr>
      </w:pPr>
      <w:r w:rsidRPr="00B61AD3">
        <w:rPr>
          <w:rFonts w:cs="Times New Roman"/>
          <w:szCs w:val="22"/>
        </w:rPr>
        <w:t xml:space="preserve">The </w:t>
      </w:r>
      <w:r w:rsidR="00CB0364" w:rsidRPr="00B61AD3">
        <w:rPr>
          <w:rFonts w:cs="Times New Roman"/>
          <w:szCs w:val="22"/>
        </w:rPr>
        <w:t xml:space="preserve">minor </w:t>
      </w:r>
      <w:r w:rsidRPr="00B61AD3">
        <w:rPr>
          <w:rFonts w:cs="Times New Roman"/>
          <w:szCs w:val="22"/>
        </w:rPr>
        <w:t>amendments to paragraphs (c) and (d) are intended to have two primary effects. First, the new conditions make consequential amendments to new paragraph (e) to provide that obligations concerning the sponsor’s statement that the goods conform with each applicable standard (or is imported or supplied with the consent of the Secretary) applies only in relation to the most recent statement given by the sponsor to that effect, either in a statement provided under new paragraph (e) or the original sponsor notice.</w:t>
      </w:r>
    </w:p>
    <w:p w14:paraId="3FFFB024" w14:textId="77777777" w:rsidR="00F50067" w:rsidRPr="00B61AD3" w:rsidRDefault="00F50067" w:rsidP="00C646C3">
      <w:pPr>
        <w:spacing w:line="240" w:lineRule="auto"/>
        <w:contextualSpacing/>
        <w:rPr>
          <w:rFonts w:cs="Times New Roman"/>
          <w:szCs w:val="22"/>
        </w:rPr>
      </w:pPr>
    </w:p>
    <w:p w14:paraId="4F15379C" w14:textId="60B56CA2" w:rsidR="00F50067" w:rsidRPr="00B61AD3" w:rsidRDefault="00F50067" w:rsidP="00C646C3">
      <w:pPr>
        <w:spacing w:line="240" w:lineRule="auto"/>
        <w:contextualSpacing/>
        <w:rPr>
          <w:rFonts w:cs="Times New Roman"/>
          <w:szCs w:val="22"/>
        </w:rPr>
      </w:pPr>
      <w:r w:rsidRPr="00B61AD3">
        <w:rPr>
          <w:rFonts w:cs="Times New Roman"/>
          <w:szCs w:val="22"/>
        </w:rPr>
        <w:t xml:space="preserve">Second, new paragraphs (c) and (d) are intended to put beyond doubt that the sponsor is required to hold information or evidence to support that the goods conform with each applicable standard, and that the statement made by the sponsor that the goods conform with an applicable standard is correct, both as in force at the time of making a sponsor notice (or a statement under new paragraph (e)), and at all times while the goods continue to be the subject of </w:t>
      </w:r>
      <w:r w:rsidR="00864D1A" w:rsidRPr="00B61AD3">
        <w:rPr>
          <w:rFonts w:cs="Times New Roman"/>
          <w:szCs w:val="22"/>
        </w:rPr>
        <w:t xml:space="preserve">the </w:t>
      </w:r>
      <w:r w:rsidRPr="00B61AD3">
        <w:rPr>
          <w:rFonts w:cs="Times New Roman"/>
          <w:szCs w:val="22"/>
        </w:rPr>
        <w:t>exemption. This is the understanding of the TGA in relation to the effect of current paragraphs (c) and (d). Notwithstanding this position, this amendment is made to provide certainty in relation to the scope of these obligations.</w:t>
      </w:r>
    </w:p>
    <w:p w14:paraId="00CF806C" w14:textId="77777777" w:rsidR="00886DBA" w:rsidRPr="00B61AD3" w:rsidRDefault="00886DBA" w:rsidP="00C646C3">
      <w:pPr>
        <w:spacing w:line="240" w:lineRule="auto"/>
        <w:contextualSpacing/>
        <w:rPr>
          <w:rFonts w:cs="Times New Roman"/>
          <w:szCs w:val="22"/>
        </w:rPr>
      </w:pPr>
    </w:p>
    <w:p w14:paraId="337E6E1A" w14:textId="30A0A04F" w:rsidR="00886DBA" w:rsidRPr="00B61AD3" w:rsidRDefault="00886DBA" w:rsidP="00C646C3">
      <w:pPr>
        <w:spacing w:line="240" w:lineRule="auto"/>
        <w:contextualSpacing/>
        <w:rPr>
          <w:rFonts w:cs="Times New Roman"/>
          <w:b/>
          <w:bCs/>
          <w:szCs w:val="22"/>
        </w:rPr>
      </w:pPr>
      <w:r w:rsidRPr="00B61AD3">
        <w:rPr>
          <w:rFonts w:cs="Times New Roman"/>
          <w:b/>
          <w:bCs/>
          <w:szCs w:val="22"/>
        </w:rPr>
        <w:t xml:space="preserve">Item </w:t>
      </w:r>
      <w:r w:rsidR="00FD6062" w:rsidRPr="00B61AD3">
        <w:rPr>
          <w:rFonts w:cs="Times New Roman"/>
          <w:b/>
          <w:bCs/>
          <w:szCs w:val="22"/>
        </w:rPr>
        <w:t>14</w:t>
      </w:r>
      <w:r w:rsidRPr="00B61AD3">
        <w:rPr>
          <w:rFonts w:cs="Times New Roman"/>
          <w:b/>
          <w:bCs/>
          <w:szCs w:val="22"/>
        </w:rPr>
        <w:t xml:space="preserve"> – Schedule 5A (table item 15, column 3, subparagraph (j)(ii))</w:t>
      </w:r>
    </w:p>
    <w:p w14:paraId="14529E23" w14:textId="77777777" w:rsidR="00886DBA" w:rsidRPr="00B61AD3" w:rsidRDefault="00886DBA" w:rsidP="00C646C3">
      <w:pPr>
        <w:spacing w:line="240" w:lineRule="auto"/>
        <w:contextualSpacing/>
        <w:rPr>
          <w:rFonts w:cs="Times New Roman"/>
          <w:szCs w:val="22"/>
        </w:rPr>
      </w:pPr>
    </w:p>
    <w:p w14:paraId="408956A8" w14:textId="2A511718" w:rsidR="00886DBA" w:rsidRPr="00B61AD3" w:rsidDel="0063537D" w:rsidRDefault="00886DBA" w:rsidP="00C646C3">
      <w:pPr>
        <w:spacing w:line="240" w:lineRule="auto"/>
        <w:contextualSpacing/>
        <w:rPr>
          <w:rFonts w:cs="Times New Roman"/>
          <w:szCs w:val="22"/>
        </w:rPr>
      </w:pPr>
      <w:r w:rsidRPr="00B61AD3">
        <w:rPr>
          <w:rFonts w:cs="Times New Roman"/>
          <w:szCs w:val="22"/>
        </w:rPr>
        <w:t>This item make</w:t>
      </w:r>
      <w:r w:rsidR="00E82B72" w:rsidRPr="00B61AD3">
        <w:rPr>
          <w:rFonts w:cs="Times New Roman"/>
          <w:szCs w:val="22"/>
        </w:rPr>
        <w:t>s</w:t>
      </w:r>
      <w:r w:rsidRPr="00B61AD3">
        <w:rPr>
          <w:rFonts w:cs="Times New Roman"/>
          <w:szCs w:val="22"/>
        </w:rPr>
        <w:t xml:space="preserve"> a minor amendment to replace the reference to ‘the records’ in subparagraph (j)(ii) in column 3 of item 15 of the</w:t>
      </w:r>
      <w:r w:rsidR="00FD6062" w:rsidRPr="00B61AD3">
        <w:rPr>
          <w:rFonts w:cs="Times New Roman"/>
          <w:szCs w:val="22"/>
        </w:rPr>
        <w:t xml:space="preserve"> table</w:t>
      </w:r>
      <w:r w:rsidRPr="00B61AD3">
        <w:rPr>
          <w:rFonts w:cs="Times New Roman"/>
          <w:szCs w:val="22"/>
        </w:rPr>
        <w:t xml:space="preserve"> in Schedule 5A to the TG Regulations, with ‘a copy of the records’, to clarify that sponsors are only required to provide a copy of relevant records to the Secretary (if</w:t>
      </w:r>
      <w:r w:rsidR="00702D91" w:rsidRPr="00B61AD3">
        <w:rPr>
          <w:rFonts w:cs="Times New Roman"/>
          <w:szCs w:val="22"/>
        </w:rPr>
        <w:t> </w:t>
      </w:r>
      <w:r w:rsidRPr="00B61AD3">
        <w:rPr>
          <w:rFonts w:cs="Times New Roman"/>
          <w:szCs w:val="22"/>
        </w:rPr>
        <w:t>requested), rather than the original records themselves.</w:t>
      </w:r>
    </w:p>
    <w:p w14:paraId="6FCE341F" w14:textId="77777777" w:rsidR="00886DBA" w:rsidRPr="00B61AD3" w:rsidRDefault="00886DBA" w:rsidP="00C646C3">
      <w:pPr>
        <w:spacing w:line="240" w:lineRule="auto"/>
        <w:contextualSpacing/>
        <w:rPr>
          <w:rFonts w:cs="Times New Roman"/>
          <w:szCs w:val="22"/>
        </w:rPr>
      </w:pPr>
    </w:p>
    <w:p w14:paraId="54B27D8D" w14:textId="4D0A0F58" w:rsidR="00886DBA" w:rsidRPr="00B61AD3" w:rsidRDefault="00886DBA" w:rsidP="00C646C3">
      <w:pPr>
        <w:spacing w:line="240" w:lineRule="auto"/>
        <w:contextualSpacing/>
        <w:rPr>
          <w:rFonts w:cs="Times New Roman"/>
          <w:b/>
          <w:bCs/>
          <w:szCs w:val="22"/>
        </w:rPr>
      </w:pPr>
      <w:r w:rsidRPr="00B61AD3">
        <w:rPr>
          <w:rFonts w:cs="Times New Roman"/>
          <w:b/>
          <w:bCs/>
          <w:szCs w:val="22"/>
        </w:rPr>
        <w:lastRenderedPageBreak/>
        <w:t xml:space="preserve">Item </w:t>
      </w:r>
      <w:r w:rsidR="00FD6062" w:rsidRPr="00B61AD3">
        <w:rPr>
          <w:rFonts w:cs="Times New Roman"/>
          <w:b/>
          <w:bCs/>
          <w:szCs w:val="22"/>
        </w:rPr>
        <w:t>15</w:t>
      </w:r>
      <w:r w:rsidRPr="00B61AD3">
        <w:rPr>
          <w:rFonts w:cs="Times New Roman"/>
          <w:b/>
          <w:bCs/>
          <w:szCs w:val="22"/>
        </w:rPr>
        <w:t xml:space="preserve"> – Schedule 5A (table item 15, column 3, at the end of paragraph (j))</w:t>
      </w:r>
    </w:p>
    <w:p w14:paraId="5E876077" w14:textId="77777777" w:rsidR="00886DBA" w:rsidRPr="00B61AD3" w:rsidRDefault="00886DBA" w:rsidP="00C646C3">
      <w:pPr>
        <w:spacing w:line="240" w:lineRule="auto"/>
        <w:contextualSpacing/>
        <w:rPr>
          <w:rFonts w:cs="Times New Roman"/>
          <w:szCs w:val="22"/>
        </w:rPr>
      </w:pPr>
    </w:p>
    <w:p w14:paraId="0A8C91B2" w14:textId="4BD77144" w:rsidR="00886DBA" w:rsidRPr="00B61AD3" w:rsidRDefault="00886DBA" w:rsidP="00C646C3">
      <w:pPr>
        <w:spacing w:line="240" w:lineRule="auto"/>
        <w:contextualSpacing/>
        <w:rPr>
          <w:rFonts w:cs="Times New Roman"/>
          <w:szCs w:val="22"/>
        </w:rPr>
      </w:pPr>
      <w:r w:rsidRPr="00B61AD3">
        <w:rPr>
          <w:rFonts w:cs="Times New Roman"/>
          <w:szCs w:val="22"/>
        </w:rPr>
        <w:t xml:space="preserve">This item </w:t>
      </w:r>
      <w:r w:rsidR="000E3F06" w:rsidRPr="00B61AD3">
        <w:rPr>
          <w:rFonts w:cs="Times New Roman"/>
          <w:szCs w:val="22"/>
        </w:rPr>
        <w:t>adds</w:t>
      </w:r>
      <w:r w:rsidRPr="00B61AD3">
        <w:rPr>
          <w:rFonts w:cs="Times New Roman"/>
          <w:szCs w:val="22"/>
        </w:rPr>
        <w:t xml:space="preserve"> new subparagraph (iii) at the end of paragraph (j) in column 3 of item 15 of the table in Schedule 5A to the TG Regulations.</w:t>
      </w:r>
    </w:p>
    <w:p w14:paraId="68873847" w14:textId="77777777" w:rsidR="00F50067" w:rsidRPr="00B61AD3" w:rsidRDefault="00F50067" w:rsidP="00C646C3">
      <w:pPr>
        <w:spacing w:line="240" w:lineRule="auto"/>
        <w:contextualSpacing/>
        <w:rPr>
          <w:rFonts w:cs="Times New Roman"/>
          <w:szCs w:val="22"/>
        </w:rPr>
      </w:pPr>
    </w:p>
    <w:p w14:paraId="1E569461" w14:textId="39459176" w:rsidR="00F50067" w:rsidRPr="00B61AD3" w:rsidRDefault="00F50067" w:rsidP="00C646C3">
      <w:pPr>
        <w:spacing w:line="240" w:lineRule="auto"/>
        <w:contextualSpacing/>
        <w:rPr>
          <w:rFonts w:cs="Times New Roman"/>
          <w:szCs w:val="22"/>
        </w:rPr>
      </w:pPr>
      <w:r w:rsidRPr="00B61AD3">
        <w:rPr>
          <w:rFonts w:cs="Times New Roman"/>
          <w:szCs w:val="22"/>
        </w:rPr>
        <w:t>Under current paragraph (</w:t>
      </w:r>
      <w:r w:rsidR="00C020C0" w:rsidRPr="00B61AD3">
        <w:rPr>
          <w:rFonts w:cs="Times New Roman"/>
          <w:szCs w:val="22"/>
        </w:rPr>
        <w:t>j</w:t>
      </w:r>
      <w:r w:rsidRPr="00B61AD3">
        <w:rPr>
          <w:rFonts w:cs="Times New Roman"/>
          <w:szCs w:val="22"/>
        </w:rPr>
        <w:t>), sponsors are</w:t>
      </w:r>
      <w:r w:rsidR="000543A1" w:rsidRPr="00B61AD3">
        <w:rPr>
          <w:rFonts w:cs="Times New Roman"/>
          <w:szCs w:val="22"/>
        </w:rPr>
        <w:t xml:space="preserve"> already</w:t>
      </w:r>
      <w:r w:rsidRPr="00B61AD3">
        <w:rPr>
          <w:rFonts w:cs="Times New Roman"/>
          <w:szCs w:val="22"/>
        </w:rPr>
        <w:t xml:space="preserve"> required to keep records relating to the source and supply of the goods, and provide those records to the Secretary on request.</w:t>
      </w:r>
    </w:p>
    <w:p w14:paraId="4DBE12AF" w14:textId="77777777" w:rsidR="00886DBA" w:rsidRPr="00B61AD3" w:rsidRDefault="00886DBA" w:rsidP="00C646C3">
      <w:pPr>
        <w:spacing w:line="240" w:lineRule="auto"/>
        <w:contextualSpacing/>
        <w:rPr>
          <w:rFonts w:cs="Times New Roman"/>
          <w:szCs w:val="22"/>
        </w:rPr>
      </w:pPr>
    </w:p>
    <w:p w14:paraId="2EE13A1A" w14:textId="2C187C15" w:rsidR="00864D1A" w:rsidRPr="00B61AD3" w:rsidRDefault="00886DBA" w:rsidP="00C646C3">
      <w:pPr>
        <w:spacing w:line="240" w:lineRule="auto"/>
        <w:contextualSpacing/>
        <w:rPr>
          <w:rFonts w:cs="Times New Roman"/>
          <w:szCs w:val="22"/>
        </w:rPr>
      </w:pPr>
      <w:r w:rsidRPr="00B61AD3">
        <w:rPr>
          <w:rFonts w:cs="Times New Roman"/>
          <w:szCs w:val="22"/>
        </w:rPr>
        <w:t>This amendment introduce</w:t>
      </w:r>
      <w:r w:rsidR="00E82B72" w:rsidRPr="00B61AD3">
        <w:rPr>
          <w:rFonts w:cs="Times New Roman"/>
          <w:szCs w:val="22"/>
        </w:rPr>
        <w:t>s</w:t>
      </w:r>
      <w:r w:rsidRPr="00B61AD3">
        <w:rPr>
          <w:rFonts w:cs="Times New Roman"/>
          <w:szCs w:val="22"/>
        </w:rPr>
        <w:t xml:space="preserve"> a </w:t>
      </w:r>
      <w:r w:rsidR="000543A1" w:rsidRPr="00B61AD3">
        <w:rPr>
          <w:rFonts w:cs="Times New Roman"/>
          <w:szCs w:val="22"/>
        </w:rPr>
        <w:t xml:space="preserve">more flexible and targeted way for the Secretary to obtain information about supply from sponsors by introducing a </w:t>
      </w:r>
      <w:r w:rsidRPr="00B61AD3">
        <w:rPr>
          <w:rFonts w:cs="Times New Roman"/>
          <w:szCs w:val="22"/>
        </w:rPr>
        <w:t>new condition of exemption that requires sponsors to</w:t>
      </w:r>
      <w:r w:rsidR="001F3CF8" w:rsidRPr="00B61AD3">
        <w:rPr>
          <w:rFonts w:cs="Times New Roman"/>
          <w:szCs w:val="22"/>
        </w:rPr>
        <w:t>, on request from the Secretary, provide information relating to the supply of relevant vaping good</w:t>
      </w:r>
      <w:r w:rsidR="00864D1A" w:rsidRPr="00B61AD3">
        <w:rPr>
          <w:rFonts w:cs="Times New Roman"/>
          <w:szCs w:val="22"/>
        </w:rPr>
        <w:t>s</w:t>
      </w:r>
      <w:r w:rsidR="001F3CF8" w:rsidRPr="00B61AD3">
        <w:rPr>
          <w:rFonts w:cs="Times New Roman"/>
          <w:szCs w:val="22"/>
        </w:rPr>
        <w:t xml:space="preserve"> in a period specified by </w:t>
      </w:r>
      <w:r w:rsidR="00056AE6" w:rsidRPr="00B61AD3">
        <w:rPr>
          <w:rFonts w:cs="Times New Roman"/>
          <w:szCs w:val="22"/>
        </w:rPr>
        <w:t xml:space="preserve">the </w:t>
      </w:r>
      <w:r w:rsidR="001F3CF8" w:rsidRPr="00B61AD3">
        <w:rPr>
          <w:rFonts w:cs="Times New Roman"/>
          <w:szCs w:val="22"/>
        </w:rPr>
        <w:t xml:space="preserve">Secretary (for example, between 1 January and 30 March or from the date the sponsor notice was provided to the date of the request under this provision) </w:t>
      </w:r>
      <w:r w:rsidRPr="00B61AD3">
        <w:rPr>
          <w:rFonts w:cs="Times New Roman"/>
          <w:szCs w:val="22"/>
        </w:rPr>
        <w:t>to the Secretary</w:t>
      </w:r>
      <w:r w:rsidR="00056AE6" w:rsidRPr="00B61AD3">
        <w:rPr>
          <w:rFonts w:cs="Times New Roman"/>
          <w:szCs w:val="22"/>
        </w:rPr>
        <w:t>,</w:t>
      </w:r>
      <w:r w:rsidRPr="00B61AD3">
        <w:rPr>
          <w:rFonts w:cs="Times New Roman"/>
          <w:szCs w:val="22"/>
        </w:rPr>
        <w:t xml:space="preserve"> in an approved form.</w:t>
      </w:r>
    </w:p>
    <w:p w14:paraId="245353F9" w14:textId="77777777" w:rsidR="00864D1A" w:rsidRPr="00B61AD3" w:rsidRDefault="00864D1A" w:rsidP="00C646C3">
      <w:pPr>
        <w:spacing w:line="240" w:lineRule="auto"/>
        <w:contextualSpacing/>
        <w:rPr>
          <w:rFonts w:cs="Times New Roman"/>
          <w:szCs w:val="22"/>
        </w:rPr>
      </w:pPr>
    </w:p>
    <w:p w14:paraId="33E7ECE7" w14:textId="18091653" w:rsidR="005734A9" w:rsidRPr="00B61AD3" w:rsidRDefault="002A482F" w:rsidP="00C646C3">
      <w:pPr>
        <w:spacing w:line="240" w:lineRule="auto"/>
        <w:contextualSpacing/>
        <w:rPr>
          <w:rFonts w:eastAsia="Times New Roman" w:cs="Times New Roman"/>
          <w:szCs w:val="22"/>
          <w:lang w:eastAsia="en-AU"/>
        </w:rPr>
      </w:pPr>
      <w:r w:rsidRPr="00B61AD3">
        <w:rPr>
          <w:rFonts w:cs="Times New Roman"/>
          <w:szCs w:val="22"/>
        </w:rPr>
        <w:t>Most of the i</w:t>
      </w:r>
      <w:r w:rsidR="00886DBA" w:rsidRPr="00B61AD3">
        <w:rPr>
          <w:rFonts w:cs="Times New Roman"/>
          <w:szCs w:val="22"/>
        </w:rPr>
        <w:t xml:space="preserve">nformation required to be provided to the Secretary </w:t>
      </w:r>
      <w:r w:rsidR="005373B8" w:rsidRPr="00B61AD3">
        <w:rPr>
          <w:rFonts w:cs="Times New Roman"/>
          <w:szCs w:val="22"/>
        </w:rPr>
        <w:t>will be business related information</w:t>
      </w:r>
      <w:r w:rsidR="00886DBA" w:rsidRPr="00B61AD3">
        <w:rPr>
          <w:rFonts w:cs="Times New Roman"/>
          <w:szCs w:val="22"/>
        </w:rPr>
        <w:t xml:space="preserve">, for example, </w:t>
      </w:r>
      <w:r w:rsidR="000543A1" w:rsidRPr="00B61AD3">
        <w:rPr>
          <w:rFonts w:cs="Times New Roman"/>
          <w:szCs w:val="22"/>
        </w:rPr>
        <w:t xml:space="preserve">identifying information about the goods, </w:t>
      </w:r>
      <w:r w:rsidR="00886DBA" w:rsidRPr="00B61AD3">
        <w:rPr>
          <w:rFonts w:cs="Times New Roman"/>
          <w:szCs w:val="22"/>
        </w:rPr>
        <w:t>the date of supply</w:t>
      </w:r>
      <w:r w:rsidR="00D87116" w:rsidRPr="00B61AD3">
        <w:rPr>
          <w:rFonts w:cs="Times New Roman"/>
          <w:szCs w:val="22"/>
        </w:rPr>
        <w:t xml:space="preserve"> and</w:t>
      </w:r>
      <w:r w:rsidR="00886DBA" w:rsidRPr="00B61AD3">
        <w:rPr>
          <w:rFonts w:cs="Times New Roman"/>
          <w:szCs w:val="22"/>
        </w:rPr>
        <w:t xml:space="preserve"> the quantity of goods supplied. </w:t>
      </w:r>
      <w:r w:rsidR="00D87116" w:rsidRPr="00B61AD3">
        <w:rPr>
          <w:rFonts w:cs="Times New Roman"/>
          <w:szCs w:val="22"/>
        </w:rPr>
        <w:t>H</w:t>
      </w:r>
      <w:r w:rsidR="00D87116" w:rsidRPr="00B61AD3">
        <w:rPr>
          <w:rFonts w:eastAsia="Times New Roman" w:cs="Times New Roman"/>
          <w:szCs w:val="22"/>
          <w:lang w:eastAsia="en-AU"/>
        </w:rPr>
        <w:t>owever, it may also include information relating to the recipients of those goods, namely, medical practitioners, nurse practitioners and pharmacies. While in most cases, these recipients will be corporate entities, some recipients may be small businesses that are non-corporate entities operating under individual names. This means that such information may necessarily involve disclosing personal information relating to those persons, being their individual trading names.</w:t>
      </w:r>
    </w:p>
    <w:p w14:paraId="4F6D4D99" w14:textId="77777777" w:rsidR="005734A9" w:rsidRPr="00B61AD3" w:rsidRDefault="005734A9" w:rsidP="00C646C3">
      <w:pPr>
        <w:spacing w:line="240" w:lineRule="auto"/>
        <w:contextualSpacing/>
        <w:rPr>
          <w:rFonts w:eastAsia="Times New Roman" w:cs="Times New Roman"/>
          <w:szCs w:val="22"/>
          <w:lang w:eastAsia="en-AU"/>
        </w:rPr>
      </w:pPr>
    </w:p>
    <w:p w14:paraId="6C81BBDF" w14:textId="006C2252" w:rsidR="002A482F" w:rsidRPr="00B61AD3" w:rsidRDefault="00D87116" w:rsidP="00C646C3">
      <w:pPr>
        <w:spacing w:line="240" w:lineRule="auto"/>
        <w:contextualSpacing/>
        <w:rPr>
          <w:rFonts w:cs="Times New Roman"/>
          <w:szCs w:val="22"/>
        </w:rPr>
      </w:pPr>
      <w:r w:rsidRPr="00B61AD3">
        <w:rPr>
          <w:rFonts w:eastAsia="Times New Roman" w:cs="Times New Roman"/>
          <w:szCs w:val="22"/>
          <w:lang w:eastAsia="en-AU"/>
        </w:rPr>
        <w:t>The TGA, as part of the Department, is an APP entity for the purposes of the Privacy Act. Consequently, any collection, use or disclosure of personal information by the TGA must be consistent with the Privacy Act.</w:t>
      </w:r>
    </w:p>
    <w:p w14:paraId="5186D857" w14:textId="77777777" w:rsidR="002A482F" w:rsidRPr="00B61AD3" w:rsidRDefault="002A482F" w:rsidP="00C646C3">
      <w:pPr>
        <w:spacing w:line="240" w:lineRule="auto"/>
        <w:contextualSpacing/>
        <w:rPr>
          <w:rFonts w:cs="Times New Roman"/>
          <w:szCs w:val="22"/>
        </w:rPr>
      </w:pPr>
    </w:p>
    <w:p w14:paraId="0FDFA62F" w14:textId="32CEFB5D" w:rsidR="00886DBA" w:rsidRPr="00B61AD3" w:rsidRDefault="00886DBA" w:rsidP="00C646C3">
      <w:pPr>
        <w:spacing w:line="240" w:lineRule="auto"/>
        <w:contextualSpacing/>
        <w:rPr>
          <w:rFonts w:cs="Times New Roman"/>
          <w:szCs w:val="22"/>
        </w:rPr>
      </w:pPr>
      <w:r w:rsidRPr="00B61AD3">
        <w:rPr>
          <w:rFonts w:cs="Times New Roman"/>
          <w:szCs w:val="22"/>
        </w:rPr>
        <w:t>The approved form for providing information to the Secretary would be published on the TGA website at www.tga.gov.au.</w:t>
      </w:r>
    </w:p>
    <w:p w14:paraId="11F70E0D" w14:textId="77777777" w:rsidR="00886DBA" w:rsidRPr="00B61AD3" w:rsidRDefault="00886DBA" w:rsidP="00C646C3">
      <w:pPr>
        <w:spacing w:line="240" w:lineRule="auto"/>
        <w:contextualSpacing/>
        <w:rPr>
          <w:rFonts w:cs="Times New Roman"/>
          <w:szCs w:val="22"/>
        </w:rPr>
      </w:pPr>
    </w:p>
    <w:p w14:paraId="4DE2CC4F" w14:textId="2FAA1CFC" w:rsidR="00886DBA" w:rsidRPr="00B61AD3" w:rsidRDefault="00886DBA" w:rsidP="00C646C3">
      <w:pPr>
        <w:spacing w:line="240" w:lineRule="auto"/>
        <w:contextualSpacing/>
        <w:rPr>
          <w:rFonts w:cs="Times New Roman"/>
          <w:szCs w:val="22"/>
        </w:rPr>
      </w:pPr>
      <w:r w:rsidRPr="00B61AD3">
        <w:rPr>
          <w:rFonts w:cs="Times New Roman"/>
          <w:szCs w:val="22"/>
        </w:rPr>
        <w:t>The condition provide</w:t>
      </w:r>
      <w:r w:rsidR="002A482F" w:rsidRPr="00B61AD3">
        <w:rPr>
          <w:rFonts w:cs="Times New Roman"/>
          <w:szCs w:val="22"/>
        </w:rPr>
        <w:t>s</w:t>
      </w:r>
      <w:r w:rsidRPr="00B61AD3">
        <w:rPr>
          <w:rFonts w:cs="Times New Roman"/>
          <w:szCs w:val="22"/>
        </w:rPr>
        <w:t xml:space="preserve"> that the information must be provided within the </w:t>
      </w:r>
      <w:r w:rsidR="001F3CF8" w:rsidRPr="00B61AD3">
        <w:rPr>
          <w:rFonts w:cs="Times New Roman"/>
          <w:szCs w:val="22"/>
        </w:rPr>
        <w:t>period requested by the Secretary, which must be at least 5 working days starting on the day in which the request is made</w:t>
      </w:r>
      <w:r w:rsidRPr="00B61AD3">
        <w:rPr>
          <w:rFonts w:cs="Times New Roman"/>
          <w:szCs w:val="22"/>
        </w:rPr>
        <w:t>.</w:t>
      </w:r>
    </w:p>
    <w:p w14:paraId="44FD86BE" w14:textId="77777777" w:rsidR="00EF058A" w:rsidRPr="00B61AD3" w:rsidRDefault="00EF058A" w:rsidP="00C646C3">
      <w:pPr>
        <w:spacing w:line="240" w:lineRule="auto"/>
        <w:contextualSpacing/>
        <w:rPr>
          <w:rFonts w:cs="Times New Roman"/>
          <w:szCs w:val="22"/>
        </w:rPr>
      </w:pPr>
    </w:p>
    <w:p w14:paraId="28CAE394" w14:textId="35F4EF64" w:rsidR="000543A1" w:rsidRPr="00B61AD3" w:rsidRDefault="000543A1" w:rsidP="00C646C3">
      <w:pPr>
        <w:spacing w:line="240" w:lineRule="auto"/>
        <w:contextualSpacing/>
        <w:rPr>
          <w:rFonts w:cs="Times New Roman"/>
          <w:szCs w:val="22"/>
        </w:rPr>
      </w:pPr>
      <w:r w:rsidRPr="00B61AD3">
        <w:rPr>
          <w:rFonts w:cs="Times New Roman"/>
          <w:szCs w:val="22"/>
        </w:rPr>
        <w:t xml:space="preserve">This amendment, by providing that a sponsor needs to provide supply information in an approved form, provides greater certainty for sponsors in relation the information that may be requested by the </w:t>
      </w:r>
      <w:r w:rsidR="00864D1A" w:rsidRPr="00B61AD3">
        <w:rPr>
          <w:rFonts w:cs="Times New Roman"/>
          <w:szCs w:val="22"/>
        </w:rPr>
        <w:t>Secretary</w:t>
      </w:r>
      <w:r w:rsidRPr="00B61AD3">
        <w:rPr>
          <w:rFonts w:cs="Times New Roman"/>
          <w:szCs w:val="22"/>
        </w:rPr>
        <w:t xml:space="preserve"> (on a targeted or potentially periodic basis) and create efficiencies for sponsors and the TGA.</w:t>
      </w:r>
    </w:p>
    <w:p w14:paraId="2AF74FD5" w14:textId="77777777" w:rsidR="000543A1" w:rsidRPr="00B61AD3" w:rsidRDefault="000543A1" w:rsidP="00C646C3">
      <w:pPr>
        <w:spacing w:line="240" w:lineRule="auto"/>
        <w:contextualSpacing/>
        <w:rPr>
          <w:rFonts w:cs="Times New Roman"/>
          <w:szCs w:val="22"/>
        </w:rPr>
      </w:pPr>
    </w:p>
    <w:p w14:paraId="451A3C7E" w14:textId="1F3CF0E1" w:rsidR="00864D1A" w:rsidRPr="00B61AD3" w:rsidRDefault="00171693" w:rsidP="00C646C3">
      <w:pPr>
        <w:spacing w:line="240" w:lineRule="auto"/>
        <w:contextualSpacing/>
        <w:rPr>
          <w:rFonts w:cs="Times New Roman"/>
          <w:szCs w:val="22"/>
        </w:rPr>
      </w:pPr>
      <w:r w:rsidRPr="00B61AD3">
        <w:rPr>
          <w:rFonts w:cs="Times New Roman"/>
          <w:szCs w:val="22"/>
        </w:rPr>
        <w:t>In particular, t</w:t>
      </w:r>
      <w:r w:rsidR="000543A1" w:rsidRPr="00B61AD3">
        <w:rPr>
          <w:rFonts w:cs="Times New Roman"/>
          <w:szCs w:val="22"/>
        </w:rPr>
        <w:t xml:space="preserve">he provision of information in an approved form </w:t>
      </w:r>
      <w:r w:rsidR="00864D1A" w:rsidRPr="00B61AD3">
        <w:rPr>
          <w:rFonts w:cs="Times New Roman"/>
          <w:szCs w:val="22"/>
        </w:rPr>
        <w:t xml:space="preserve">to the Secretary </w:t>
      </w:r>
      <w:r w:rsidR="000543A1" w:rsidRPr="00B61AD3">
        <w:rPr>
          <w:rFonts w:cs="Times New Roman"/>
          <w:szCs w:val="22"/>
        </w:rPr>
        <w:t>will support efficient information collection and analysis</w:t>
      </w:r>
      <w:r w:rsidR="00864D1A" w:rsidRPr="00B61AD3">
        <w:rPr>
          <w:rFonts w:cs="Times New Roman"/>
          <w:szCs w:val="22"/>
        </w:rPr>
        <w:t xml:space="preserve"> by the TGA</w:t>
      </w:r>
      <w:r w:rsidR="000543A1" w:rsidRPr="00B61AD3">
        <w:rPr>
          <w:rFonts w:cs="Times New Roman"/>
          <w:szCs w:val="22"/>
        </w:rPr>
        <w:t>. While in certain circumstances the TGA may wish to obtain and analyse specific supply records obtained under subparagraph (ii), it is anticipated that the TGA will more often wish to</w:t>
      </w:r>
      <w:r w:rsidR="00EF3BBE" w:rsidRPr="00B61AD3">
        <w:rPr>
          <w:rFonts w:cs="Times New Roman"/>
          <w:szCs w:val="22"/>
        </w:rPr>
        <w:t xml:space="preserve"> aggregate and then</w:t>
      </w:r>
      <w:r w:rsidR="000543A1" w:rsidRPr="00B61AD3">
        <w:rPr>
          <w:rFonts w:cs="Times New Roman"/>
          <w:szCs w:val="22"/>
        </w:rPr>
        <w:t xml:space="preserve"> analyse supply figures to, for example, measure the effectiveness of the vaping reforms or detect diversion of vaping goods from the legitimate supply chain. In these kinds of circumstances, it is not administratively efficient for the TGA to review and extract data from the different forms of supply record</w:t>
      </w:r>
      <w:r w:rsidR="00904854" w:rsidRPr="00B61AD3">
        <w:rPr>
          <w:rFonts w:cs="Times New Roman"/>
          <w:szCs w:val="22"/>
        </w:rPr>
        <w:t>s</w:t>
      </w:r>
      <w:r w:rsidR="000543A1" w:rsidRPr="00B61AD3">
        <w:rPr>
          <w:rFonts w:cs="Times New Roman"/>
          <w:szCs w:val="22"/>
        </w:rPr>
        <w:t xml:space="preserve"> kept by each sponsor.</w:t>
      </w:r>
    </w:p>
    <w:p w14:paraId="0EE528A0" w14:textId="77777777" w:rsidR="00864D1A" w:rsidRPr="00B61AD3" w:rsidRDefault="00864D1A" w:rsidP="00C646C3">
      <w:pPr>
        <w:spacing w:after="160" w:line="240" w:lineRule="auto"/>
        <w:contextualSpacing/>
        <w:rPr>
          <w:rFonts w:cs="Times New Roman"/>
          <w:szCs w:val="22"/>
        </w:rPr>
      </w:pPr>
      <w:r w:rsidRPr="00B61AD3">
        <w:rPr>
          <w:rFonts w:cs="Times New Roman"/>
          <w:szCs w:val="22"/>
        </w:rPr>
        <w:br w:type="page"/>
      </w:r>
    </w:p>
    <w:p w14:paraId="691D59AB" w14:textId="77777777" w:rsidR="00886DBA" w:rsidRPr="00B61AD3" w:rsidRDefault="00886DBA" w:rsidP="00C646C3">
      <w:pPr>
        <w:spacing w:line="240" w:lineRule="auto"/>
        <w:ind w:firstLine="3"/>
        <w:contextualSpacing/>
        <w:rPr>
          <w:rFonts w:cs="Times New Roman"/>
          <w:szCs w:val="22"/>
          <w:u w:val="single"/>
        </w:rPr>
      </w:pPr>
      <w:r w:rsidRPr="00B61AD3">
        <w:rPr>
          <w:rFonts w:cs="Times New Roman"/>
          <w:szCs w:val="22"/>
          <w:u w:val="single"/>
        </w:rPr>
        <w:lastRenderedPageBreak/>
        <w:t>Part 2—Transitional provisions</w:t>
      </w:r>
    </w:p>
    <w:p w14:paraId="2605D51B" w14:textId="77777777" w:rsidR="00886DBA" w:rsidRPr="00B61AD3" w:rsidRDefault="00886DBA" w:rsidP="00C646C3">
      <w:pPr>
        <w:spacing w:line="240" w:lineRule="auto"/>
        <w:ind w:firstLine="3"/>
        <w:contextualSpacing/>
        <w:rPr>
          <w:rFonts w:cs="Times New Roman"/>
          <w:szCs w:val="22"/>
        </w:rPr>
      </w:pPr>
    </w:p>
    <w:p w14:paraId="48CD3A6F" w14:textId="5B04B45A" w:rsidR="00886DBA" w:rsidRPr="00B61AD3" w:rsidRDefault="00886DBA" w:rsidP="00C646C3">
      <w:pPr>
        <w:spacing w:line="240" w:lineRule="auto"/>
        <w:ind w:firstLine="3"/>
        <w:contextualSpacing/>
        <w:rPr>
          <w:rFonts w:cs="Times New Roman"/>
          <w:szCs w:val="22"/>
        </w:rPr>
      </w:pPr>
      <w:r w:rsidRPr="00B61AD3">
        <w:rPr>
          <w:rFonts w:cs="Times New Roman"/>
          <w:szCs w:val="22"/>
        </w:rPr>
        <w:t>Part 2 of this Schedule provides for transitional arrangements in relation to the amendments made to the MD Regulations and TG Regulations by Part 1 of this Schedule.</w:t>
      </w:r>
    </w:p>
    <w:p w14:paraId="04479510" w14:textId="77777777" w:rsidR="00886DBA" w:rsidRPr="00B61AD3" w:rsidRDefault="00886DBA" w:rsidP="00C646C3">
      <w:pPr>
        <w:spacing w:line="240" w:lineRule="auto"/>
        <w:ind w:firstLine="3"/>
        <w:contextualSpacing/>
        <w:rPr>
          <w:rFonts w:cs="Times New Roman"/>
          <w:szCs w:val="22"/>
        </w:rPr>
      </w:pPr>
    </w:p>
    <w:p w14:paraId="492E2708" w14:textId="77777777" w:rsidR="00886DBA" w:rsidRPr="00B61AD3" w:rsidRDefault="00886DBA" w:rsidP="00C646C3">
      <w:pPr>
        <w:spacing w:line="240" w:lineRule="auto"/>
        <w:ind w:firstLine="3"/>
        <w:contextualSpacing/>
        <w:rPr>
          <w:rFonts w:cs="Times New Roman"/>
          <w:szCs w:val="22"/>
        </w:rPr>
      </w:pPr>
      <w:r w:rsidRPr="00B61AD3">
        <w:rPr>
          <w:rFonts w:cs="Times New Roman"/>
          <w:b/>
          <w:bCs/>
          <w:i/>
          <w:iCs/>
          <w:szCs w:val="22"/>
        </w:rPr>
        <w:t>Therapeutic Goods (Medical Devices) Regulations 2002</w:t>
      </w:r>
    </w:p>
    <w:p w14:paraId="0A9C3BCC" w14:textId="77777777" w:rsidR="00886DBA" w:rsidRPr="00B61AD3" w:rsidRDefault="00886DBA" w:rsidP="00C646C3">
      <w:pPr>
        <w:spacing w:line="240" w:lineRule="auto"/>
        <w:ind w:firstLine="3"/>
        <w:contextualSpacing/>
        <w:rPr>
          <w:rFonts w:cs="Times New Roman"/>
          <w:szCs w:val="22"/>
        </w:rPr>
      </w:pPr>
    </w:p>
    <w:p w14:paraId="26AEA514" w14:textId="4714AC9A" w:rsidR="00886DBA" w:rsidRPr="00B61AD3" w:rsidRDefault="00886DBA" w:rsidP="00C646C3">
      <w:pPr>
        <w:spacing w:line="240" w:lineRule="auto"/>
        <w:ind w:firstLine="3"/>
        <w:contextualSpacing/>
        <w:rPr>
          <w:rFonts w:cs="Times New Roman"/>
          <w:b/>
          <w:bCs/>
          <w:szCs w:val="22"/>
        </w:rPr>
      </w:pPr>
      <w:r w:rsidRPr="00B61AD3">
        <w:rPr>
          <w:rFonts w:cs="Times New Roman"/>
          <w:b/>
          <w:bCs/>
          <w:szCs w:val="22"/>
        </w:rPr>
        <w:t xml:space="preserve">Item </w:t>
      </w:r>
      <w:r w:rsidR="00FD6062" w:rsidRPr="00B61AD3">
        <w:rPr>
          <w:rFonts w:cs="Times New Roman"/>
          <w:b/>
          <w:bCs/>
          <w:szCs w:val="22"/>
        </w:rPr>
        <w:t>16</w:t>
      </w:r>
      <w:r w:rsidRPr="00B61AD3">
        <w:rPr>
          <w:rFonts w:cs="Times New Roman"/>
          <w:b/>
          <w:bCs/>
          <w:szCs w:val="22"/>
        </w:rPr>
        <w:t xml:space="preserve"> – In the appropriate position in Part 11</w:t>
      </w:r>
    </w:p>
    <w:p w14:paraId="14FFAAF0" w14:textId="77777777" w:rsidR="00886DBA" w:rsidRPr="00B61AD3" w:rsidRDefault="00886DBA" w:rsidP="00C646C3">
      <w:pPr>
        <w:spacing w:line="240" w:lineRule="auto"/>
        <w:ind w:firstLine="3"/>
        <w:contextualSpacing/>
        <w:rPr>
          <w:rFonts w:cs="Times New Roman"/>
          <w:szCs w:val="22"/>
        </w:rPr>
      </w:pPr>
    </w:p>
    <w:p w14:paraId="2F4D7548" w14:textId="69DD2FCB" w:rsidR="00886DBA" w:rsidRPr="00B61AD3" w:rsidRDefault="00886DBA" w:rsidP="00C646C3">
      <w:pPr>
        <w:spacing w:line="240" w:lineRule="auto"/>
        <w:ind w:firstLine="3"/>
        <w:contextualSpacing/>
        <w:rPr>
          <w:rFonts w:cs="Times New Roman"/>
          <w:szCs w:val="22"/>
        </w:rPr>
      </w:pPr>
      <w:r w:rsidRPr="00B61AD3">
        <w:rPr>
          <w:rFonts w:cs="Times New Roman"/>
          <w:szCs w:val="22"/>
        </w:rPr>
        <w:t>This item introduce</w:t>
      </w:r>
      <w:r w:rsidR="00F5419D" w:rsidRPr="00B61AD3">
        <w:rPr>
          <w:rFonts w:cs="Times New Roman"/>
          <w:szCs w:val="22"/>
        </w:rPr>
        <w:t>s</w:t>
      </w:r>
      <w:r w:rsidRPr="00B61AD3">
        <w:rPr>
          <w:rFonts w:cs="Times New Roman"/>
          <w:szCs w:val="22"/>
        </w:rPr>
        <w:t xml:space="preserve"> new Division 11.23 in the MD Regulations to provide the application, transitional and savings provisions relating to the amendments to the MD Regulations made by Part 1 of Schedule 1 to the Regulations.</w:t>
      </w:r>
    </w:p>
    <w:p w14:paraId="4999188F" w14:textId="77777777" w:rsidR="00886DBA" w:rsidRPr="00B61AD3" w:rsidRDefault="00886DBA" w:rsidP="00C646C3">
      <w:pPr>
        <w:spacing w:line="240" w:lineRule="auto"/>
        <w:ind w:firstLine="3"/>
        <w:contextualSpacing/>
        <w:rPr>
          <w:rFonts w:cs="Times New Roman"/>
          <w:szCs w:val="22"/>
        </w:rPr>
      </w:pPr>
    </w:p>
    <w:p w14:paraId="114FF1C8" w14:textId="630D3BB8" w:rsidR="00886DBA" w:rsidRPr="00B61AD3" w:rsidRDefault="00886DBA" w:rsidP="00C646C3">
      <w:pPr>
        <w:spacing w:line="240" w:lineRule="auto"/>
        <w:contextualSpacing/>
        <w:rPr>
          <w:rFonts w:cs="Times New Roman"/>
          <w:szCs w:val="22"/>
        </w:rPr>
      </w:pPr>
      <w:r w:rsidRPr="00B61AD3">
        <w:rPr>
          <w:rFonts w:cs="Times New Roman"/>
          <w:szCs w:val="22"/>
        </w:rPr>
        <w:t>New regulation 11.82 of the MD Regulations provide</w:t>
      </w:r>
      <w:r w:rsidR="00F5419D" w:rsidRPr="00B61AD3">
        <w:rPr>
          <w:rFonts w:cs="Times New Roman"/>
          <w:szCs w:val="22"/>
        </w:rPr>
        <w:t>s</w:t>
      </w:r>
      <w:r w:rsidRPr="00B61AD3">
        <w:rPr>
          <w:rFonts w:cs="Times New Roman"/>
          <w:szCs w:val="22"/>
        </w:rPr>
        <w:t xml:space="preserve"> for the definitions that are used in new Division 11.23 of the MD Regulation</w:t>
      </w:r>
      <w:r w:rsidR="00864D1A" w:rsidRPr="00B61AD3">
        <w:rPr>
          <w:rFonts w:cs="Times New Roman"/>
          <w:szCs w:val="22"/>
        </w:rPr>
        <w:t>s</w:t>
      </w:r>
      <w:r w:rsidRPr="00B61AD3">
        <w:rPr>
          <w:rFonts w:cs="Times New Roman"/>
          <w:szCs w:val="22"/>
        </w:rPr>
        <w:t>. Relevantly, the definitions introduced by new regulation 11.82 include:</w:t>
      </w:r>
    </w:p>
    <w:p w14:paraId="17504D10" w14:textId="77777777" w:rsidR="00864D1A" w:rsidRPr="00B61AD3" w:rsidRDefault="00864D1A" w:rsidP="00C646C3">
      <w:pPr>
        <w:spacing w:line="240" w:lineRule="auto"/>
        <w:contextualSpacing/>
        <w:rPr>
          <w:rFonts w:cs="Times New Roman"/>
          <w:szCs w:val="22"/>
        </w:rPr>
      </w:pPr>
    </w:p>
    <w:p w14:paraId="42FB323D" w14:textId="7197FE67" w:rsidR="00886DBA" w:rsidRPr="00B61AD3" w:rsidRDefault="00886DBA" w:rsidP="00C646C3">
      <w:pPr>
        <w:pStyle w:val="ListParagraph"/>
        <w:numPr>
          <w:ilvl w:val="0"/>
          <w:numId w:val="22"/>
        </w:numPr>
        <w:spacing w:line="240" w:lineRule="auto"/>
        <w:rPr>
          <w:rFonts w:cs="Times New Roman"/>
          <w:szCs w:val="22"/>
        </w:rPr>
      </w:pPr>
      <w:r w:rsidRPr="00B61AD3">
        <w:rPr>
          <w:rFonts w:cs="Times New Roman"/>
          <w:szCs w:val="22"/>
        </w:rPr>
        <w:t xml:space="preserve">amending regulations, which means the </w:t>
      </w:r>
      <w:r w:rsidRPr="00B61AD3">
        <w:rPr>
          <w:rFonts w:cs="Times New Roman"/>
          <w:i/>
          <w:iCs/>
          <w:szCs w:val="22"/>
        </w:rPr>
        <w:t>Therapeutic Goods Legislation Amendment (2024 Measures No. 3) Regulations 2024</w:t>
      </w:r>
      <w:r w:rsidRPr="00B61AD3">
        <w:rPr>
          <w:rFonts w:cs="Times New Roman"/>
          <w:szCs w:val="22"/>
        </w:rPr>
        <w:t>;</w:t>
      </w:r>
    </w:p>
    <w:p w14:paraId="7A3FBAB4" w14:textId="77777777" w:rsidR="00864D1A" w:rsidRPr="00B61AD3" w:rsidRDefault="00864D1A" w:rsidP="00C646C3">
      <w:pPr>
        <w:pStyle w:val="ListParagraph"/>
        <w:spacing w:line="240" w:lineRule="auto"/>
        <w:rPr>
          <w:rFonts w:cs="Times New Roman"/>
          <w:szCs w:val="22"/>
        </w:rPr>
      </w:pPr>
    </w:p>
    <w:p w14:paraId="39C32AEC" w14:textId="155F4B7B" w:rsidR="00886DBA" w:rsidRPr="00B61AD3" w:rsidRDefault="00886DBA" w:rsidP="00C646C3">
      <w:pPr>
        <w:pStyle w:val="ListParagraph"/>
        <w:numPr>
          <w:ilvl w:val="0"/>
          <w:numId w:val="22"/>
        </w:numPr>
        <w:spacing w:line="240" w:lineRule="auto"/>
        <w:rPr>
          <w:rFonts w:cs="Times New Roman"/>
          <w:szCs w:val="22"/>
        </w:rPr>
      </w:pPr>
      <w:r w:rsidRPr="00B61AD3">
        <w:rPr>
          <w:rFonts w:cs="Times New Roman"/>
          <w:szCs w:val="22"/>
        </w:rPr>
        <w:t>commencement day, which means the day Division 11.23 commences;</w:t>
      </w:r>
    </w:p>
    <w:p w14:paraId="1FC40BE0" w14:textId="77777777" w:rsidR="00864D1A" w:rsidRPr="00B61AD3" w:rsidRDefault="00864D1A" w:rsidP="00C646C3">
      <w:pPr>
        <w:spacing w:line="240" w:lineRule="auto"/>
        <w:contextualSpacing/>
        <w:rPr>
          <w:rFonts w:cs="Times New Roman"/>
          <w:szCs w:val="22"/>
        </w:rPr>
      </w:pPr>
    </w:p>
    <w:p w14:paraId="0F5274A2" w14:textId="2CA7A7AB" w:rsidR="00886DBA" w:rsidRPr="00B61AD3" w:rsidRDefault="00886DBA" w:rsidP="00C646C3">
      <w:pPr>
        <w:pStyle w:val="ListParagraph"/>
        <w:numPr>
          <w:ilvl w:val="0"/>
          <w:numId w:val="22"/>
        </w:numPr>
        <w:spacing w:line="240" w:lineRule="auto"/>
        <w:rPr>
          <w:rFonts w:cs="Times New Roman"/>
          <w:szCs w:val="22"/>
        </w:rPr>
      </w:pPr>
      <w:r w:rsidRPr="00B61AD3">
        <w:rPr>
          <w:rFonts w:cs="Times New Roman"/>
          <w:szCs w:val="22"/>
        </w:rPr>
        <w:t>conditions column which means the column headed “Conditions” in the table in Part 2 of Schedule 4; and</w:t>
      </w:r>
    </w:p>
    <w:p w14:paraId="3F208E45" w14:textId="77777777" w:rsidR="00864D1A" w:rsidRPr="00B61AD3" w:rsidRDefault="00864D1A" w:rsidP="00C646C3">
      <w:pPr>
        <w:spacing w:line="240" w:lineRule="auto"/>
        <w:contextualSpacing/>
        <w:rPr>
          <w:rFonts w:cs="Times New Roman"/>
          <w:szCs w:val="22"/>
        </w:rPr>
      </w:pPr>
    </w:p>
    <w:p w14:paraId="6951169C" w14:textId="1DA9FC0F" w:rsidR="00886DBA" w:rsidRPr="00B61AD3" w:rsidRDefault="00886DBA" w:rsidP="00C646C3">
      <w:pPr>
        <w:pStyle w:val="ListParagraph"/>
        <w:numPr>
          <w:ilvl w:val="0"/>
          <w:numId w:val="22"/>
        </w:numPr>
        <w:spacing w:line="240" w:lineRule="auto"/>
        <w:rPr>
          <w:rFonts w:cs="Times New Roman"/>
          <w:szCs w:val="22"/>
        </w:rPr>
      </w:pPr>
      <w:r w:rsidRPr="00B61AD3">
        <w:rPr>
          <w:rFonts w:cs="Times New Roman"/>
          <w:szCs w:val="22"/>
        </w:rPr>
        <w:t>devices column, which means the column headed “Kinds of medical devices” in the table in Part 2 of Schedule 4.</w:t>
      </w:r>
    </w:p>
    <w:p w14:paraId="66DD3B82" w14:textId="77777777" w:rsidR="00886DBA" w:rsidRPr="00B61AD3" w:rsidRDefault="00886DBA" w:rsidP="00C646C3">
      <w:pPr>
        <w:spacing w:line="240" w:lineRule="auto"/>
        <w:contextualSpacing/>
        <w:rPr>
          <w:rFonts w:cs="Times New Roman"/>
          <w:szCs w:val="22"/>
        </w:rPr>
      </w:pPr>
    </w:p>
    <w:p w14:paraId="5B3E504D" w14:textId="7B36071F" w:rsidR="00F50067" w:rsidRPr="00B61AD3" w:rsidRDefault="00F50067" w:rsidP="00C646C3">
      <w:pPr>
        <w:spacing w:line="240" w:lineRule="auto"/>
        <w:contextualSpacing/>
        <w:rPr>
          <w:rFonts w:cs="Times New Roman"/>
          <w:szCs w:val="22"/>
        </w:rPr>
      </w:pPr>
      <w:r w:rsidRPr="00B61AD3">
        <w:rPr>
          <w:rFonts w:cs="Times New Roman"/>
          <w:szCs w:val="22"/>
        </w:rPr>
        <w:t>New subregulation 11.83(1) provides that</w:t>
      </w:r>
      <w:r w:rsidR="00B618F5" w:rsidRPr="00B61AD3">
        <w:rPr>
          <w:rFonts w:cs="Times New Roman"/>
          <w:szCs w:val="22"/>
        </w:rPr>
        <w:t>,</w:t>
      </w:r>
      <w:r w:rsidRPr="00B61AD3">
        <w:rPr>
          <w:rFonts w:cs="Times New Roman"/>
          <w:szCs w:val="22"/>
        </w:rPr>
        <w:t xml:space="preserve"> subject to this regulation, the amendments made by Part 1 of Schedule 1 to the Regulations, applies in relation to </w:t>
      </w:r>
      <w:r w:rsidR="006C2FB4" w:rsidRPr="00B61AD3">
        <w:rPr>
          <w:rFonts w:cs="Times New Roman"/>
          <w:szCs w:val="22"/>
        </w:rPr>
        <w:t>medical devices</w:t>
      </w:r>
      <w:r w:rsidRPr="00B61AD3">
        <w:rPr>
          <w:rFonts w:cs="Times New Roman"/>
          <w:szCs w:val="22"/>
        </w:rPr>
        <w:t xml:space="preserve"> that are:</w:t>
      </w:r>
    </w:p>
    <w:p w14:paraId="1A8A9622" w14:textId="77777777" w:rsidR="00864D1A" w:rsidRPr="00B61AD3" w:rsidRDefault="00864D1A" w:rsidP="00C646C3">
      <w:pPr>
        <w:spacing w:line="240" w:lineRule="auto"/>
        <w:contextualSpacing/>
        <w:rPr>
          <w:rFonts w:cs="Times New Roman"/>
          <w:szCs w:val="22"/>
        </w:rPr>
      </w:pPr>
    </w:p>
    <w:p w14:paraId="009B6EF2" w14:textId="77777777" w:rsidR="00F50067" w:rsidRPr="00B61AD3" w:rsidRDefault="00F50067" w:rsidP="00C646C3">
      <w:pPr>
        <w:pStyle w:val="ListParagraph"/>
        <w:numPr>
          <w:ilvl w:val="0"/>
          <w:numId w:val="31"/>
        </w:numPr>
        <w:spacing w:line="240" w:lineRule="auto"/>
        <w:rPr>
          <w:rFonts w:cs="Times New Roman"/>
          <w:szCs w:val="22"/>
        </w:rPr>
      </w:pPr>
      <w:r w:rsidRPr="00B61AD3">
        <w:rPr>
          <w:rFonts w:cs="Times New Roman"/>
          <w:szCs w:val="22"/>
        </w:rPr>
        <w:t>imported or manufactured on or after the commencement day; or</w:t>
      </w:r>
    </w:p>
    <w:p w14:paraId="3AEC14E1" w14:textId="77777777" w:rsidR="00864D1A" w:rsidRPr="00B61AD3" w:rsidRDefault="00864D1A" w:rsidP="00C646C3">
      <w:pPr>
        <w:pStyle w:val="ListParagraph"/>
        <w:spacing w:line="240" w:lineRule="auto"/>
        <w:rPr>
          <w:rFonts w:cs="Times New Roman"/>
          <w:szCs w:val="22"/>
        </w:rPr>
      </w:pPr>
    </w:p>
    <w:p w14:paraId="65FBECA3" w14:textId="5EE82F2B" w:rsidR="00F50067" w:rsidRPr="00B61AD3" w:rsidRDefault="00F50067" w:rsidP="00C646C3">
      <w:pPr>
        <w:pStyle w:val="ListParagraph"/>
        <w:numPr>
          <w:ilvl w:val="0"/>
          <w:numId w:val="31"/>
        </w:numPr>
        <w:spacing w:line="240" w:lineRule="auto"/>
        <w:rPr>
          <w:rFonts w:cs="Times New Roman"/>
          <w:szCs w:val="22"/>
        </w:rPr>
      </w:pPr>
      <w:r w:rsidRPr="00B61AD3">
        <w:rPr>
          <w:rFonts w:cs="Times New Roman"/>
          <w:szCs w:val="22"/>
        </w:rPr>
        <w:t xml:space="preserve">supplied on or after the commencement day, where the </w:t>
      </w:r>
      <w:r w:rsidR="006C2FB4" w:rsidRPr="00B61AD3">
        <w:rPr>
          <w:rFonts w:cs="Times New Roman"/>
          <w:szCs w:val="22"/>
        </w:rPr>
        <w:t>devices</w:t>
      </w:r>
      <w:r w:rsidRPr="00B61AD3">
        <w:rPr>
          <w:rFonts w:cs="Times New Roman"/>
          <w:szCs w:val="22"/>
        </w:rPr>
        <w:t xml:space="preserve"> are owned by, or in the possession or control of, the sponsor immediately before the commencement day.</w:t>
      </w:r>
    </w:p>
    <w:p w14:paraId="0CB2284C" w14:textId="77777777" w:rsidR="00F50067" w:rsidRPr="00B61AD3" w:rsidRDefault="00F50067" w:rsidP="00C646C3">
      <w:pPr>
        <w:spacing w:line="240" w:lineRule="auto"/>
        <w:contextualSpacing/>
        <w:rPr>
          <w:rFonts w:cs="Times New Roman"/>
          <w:szCs w:val="22"/>
        </w:rPr>
      </w:pPr>
    </w:p>
    <w:p w14:paraId="29C0ACF3" w14:textId="5358CBF4" w:rsidR="00F50067" w:rsidRPr="00B61AD3" w:rsidRDefault="00F50067" w:rsidP="00C646C3">
      <w:pPr>
        <w:spacing w:line="240" w:lineRule="auto"/>
        <w:contextualSpacing/>
        <w:rPr>
          <w:rFonts w:cs="Times New Roman"/>
          <w:szCs w:val="22"/>
        </w:rPr>
      </w:pPr>
      <w:r w:rsidRPr="00B61AD3">
        <w:rPr>
          <w:rFonts w:cs="Times New Roman"/>
          <w:szCs w:val="22"/>
        </w:rPr>
        <w:t xml:space="preserve">The second part of this transitional arrangement is intended to cover </w:t>
      </w:r>
      <w:r w:rsidR="00864D1A" w:rsidRPr="00B61AD3">
        <w:rPr>
          <w:rFonts w:cs="Times New Roman"/>
          <w:szCs w:val="22"/>
        </w:rPr>
        <w:t xml:space="preserve">devices supplied in </w:t>
      </w:r>
      <w:r w:rsidRPr="00B61AD3">
        <w:rPr>
          <w:rFonts w:cs="Times New Roman"/>
          <w:szCs w:val="22"/>
        </w:rPr>
        <w:t xml:space="preserve">circumstances </w:t>
      </w:r>
      <w:r w:rsidR="00864D1A" w:rsidRPr="00B61AD3">
        <w:rPr>
          <w:rFonts w:cs="Times New Roman"/>
          <w:szCs w:val="22"/>
        </w:rPr>
        <w:t>where</w:t>
      </w:r>
      <w:r w:rsidRPr="00B61AD3">
        <w:rPr>
          <w:rFonts w:cs="Times New Roman"/>
          <w:szCs w:val="22"/>
        </w:rPr>
        <w:t xml:space="preserve"> a sponsor may, immediately before commencement, have ownership, possession, custody or control of the </w:t>
      </w:r>
      <w:r w:rsidR="0051427B" w:rsidRPr="00B61AD3">
        <w:rPr>
          <w:rFonts w:cs="Times New Roman"/>
          <w:szCs w:val="22"/>
        </w:rPr>
        <w:t>devices</w:t>
      </w:r>
      <w:r w:rsidRPr="00B61AD3">
        <w:rPr>
          <w:rFonts w:cs="Times New Roman"/>
          <w:szCs w:val="22"/>
        </w:rPr>
        <w:t xml:space="preserve">. This includes, for example, </w:t>
      </w:r>
      <w:r w:rsidR="006C2FB4" w:rsidRPr="00B61AD3">
        <w:rPr>
          <w:rFonts w:cs="Times New Roman"/>
          <w:szCs w:val="22"/>
        </w:rPr>
        <w:t>devices</w:t>
      </w:r>
      <w:r w:rsidRPr="00B61AD3">
        <w:rPr>
          <w:rFonts w:cs="Times New Roman"/>
          <w:szCs w:val="22"/>
        </w:rPr>
        <w:t>:</w:t>
      </w:r>
    </w:p>
    <w:p w14:paraId="4494F586" w14:textId="77777777" w:rsidR="00864D1A" w:rsidRPr="00B61AD3" w:rsidRDefault="00864D1A" w:rsidP="00C646C3">
      <w:pPr>
        <w:spacing w:line="240" w:lineRule="auto"/>
        <w:contextualSpacing/>
        <w:rPr>
          <w:rFonts w:cs="Times New Roman"/>
          <w:szCs w:val="22"/>
        </w:rPr>
      </w:pPr>
    </w:p>
    <w:p w14:paraId="5FB7A8BD" w14:textId="77777777"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owned and possessed by the sponsor;</w:t>
      </w:r>
    </w:p>
    <w:p w14:paraId="2ED5F078" w14:textId="77777777" w:rsidR="00864D1A" w:rsidRPr="00B61AD3" w:rsidRDefault="00864D1A" w:rsidP="00C646C3">
      <w:pPr>
        <w:pStyle w:val="ListParagraph"/>
        <w:spacing w:line="240" w:lineRule="auto"/>
        <w:rPr>
          <w:rFonts w:cs="Times New Roman"/>
          <w:szCs w:val="22"/>
        </w:rPr>
      </w:pPr>
    </w:p>
    <w:p w14:paraId="23D138EC" w14:textId="03DAC651"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 xml:space="preserve">held by the sponsor, where ownership of those </w:t>
      </w:r>
      <w:r w:rsidR="006C2FB4" w:rsidRPr="00B61AD3">
        <w:rPr>
          <w:rFonts w:cs="Times New Roman"/>
          <w:szCs w:val="22"/>
        </w:rPr>
        <w:t xml:space="preserve">devices </w:t>
      </w:r>
      <w:r w:rsidRPr="00B61AD3">
        <w:rPr>
          <w:rFonts w:cs="Times New Roman"/>
          <w:szCs w:val="22"/>
        </w:rPr>
        <w:t>has passed to another person;</w:t>
      </w:r>
    </w:p>
    <w:p w14:paraId="20C1955C" w14:textId="77777777" w:rsidR="00864D1A" w:rsidRPr="00B61AD3" w:rsidRDefault="00864D1A" w:rsidP="00C646C3">
      <w:pPr>
        <w:spacing w:line="240" w:lineRule="auto"/>
        <w:contextualSpacing/>
        <w:rPr>
          <w:rFonts w:cs="Times New Roman"/>
          <w:szCs w:val="22"/>
        </w:rPr>
      </w:pPr>
    </w:p>
    <w:p w14:paraId="2C817C8B" w14:textId="50556D73"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held on consignment at a wholesaler on behalf of the sponsor;</w:t>
      </w:r>
      <w:r w:rsidR="00864D1A" w:rsidRPr="00B61AD3">
        <w:rPr>
          <w:rFonts w:cs="Times New Roman"/>
          <w:szCs w:val="22"/>
        </w:rPr>
        <w:t xml:space="preserve"> and</w:t>
      </w:r>
    </w:p>
    <w:p w14:paraId="74C4D0F3" w14:textId="77777777" w:rsidR="00864D1A" w:rsidRPr="00B61AD3" w:rsidRDefault="00864D1A" w:rsidP="00C646C3">
      <w:pPr>
        <w:spacing w:line="240" w:lineRule="auto"/>
        <w:contextualSpacing/>
        <w:rPr>
          <w:rFonts w:cs="Times New Roman"/>
          <w:szCs w:val="22"/>
        </w:rPr>
      </w:pPr>
    </w:p>
    <w:p w14:paraId="7E93ACEB" w14:textId="7AF6BA09"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 xml:space="preserve">in the possession of a transport operator who is delivering the </w:t>
      </w:r>
      <w:r w:rsidR="006C2FB4" w:rsidRPr="00B61AD3">
        <w:rPr>
          <w:rFonts w:cs="Times New Roman"/>
          <w:szCs w:val="22"/>
        </w:rPr>
        <w:t xml:space="preserve">devices </w:t>
      </w:r>
      <w:r w:rsidRPr="00B61AD3">
        <w:rPr>
          <w:rFonts w:cs="Times New Roman"/>
          <w:szCs w:val="22"/>
        </w:rPr>
        <w:t>from the place of importation to a warehouse owned by the sponsor.</w:t>
      </w:r>
    </w:p>
    <w:p w14:paraId="5FFC2E5B" w14:textId="77777777" w:rsidR="00886DBA" w:rsidRPr="00B61AD3" w:rsidRDefault="00886DBA" w:rsidP="00C646C3">
      <w:pPr>
        <w:spacing w:line="240" w:lineRule="auto"/>
        <w:contextualSpacing/>
        <w:rPr>
          <w:rFonts w:cs="Times New Roman"/>
          <w:szCs w:val="22"/>
        </w:rPr>
      </w:pPr>
    </w:p>
    <w:p w14:paraId="688B3644" w14:textId="47BC24D4" w:rsidR="00886DBA" w:rsidRPr="00B61AD3" w:rsidRDefault="00886DBA" w:rsidP="00C646C3">
      <w:pPr>
        <w:spacing w:line="240" w:lineRule="auto"/>
        <w:contextualSpacing/>
        <w:rPr>
          <w:rFonts w:cs="Times New Roman"/>
          <w:szCs w:val="22"/>
        </w:rPr>
      </w:pPr>
      <w:r w:rsidRPr="00B61AD3">
        <w:rPr>
          <w:rFonts w:cs="Times New Roman"/>
          <w:szCs w:val="22"/>
        </w:rPr>
        <w:t>New subregulation 11.83(2) provide</w:t>
      </w:r>
      <w:r w:rsidR="00B938C4" w:rsidRPr="00B61AD3">
        <w:rPr>
          <w:rFonts w:cs="Times New Roman"/>
          <w:szCs w:val="22"/>
        </w:rPr>
        <w:t>s</w:t>
      </w:r>
      <w:r w:rsidRPr="00B61AD3">
        <w:rPr>
          <w:rFonts w:cs="Times New Roman"/>
          <w:szCs w:val="22"/>
        </w:rPr>
        <w:t xml:space="preserve"> that the substitution of paragraph (c) of the conditions column in item 2.17 of the table in Part 2 of Schedule 4, made by Part 1 of Schedule 1 to the Regulations, appl</w:t>
      </w:r>
      <w:r w:rsidR="00B938C4" w:rsidRPr="00B61AD3">
        <w:rPr>
          <w:rFonts w:cs="Times New Roman"/>
          <w:szCs w:val="22"/>
        </w:rPr>
        <w:t>ies</w:t>
      </w:r>
      <w:r w:rsidRPr="00B61AD3">
        <w:rPr>
          <w:rFonts w:cs="Times New Roman"/>
          <w:szCs w:val="22"/>
        </w:rPr>
        <w:t xml:space="preserve"> in relation to information or evidence held by the sponsor on or after </w:t>
      </w:r>
      <w:r w:rsidR="00056AE6" w:rsidRPr="00B61AD3">
        <w:rPr>
          <w:rFonts w:cs="Times New Roman"/>
          <w:szCs w:val="22"/>
        </w:rPr>
        <w:t xml:space="preserve">the </w:t>
      </w:r>
      <w:r w:rsidRPr="00B61AD3">
        <w:rPr>
          <w:rFonts w:cs="Times New Roman"/>
          <w:szCs w:val="22"/>
        </w:rPr>
        <w:t>commencement</w:t>
      </w:r>
      <w:r w:rsidR="00056AE6" w:rsidRPr="00B61AD3">
        <w:rPr>
          <w:rFonts w:cs="Times New Roman"/>
          <w:szCs w:val="22"/>
        </w:rPr>
        <w:t xml:space="preserve"> day</w:t>
      </w:r>
      <w:r w:rsidRPr="00B61AD3">
        <w:rPr>
          <w:rFonts w:cs="Times New Roman"/>
          <w:szCs w:val="22"/>
        </w:rPr>
        <w:t>.</w:t>
      </w:r>
    </w:p>
    <w:p w14:paraId="3FADCD68" w14:textId="77777777" w:rsidR="00886DBA" w:rsidRPr="00B61AD3" w:rsidRDefault="00886DBA" w:rsidP="00C646C3">
      <w:pPr>
        <w:spacing w:line="240" w:lineRule="auto"/>
        <w:contextualSpacing/>
        <w:rPr>
          <w:rFonts w:cs="Times New Roman"/>
          <w:szCs w:val="22"/>
        </w:rPr>
      </w:pPr>
    </w:p>
    <w:p w14:paraId="09ADEE8B" w14:textId="110915B2" w:rsidR="00886DBA" w:rsidRPr="00B61AD3" w:rsidRDefault="00886DBA" w:rsidP="00C646C3">
      <w:pPr>
        <w:spacing w:line="240" w:lineRule="auto"/>
        <w:contextualSpacing/>
        <w:rPr>
          <w:rFonts w:cs="Times New Roman"/>
          <w:szCs w:val="22"/>
        </w:rPr>
      </w:pPr>
      <w:r w:rsidRPr="00B61AD3">
        <w:rPr>
          <w:rFonts w:cs="Times New Roman"/>
          <w:szCs w:val="22"/>
        </w:rPr>
        <w:lastRenderedPageBreak/>
        <w:t>New subregulation 11.83(3) provide</w:t>
      </w:r>
      <w:r w:rsidR="00B938C4" w:rsidRPr="00B61AD3">
        <w:rPr>
          <w:rFonts w:cs="Times New Roman"/>
          <w:szCs w:val="22"/>
        </w:rPr>
        <w:t>s</w:t>
      </w:r>
      <w:r w:rsidRPr="00B61AD3">
        <w:rPr>
          <w:rFonts w:cs="Times New Roman"/>
          <w:szCs w:val="22"/>
        </w:rPr>
        <w:t xml:space="preserve"> that paragraph (e) of the conditions column in item 2.17 of the table in Part 2 of Schedule 4,</w:t>
      </w:r>
      <w:r w:rsidR="00FD6062" w:rsidRPr="00B61AD3">
        <w:rPr>
          <w:rFonts w:cs="Times New Roman"/>
          <w:szCs w:val="22"/>
        </w:rPr>
        <w:t xml:space="preserve"> substituted </w:t>
      </w:r>
      <w:r w:rsidRPr="00B61AD3">
        <w:rPr>
          <w:rFonts w:cs="Times New Roman"/>
          <w:szCs w:val="22"/>
        </w:rPr>
        <w:t>by Part 1 of Schedule 1 to the Regulations, appl</w:t>
      </w:r>
      <w:r w:rsidR="00B938C4" w:rsidRPr="00B61AD3">
        <w:rPr>
          <w:rFonts w:cs="Times New Roman"/>
          <w:szCs w:val="22"/>
        </w:rPr>
        <w:t>ies</w:t>
      </w:r>
      <w:r w:rsidRPr="00B61AD3">
        <w:rPr>
          <w:rFonts w:cs="Times New Roman"/>
          <w:szCs w:val="22"/>
        </w:rPr>
        <w:t xml:space="preserve"> in relation to a request made by the Secretary under that paragraph on or after </w:t>
      </w:r>
      <w:r w:rsidR="00056AE6" w:rsidRPr="00B61AD3">
        <w:rPr>
          <w:rFonts w:cs="Times New Roman"/>
          <w:szCs w:val="22"/>
        </w:rPr>
        <w:t xml:space="preserve">the </w:t>
      </w:r>
      <w:r w:rsidRPr="00B61AD3">
        <w:rPr>
          <w:rFonts w:cs="Times New Roman"/>
          <w:szCs w:val="22"/>
        </w:rPr>
        <w:t>commencement</w:t>
      </w:r>
      <w:r w:rsidR="00056AE6" w:rsidRPr="00B61AD3">
        <w:rPr>
          <w:rFonts w:cs="Times New Roman"/>
          <w:szCs w:val="22"/>
        </w:rPr>
        <w:t xml:space="preserve"> day</w:t>
      </w:r>
      <w:r w:rsidRPr="00B61AD3">
        <w:rPr>
          <w:rFonts w:cs="Times New Roman"/>
          <w:szCs w:val="22"/>
        </w:rPr>
        <w:t>.</w:t>
      </w:r>
    </w:p>
    <w:p w14:paraId="70A50337" w14:textId="77777777" w:rsidR="00886DBA" w:rsidRPr="00B61AD3" w:rsidRDefault="00886DBA" w:rsidP="00C646C3">
      <w:pPr>
        <w:spacing w:line="240" w:lineRule="auto"/>
        <w:contextualSpacing/>
        <w:rPr>
          <w:rFonts w:cs="Times New Roman"/>
          <w:szCs w:val="22"/>
        </w:rPr>
      </w:pPr>
    </w:p>
    <w:p w14:paraId="05794214" w14:textId="4506D614" w:rsidR="00886DBA" w:rsidRPr="00B61AD3" w:rsidRDefault="00886DBA" w:rsidP="00C646C3">
      <w:pPr>
        <w:spacing w:line="240" w:lineRule="auto"/>
        <w:contextualSpacing/>
        <w:rPr>
          <w:rFonts w:cs="Times New Roman"/>
          <w:szCs w:val="22"/>
        </w:rPr>
      </w:pPr>
      <w:r w:rsidRPr="00B61AD3">
        <w:rPr>
          <w:rFonts w:cs="Times New Roman"/>
          <w:szCs w:val="22"/>
        </w:rPr>
        <w:t>New subregulation 11.83(4) provide</w:t>
      </w:r>
      <w:r w:rsidR="00B938C4" w:rsidRPr="00B61AD3">
        <w:rPr>
          <w:rFonts w:cs="Times New Roman"/>
          <w:szCs w:val="22"/>
        </w:rPr>
        <w:t>s</w:t>
      </w:r>
      <w:r w:rsidRPr="00B61AD3">
        <w:rPr>
          <w:rFonts w:cs="Times New Roman"/>
          <w:szCs w:val="22"/>
        </w:rPr>
        <w:t xml:space="preserve"> that the amendment to subparagraph</w:t>
      </w:r>
      <w:r w:rsidR="00DD69AF" w:rsidRPr="00B61AD3">
        <w:rPr>
          <w:rFonts w:cs="Times New Roman"/>
          <w:szCs w:val="22"/>
        </w:rPr>
        <w:t> </w:t>
      </w:r>
      <w:r w:rsidRPr="00B61AD3">
        <w:rPr>
          <w:rFonts w:cs="Times New Roman"/>
          <w:szCs w:val="22"/>
        </w:rPr>
        <w:t>(i)(ii) of the conditions column in item 2.17 of the table in Part 2 of Schedule 4, made by Part 1 of Schedule 1 to the Regulations, appl</w:t>
      </w:r>
      <w:r w:rsidR="00B938C4" w:rsidRPr="00B61AD3">
        <w:rPr>
          <w:rFonts w:cs="Times New Roman"/>
          <w:szCs w:val="22"/>
        </w:rPr>
        <w:t>ies</w:t>
      </w:r>
      <w:r w:rsidRPr="00B61AD3">
        <w:rPr>
          <w:rFonts w:cs="Times New Roman"/>
          <w:szCs w:val="22"/>
        </w:rPr>
        <w:t xml:space="preserve"> in relation to a request made by the Secretary under that subparagraph on or after </w:t>
      </w:r>
      <w:r w:rsidR="00056AE6" w:rsidRPr="00B61AD3">
        <w:rPr>
          <w:rFonts w:cs="Times New Roman"/>
          <w:szCs w:val="22"/>
        </w:rPr>
        <w:t xml:space="preserve">the </w:t>
      </w:r>
      <w:r w:rsidRPr="00B61AD3">
        <w:rPr>
          <w:rFonts w:cs="Times New Roman"/>
          <w:szCs w:val="22"/>
        </w:rPr>
        <w:t>commencement</w:t>
      </w:r>
      <w:r w:rsidR="00056AE6" w:rsidRPr="00B61AD3">
        <w:rPr>
          <w:rFonts w:cs="Times New Roman"/>
          <w:szCs w:val="22"/>
        </w:rPr>
        <w:t xml:space="preserve"> day</w:t>
      </w:r>
      <w:r w:rsidRPr="00B61AD3">
        <w:rPr>
          <w:rFonts w:cs="Times New Roman"/>
          <w:szCs w:val="22"/>
        </w:rPr>
        <w:t>.</w:t>
      </w:r>
    </w:p>
    <w:p w14:paraId="17E8BEBA" w14:textId="77777777" w:rsidR="00886DBA" w:rsidRPr="00B61AD3" w:rsidRDefault="00886DBA" w:rsidP="00C646C3">
      <w:pPr>
        <w:spacing w:line="240" w:lineRule="auto"/>
        <w:contextualSpacing/>
        <w:rPr>
          <w:rFonts w:cs="Times New Roman"/>
          <w:szCs w:val="22"/>
        </w:rPr>
      </w:pPr>
    </w:p>
    <w:p w14:paraId="56E9A7A8" w14:textId="664BD657" w:rsidR="00886DBA" w:rsidRPr="00B61AD3" w:rsidRDefault="00886DBA" w:rsidP="00C646C3">
      <w:pPr>
        <w:spacing w:line="240" w:lineRule="auto"/>
        <w:contextualSpacing/>
        <w:rPr>
          <w:rFonts w:cs="Times New Roman"/>
          <w:szCs w:val="22"/>
        </w:rPr>
      </w:pPr>
      <w:r w:rsidRPr="00B61AD3">
        <w:rPr>
          <w:rFonts w:cs="Times New Roman"/>
          <w:szCs w:val="22"/>
        </w:rPr>
        <w:t>New subregulation 11.83(5) provide</w:t>
      </w:r>
      <w:r w:rsidR="00CA42AB" w:rsidRPr="00B61AD3">
        <w:rPr>
          <w:rFonts w:cs="Times New Roman"/>
          <w:szCs w:val="22"/>
        </w:rPr>
        <w:t>s</w:t>
      </w:r>
      <w:r w:rsidRPr="00B61AD3">
        <w:rPr>
          <w:rFonts w:cs="Times New Roman"/>
          <w:szCs w:val="22"/>
        </w:rPr>
        <w:t xml:space="preserve"> that subparagraph (i)(iii) of the conditions column in item 2.17 of the table in Part 2 of Schedule 4, added by Part 1 of Schedule 1 to the Regulations, </w:t>
      </w:r>
      <w:r w:rsidR="00CA42AB" w:rsidRPr="00B61AD3">
        <w:rPr>
          <w:rFonts w:cs="Times New Roman"/>
          <w:szCs w:val="22"/>
        </w:rPr>
        <w:t xml:space="preserve">applies </w:t>
      </w:r>
      <w:r w:rsidRPr="00B61AD3">
        <w:rPr>
          <w:rFonts w:cs="Times New Roman"/>
          <w:szCs w:val="22"/>
        </w:rPr>
        <w:t>in relation to</w:t>
      </w:r>
      <w:r w:rsidR="00056AE6" w:rsidRPr="00B61AD3">
        <w:rPr>
          <w:rFonts w:cs="Times New Roman"/>
          <w:szCs w:val="22"/>
        </w:rPr>
        <w:t xml:space="preserve"> a request made by the Secretary under that subparagraph</w:t>
      </w:r>
      <w:r w:rsidRPr="00B61AD3">
        <w:rPr>
          <w:rFonts w:cs="Times New Roman"/>
          <w:szCs w:val="22"/>
        </w:rPr>
        <w:t xml:space="preserve"> on or after the commencement</w:t>
      </w:r>
      <w:r w:rsidR="00056AE6" w:rsidRPr="00B61AD3">
        <w:rPr>
          <w:rFonts w:cs="Times New Roman"/>
          <w:szCs w:val="22"/>
        </w:rPr>
        <w:t xml:space="preserve"> day</w:t>
      </w:r>
      <w:r w:rsidRPr="00B61AD3">
        <w:rPr>
          <w:rFonts w:cs="Times New Roman"/>
          <w:szCs w:val="22"/>
        </w:rPr>
        <w:t>.</w:t>
      </w:r>
    </w:p>
    <w:p w14:paraId="5CD1B9D0" w14:textId="77777777" w:rsidR="00886DBA" w:rsidRPr="00B61AD3" w:rsidRDefault="00886DBA" w:rsidP="00C646C3">
      <w:pPr>
        <w:spacing w:line="240" w:lineRule="auto"/>
        <w:contextualSpacing/>
        <w:rPr>
          <w:rFonts w:cs="Times New Roman"/>
          <w:szCs w:val="22"/>
        </w:rPr>
      </w:pPr>
    </w:p>
    <w:p w14:paraId="74D23BF9" w14:textId="32906DAD" w:rsidR="00886DBA" w:rsidRPr="00B61AD3" w:rsidRDefault="00886DBA" w:rsidP="00C646C3">
      <w:pPr>
        <w:spacing w:line="240" w:lineRule="auto"/>
        <w:contextualSpacing/>
        <w:rPr>
          <w:rFonts w:cs="Times New Roman"/>
          <w:szCs w:val="22"/>
        </w:rPr>
      </w:pPr>
      <w:r w:rsidRPr="00B61AD3">
        <w:rPr>
          <w:rFonts w:cs="Times New Roman"/>
          <w:szCs w:val="22"/>
        </w:rPr>
        <w:t xml:space="preserve">New subregulation 11.84(1) </w:t>
      </w:r>
      <w:r w:rsidR="00864D1A" w:rsidRPr="00B61AD3">
        <w:rPr>
          <w:rFonts w:cs="Times New Roman"/>
          <w:szCs w:val="22"/>
        </w:rPr>
        <w:t xml:space="preserve">applies om relation to </w:t>
      </w:r>
      <w:r w:rsidRPr="00B61AD3">
        <w:rPr>
          <w:rFonts w:cs="Times New Roman"/>
          <w:szCs w:val="22"/>
        </w:rPr>
        <w:t>a notice:</w:t>
      </w:r>
    </w:p>
    <w:p w14:paraId="49C8EFA3" w14:textId="77777777" w:rsidR="00864D1A" w:rsidRPr="00B61AD3" w:rsidRDefault="00864D1A" w:rsidP="00C646C3">
      <w:pPr>
        <w:spacing w:line="240" w:lineRule="auto"/>
        <w:contextualSpacing/>
        <w:rPr>
          <w:rFonts w:cs="Times New Roman"/>
          <w:szCs w:val="22"/>
        </w:rPr>
      </w:pPr>
    </w:p>
    <w:p w14:paraId="4053B060" w14:textId="69CC4DA0" w:rsidR="00886DBA" w:rsidRPr="00B61AD3" w:rsidRDefault="00886DBA" w:rsidP="00C646C3">
      <w:pPr>
        <w:pStyle w:val="ListParagraph"/>
        <w:numPr>
          <w:ilvl w:val="0"/>
          <w:numId w:val="23"/>
        </w:numPr>
        <w:spacing w:line="240" w:lineRule="auto"/>
        <w:rPr>
          <w:rFonts w:cs="Times New Roman"/>
          <w:szCs w:val="22"/>
        </w:rPr>
      </w:pPr>
      <w:r w:rsidRPr="00B61AD3">
        <w:rPr>
          <w:rFonts w:cs="Times New Roman"/>
          <w:szCs w:val="22"/>
        </w:rPr>
        <w:t>given before the commencement day, under paragraph</w:t>
      </w:r>
      <w:r w:rsidR="00DD69AF" w:rsidRPr="00B61AD3">
        <w:rPr>
          <w:rFonts w:cs="Times New Roman"/>
          <w:szCs w:val="22"/>
        </w:rPr>
        <w:t> </w:t>
      </w:r>
      <w:r w:rsidRPr="00B61AD3">
        <w:rPr>
          <w:rFonts w:cs="Times New Roman"/>
          <w:szCs w:val="22"/>
        </w:rPr>
        <w:t xml:space="preserve">(a) </w:t>
      </w:r>
      <w:r w:rsidR="00FD6062" w:rsidRPr="00B61AD3">
        <w:rPr>
          <w:rFonts w:cs="Times New Roman"/>
          <w:szCs w:val="22"/>
        </w:rPr>
        <w:t xml:space="preserve">(the ‘old provision’) </w:t>
      </w:r>
      <w:r w:rsidRPr="00B61AD3">
        <w:rPr>
          <w:rFonts w:cs="Times New Roman"/>
          <w:szCs w:val="22"/>
        </w:rPr>
        <w:t>of the conditions column in item 2.17 of the table in Part 2 of Schedule 4 as in force immediately before that day; and</w:t>
      </w:r>
    </w:p>
    <w:p w14:paraId="35236DBD" w14:textId="77777777" w:rsidR="00864D1A" w:rsidRPr="00B61AD3" w:rsidRDefault="00864D1A" w:rsidP="00C646C3">
      <w:pPr>
        <w:pStyle w:val="ListParagraph"/>
        <w:spacing w:line="240" w:lineRule="auto"/>
        <w:rPr>
          <w:rFonts w:cs="Times New Roman"/>
          <w:szCs w:val="22"/>
        </w:rPr>
      </w:pPr>
    </w:p>
    <w:p w14:paraId="65A22286" w14:textId="109535FF" w:rsidR="00886DBA" w:rsidRPr="00B61AD3" w:rsidRDefault="00886DBA" w:rsidP="00C646C3">
      <w:pPr>
        <w:pStyle w:val="ListParagraph"/>
        <w:numPr>
          <w:ilvl w:val="0"/>
          <w:numId w:val="23"/>
        </w:numPr>
        <w:spacing w:line="240" w:lineRule="auto"/>
        <w:rPr>
          <w:rFonts w:cs="Times New Roman"/>
          <w:szCs w:val="22"/>
        </w:rPr>
      </w:pPr>
      <w:r w:rsidRPr="00B61AD3">
        <w:rPr>
          <w:rFonts w:cs="Times New Roman"/>
          <w:szCs w:val="22"/>
        </w:rPr>
        <w:t>not withdrawn or otherwise ceased to have effect (however described) before the commencement da</w:t>
      </w:r>
      <w:r w:rsidR="0051427B" w:rsidRPr="00B61AD3">
        <w:rPr>
          <w:rFonts w:cs="Times New Roman"/>
          <w:szCs w:val="22"/>
        </w:rPr>
        <w:t>y</w:t>
      </w:r>
      <w:r w:rsidR="00864D1A" w:rsidRPr="00B61AD3">
        <w:rPr>
          <w:rFonts w:cs="Times New Roman"/>
          <w:szCs w:val="22"/>
        </w:rPr>
        <w:t>.</w:t>
      </w:r>
    </w:p>
    <w:p w14:paraId="21BFABA1" w14:textId="77777777" w:rsidR="00864D1A" w:rsidRPr="00B61AD3" w:rsidRDefault="00864D1A" w:rsidP="00C646C3">
      <w:pPr>
        <w:spacing w:line="240" w:lineRule="auto"/>
        <w:contextualSpacing/>
        <w:rPr>
          <w:rFonts w:cs="Times New Roman"/>
          <w:szCs w:val="22"/>
        </w:rPr>
      </w:pPr>
    </w:p>
    <w:p w14:paraId="18134BBE" w14:textId="7C183081" w:rsidR="00886DBA" w:rsidRPr="00B61AD3" w:rsidRDefault="00864D1A" w:rsidP="00C646C3">
      <w:pPr>
        <w:spacing w:line="240" w:lineRule="auto"/>
        <w:contextualSpacing/>
        <w:rPr>
          <w:rFonts w:cs="Times New Roman"/>
          <w:szCs w:val="22"/>
        </w:rPr>
      </w:pPr>
      <w:r w:rsidRPr="00B61AD3">
        <w:rPr>
          <w:rFonts w:cs="Times New Roman"/>
          <w:szCs w:val="22"/>
        </w:rPr>
        <w:t xml:space="preserve">Subregulation 11.84 provides that such notice </w:t>
      </w:r>
      <w:r w:rsidR="00CA42AB" w:rsidRPr="00B61AD3">
        <w:rPr>
          <w:rFonts w:cs="Times New Roman"/>
          <w:szCs w:val="22"/>
        </w:rPr>
        <w:t>has</w:t>
      </w:r>
      <w:r w:rsidR="00886DBA" w:rsidRPr="00B61AD3">
        <w:rPr>
          <w:rFonts w:cs="Times New Roman"/>
          <w:szCs w:val="22"/>
        </w:rPr>
        <w:t xml:space="preserve"> effect on and after the commencement day as if it had been given under paragraph</w:t>
      </w:r>
      <w:r w:rsidR="00DD69AF" w:rsidRPr="00B61AD3">
        <w:rPr>
          <w:rFonts w:cs="Times New Roman"/>
          <w:szCs w:val="22"/>
        </w:rPr>
        <w:t> </w:t>
      </w:r>
      <w:r w:rsidR="00886DBA" w:rsidRPr="00B61AD3">
        <w:rPr>
          <w:rFonts w:cs="Times New Roman"/>
          <w:szCs w:val="22"/>
        </w:rPr>
        <w:t xml:space="preserve">(b) </w:t>
      </w:r>
      <w:r w:rsidR="00FD6062" w:rsidRPr="00B61AD3">
        <w:rPr>
          <w:rFonts w:cs="Times New Roman"/>
          <w:szCs w:val="22"/>
        </w:rPr>
        <w:t>(the ‘new provision’</w:t>
      </w:r>
      <w:r w:rsidR="006C2FB4" w:rsidRPr="00B61AD3">
        <w:rPr>
          <w:rFonts w:cs="Times New Roman"/>
          <w:szCs w:val="22"/>
        </w:rPr>
        <w:t>)</w:t>
      </w:r>
      <w:r w:rsidR="00FD6062" w:rsidRPr="00B61AD3">
        <w:rPr>
          <w:rFonts w:cs="Times New Roman"/>
          <w:szCs w:val="22"/>
        </w:rPr>
        <w:t xml:space="preserve"> </w:t>
      </w:r>
      <w:r w:rsidR="00886DBA" w:rsidRPr="00B61AD3">
        <w:rPr>
          <w:rFonts w:cs="Times New Roman"/>
          <w:szCs w:val="22"/>
        </w:rPr>
        <w:t>of the devices column in that item</w:t>
      </w:r>
      <w:r w:rsidRPr="00B61AD3">
        <w:rPr>
          <w:rFonts w:cs="Times New Roman"/>
          <w:szCs w:val="22"/>
        </w:rPr>
        <w:t>,</w:t>
      </w:r>
      <w:r w:rsidR="00FD6062" w:rsidRPr="00B61AD3">
        <w:rPr>
          <w:rFonts w:cs="Times New Roman"/>
          <w:szCs w:val="22"/>
        </w:rPr>
        <w:t xml:space="preserve"> and a statement given in the notice under a subparagraph of the old provision has effect on and after the commencement day as if it had been given under the corresponding subparagraph of the new provision</w:t>
      </w:r>
      <w:r w:rsidR="00886DBA" w:rsidRPr="00B61AD3">
        <w:rPr>
          <w:rFonts w:cs="Times New Roman"/>
          <w:szCs w:val="22"/>
        </w:rPr>
        <w:t>.</w:t>
      </w:r>
      <w:r w:rsidR="001668EE" w:rsidRPr="00B61AD3">
        <w:rPr>
          <w:rFonts w:cs="Times New Roman"/>
          <w:szCs w:val="22"/>
        </w:rPr>
        <w:t xml:space="preserve"> This has the the effect that a sponsor notice that was given to the Secretary before the amendments continues to be in effect, meaning a sponsor does not have to provide a new sponsor notice.</w:t>
      </w:r>
    </w:p>
    <w:p w14:paraId="374D826E" w14:textId="77777777" w:rsidR="00886DBA" w:rsidRPr="00B61AD3" w:rsidRDefault="00886DBA" w:rsidP="00C646C3">
      <w:pPr>
        <w:spacing w:line="240" w:lineRule="auto"/>
        <w:contextualSpacing/>
        <w:rPr>
          <w:rFonts w:cs="Times New Roman"/>
          <w:szCs w:val="22"/>
        </w:rPr>
      </w:pPr>
    </w:p>
    <w:p w14:paraId="33917799" w14:textId="7730CE7D" w:rsidR="00886DBA" w:rsidRPr="00B61AD3" w:rsidRDefault="00886DBA" w:rsidP="00C646C3">
      <w:pPr>
        <w:spacing w:line="240" w:lineRule="auto"/>
        <w:contextualSpacing/>
        <w:rPr>
          <w:rFonts w:cs="Times New Roman"/>
          <w:szCs w:val="22"/>
        </w:rPr>
      </w:pPr>
      <w:r w:rsidRPr="00B61AD3">
        <w:rPr>
          <w:rFonts w:cs="Times New Roman"/>
          <w:szCs w:val="22"/>
        </w:rPr>
        <w:t xml:space="preserve">New subregulation 11.84(2) </w:t>
      </w:r>
      <w:r w:rsidR="00864D1A" w:rsidRPr="00B61AD3">
        <w:rPr>
          <w:rFonts w:cs="Times New Roman"/>
          <w:szCs w:val="22"/>
        </w:rPr>
        <w:t xml:space="preserve">applies to </w:t>
      </w:r>
      <w:r w:rsidRPr="00B61AD3">
        <w:rPr>
          <w:rFonts w:cs="Times New Roman"/>
          <w:szCs w:val="22"/>
        </w:rPr>
        <w:t>a determination:</w:t>
      </w:r>
    </w:p>
    <w:p w14:paraId="7E007AB3" w14:textId="77777777" w:rsidR="00864D1A" w:rsidRPr="00B61AD3" w:rsidRDefault="00864D1A" w:rsidP="00C646C3">
      <w:pPr>
        <w:spacing w:line="240" w:lineRule="auto"/>
        <w:contextualSpacing/>
        <w:rPr>
          <w:rFonts w:cs="Times New Roman"/>
          <w:szCs w:val="22"/>
        </w:rPr>
      </w:pPr>
    </w:p>
    <w:p w14:paraId="6EA606EA" w14:textId="266E7B36" w:rsidR="00886DBA" w:rsidRPr="00B61AD3" w:rsidRDefault="00864D1A" w:rsidP="00C646C3">
      <w:pPr>
        <w:pStyle w:val="ListParagraph"/>
        <w:numPr>
          <w:ilvl w:val="0"/>
          <w:numId w:val="24"/>
        </w:numPr>
        <w:spacing w:line="240" w:lineRule="auto"/>
        <w:rPr>
          <w:rFonts w:cs="Times New Roman"/>
          <w:szCs w:val="22"/>
        </w:rPr>
      </w:pPr>
      <w:r w:rsidRPr="00B61AD3">
        <w:rPr>
          <w:rFonts w:cs="Times New Roman"/>
          <w:szCs w:val="22"/>
        </w:rPr>
        <w:t xml:space="preserve">made </w:t>
      </w:r>
      <w:r w:rsidR="00886DBA" w:rsidRPr="00B61AD3">
        <w:rPr>
          <w:rFonts w:cs="Times New Roman"/>
          <w:szCs w:val="22"/>
        </w:rPr>
        <w:t>by the Secretary, as referred to in paragraph</w:t>
      </w:r>
      <w:r w:rsidR="00DD69AF" w:rsidRPr="00B61AD3">
        <w:rPr>
          <w:rFonts w:cs="Times New Roman"/>
          <w:szCs w:val="22"/>
        </w:rPr>
        <w:t> </w:t>
      </w:r>
      <w:r w:rsidR="00886DBA" w:rsidRPr="00B61AD3">
        <w:rPr>
          <w:rFonts w:cs="Times New Roman"/>
          <w:szCs w:val="22"/>
        </w:rPr>
        <w:t>(e) of the conditions column in item 2.17 of Part</w:t>
      </w:r>
      <w:r w:rsidR="006C2FB4" w:rsidRPr="00B61AD3">
        <w:rPr>
          <w:rFonts w:cs="Times New Roman"/>
          <w:szCs w:val="22"/>
        </w:rPr>
        <w:t> </w:t>
      </w:r>
      <w:r w:rsidR="00886DBA" w:rsidRPr="00B61AD3">
        <w:rPr>
          <w:rFonts w:cs="Times New Roman"/>
          <w:szCs w:val="22"/>
        </w:rPr>
        <w:t>2 of Schedule 4 as in force immediately before that day; and</w:t>
      </w:r>
    </w:p>
    <w:p w14:paraId="3EE113C4" w14:textId="77777777" w:rsidR="00864D1A" w:rsidRPr="00B61AD3" w:rsidRDefault="00864D1A" w:rsidP="00C646C3">
      <w:pPr>
        <w:pStyle w:val="ListParagraph"/>
        <w:spacing w:line="240" w:lineRule="auto"/>
        <w:rPr>
          <w:rFonts w:cs="Times New Roman"/>
          <w:szCs w:val="22"/>
        </w:rPr>
      </w:pPr>
    </w:p>
    <w:p w14:paraId="72643325" w14:textId="77798C5F" w:rsidR="00886DBA" w:rsidRPr="00B61AD3" w:rsidRDefault="00886DBA" w:rsidP="00C646C3">
      <w:pPr>
        <w:pStyle w:val="ListParagraph"/>
        <w:numPr>
          <w:ilvl w:val="0"/>
          <w:numId w:val="24"/>
        </w:numPr>
        <w:spacing w:line="240" w:lineRule="auto"/>
        <w:rPr>
          <w:rFonts w:cs="Times New Roman"/>
          <w:szCs w:val="22"/>
        </w:rPr>
      </w:pPr>
      <w:r w:rsidRPr="00B61AD3">
        <w:rPr>
          <w:rFonts w:cs="Times New Roman"/>
          <w:szCs w:val="22"/>
        </w:rPr>
        <w:t>in force immediately before the commencement day</w:t>
      </w:r>
      <w:r w:rsidR="00864D1A" w:rsidRPr="00B61AD3">
        <w:rPr>
          <w:rFonts w:cs="Times New Roman"/>
          <w:szCs w:val="22"/>
        </w:rPr>
        <w:t>.</w:t>
      </w:r>
    </w:p>
    <w:p w14:paraId="655AF623" w14:textId="77777777" w:rsidR="00864D1A" w:rsidRPr="00B61AD3" w:rsidRDefault="00864D1A" w:rsidP="00C646C3">
      <w:pPr>
        <w:spacing w:line="240" w:lineRule="auto"/>
        <w:contextualSpacing/>
        <w:rPr>
          <w:rFonts w:cs="Times New Roman"/>
          <w:szCs w:val="22"/>
        </w:rPr>
      </w:pPr>
    </w:p>
    <w:p w14:paraId="090B0144" w14:textId="4709AFB6" w:rsidR="00886DBA" w:rsidRPr="00B61AD3" w:rsidRDefault="00864D1A" w:rsidP="00C646C3">
      <w:pPr>
        <w:spacing w:line="240" w:lineRule="auto"/>
        <w:contextualSpacing/>
        <w:rPr>
          <w:rFonts w:cs="Times New Roman"/>
          <w:szCs w:val="22"/>
        </w:rPr>
      </w:pPr>
      <w:r w:rsidRPr="00B61AD3">
        <w:rPr>
          <w:rFonts w:cs="Times New Roman"/>
          <w:szCs w:val="22"/>
        </w:rPr>
        <w:t xml:space="preserve">Subregulation 11.84(2) provides that such determination </w:t>
      </w:r>
      <w:r w:rsidR="00CA42AB" w:rsidRPr="00B61AD3">
        <w:rPr>
          <w:rFonts w:cs="Times New Roman"/>
          <w:szCs w:val="22"/>
        </w:rPr>
        <w:t>has</w:t>
      </w:r>
      <w:r w:rsidR="00886DBA" w:rsidRPr="00B61AD3">
        <w:rPr>
          <w:rFonts w:cs="Times New Roman"/>
          <w:szCs w:val="22"/>
        </w:rPr>
        <w:t xml:space="preserve"> effect on and after the commencement day as if it were a determination referred to in paragraph</w:t>
      </w:r>
      <w:r w:rsidR="00CA42AB" w:rsidRPr="00B61AD3">
        <w:rPr>
          <w:rFonts w:cs="Times New Roman"/>
          <w:szCs w:val="22"/>
        </w:rPr>
        <w:t> </w:t>
      </w:r>
      <w:r w:rsidR="00886DBA" w:rsidRPr="00B61AD3">
        <w:rPr>
          <w:rFonts w:cs="Times New Roman"/>
          <w:szCs w:val="22"/>
        </w:rPr>
        <w:t xml:space="preserve">(d) of the devices column </w:t>
      </w:r>
      <w:r w:rsidR="00FD6062" w:rsidRPr="00B61AD3">
        <w:rPr>
          <w:rFonts w:cs="Times New Roman"/>
          <w:szCs w:val="22"/>
        </w:rPr>
        <w:t>in</w:t>
      </w:r>
      <w:r w:rsidR="00886DBA" w:rsidRPr="00B61AD3">
        <w:rPr>
          <w:rFonts w:cs="Times New Roman"/>
          <w:szCs w:val="22"/>
        </w:rPr>
        <w:t xml:space="preserve"> that item.</w:t>
      </w:r>
      <w:r w:rsidR="00B16BA1" w:rsidRPr="00B61AD3">
        <w:rPr>
          <w:rFonts w:cs="Times New Roman"/>
          <w:szCs w:val="22"/>
        </w:rPr>
        <w:t xml:space="preserve"> This has the effect that, if a determination by the Secretary that the supply of the device should be stopped or cease was given before the commencement of the proposed Regulations, the determination continues to have effect.</w:t>
      </w:r>
    </w:p>
    <w:p w14:paraId="063C33B2" w14:textId="77777777" w:rsidR="00886DBA" w:rsidRPr="00B61AD3" w:rsidRDefault="00886DBA" w:rsidP="00C646C3">
      <w:pPr>
        <w:spacing w:line="240" w:lineRule="auto"/>
        <w:contextualSpacing/>
        <w:rPr>
          <w:rFonts w:cs="Times New Roman"/>
          <w:szCs w:val="22"/>
        </w:rPr>
      </w:pPr>
    </w:p>
    <w:p w14:paraId="4E97EAA9" w14:textId="77777777" w:rsidR="00886DBA" w:rsidRPr="00B61AD3" w:rsidRDefault="00886DBA" w:rsidP="00C646C3">
      <w:pPr>
        <w:spacing w:line="240" w:lineRule="auto"/>
        <w:ind w:firstLine="6"/>
        <w:contextualSpacing/>
        <w:rPr>
          <w:rFonts w:cs="Times New Roman"/>
          <w:b/>
          <w:bCs/>
          <w:i/>
          <w:iCs/>
          <w:szCs w:val="22"/>
        </w:rPr>
      </w:pPr>
      <w:r w:rsidRPr="00B61AD3">
        <w:rPr>
          <w:rFonts w:cs="Times New Roman"/>
          <w:b/>
          <w:bCs/>
          <w:i/>
          <w:iCs/>
          <w:szCs w:val="22"/>
        </w:rPr>
        <w:t>Therapeutic Goods Regulations 1990</w:t>
      </w:r>
    </w:p>
    <w:p w14:paraId="35123BAC" w14:textId="77777777" w:rsidR="00886DBA" w:rsidRPr="00B61AD3" w:rsidRDefault="00886DBA" w:rsidP="00C646C3">
      <w:pPr>
        <w:spacing w:line="240" w:lineRule="auto"/>
        <w:ind w:firstLine="6"/>
        <w:contextualSpacing/>
        <w:rPr>
          <w:rFonts w:cs="Times New Roman"/>
          <w:szCs w:val="22"/>
        </w:rPr>
      </w:pPr>
    </w:p>
    <w:p w14:paraId="17880D01" w14:textId="35DA85AA" w:rsidR="00886DBA" w:rsidRPr="00B61AD3" w:rsidRDefault="00886DBA" w:rsidP="00C646C3">
      <w:pPr>
        <w:spacing w:line="240" w:lineRule="auto"/>
        <w:ind w:firstLine="6"/>
        <w:contextualSpacing/>
        <w:rPr>
          <w:rFonts w:cs="Times New Roman"/>
          <w:b/>
          <w:bCs/>
          <w:szCs w:val="22"/>
        </w:rPr>
      </w:pPr>
      <w:r w:rsidRPr="00B61AD3">
        <w:rPr>
          <w:rFonts w:cs="Times New Roman"/>
          <w:b/>
          <w:bCs/>
          <w:szCs w:val="22"/>
        </w:rPr>
        <w:t xml:space="preserve">Item </w:t>
      </w:r>
      <w:r w:rsidR="00FD6062" w:rsidRPr="00B61AD3">
        <w:rPr>
          <w:rFonts w:cs="Times New Roman"/>
          <w:b/>
          <w:bCs/>
          <w:szCs w:val="22"/>
        </w:rPr>
        <w:t>17</w:t>
      </w:r>
      <w:r w:rsidRPr="00B61AD3">
        <w:rPr>
          <w:rFonts w:cs="Times New Roman"/>
          <w:b/>
          <w:bCs/>
          <w:szCs w:val="22"/>
        </w:rPr>
        <w:t xml:space="preserve"> – In the appropriate position in Part 9</w:t>
      </w:r>
    </w:p>
    <w:p w14:paraId="596798D5" w14:textId="77777777" w:rsidR="00886DBA" w:rsidRPr="00B61AD3" w:rsidRDefault="00886DBA" w:rsidP="00C646C3">
      <w:pPr>
        <w:spacing w:line="240" w:lineRule="auto"/>
        <w:ind w:firstLine="6"/>
        <w:contextualSpacing/>
        <w:rPr>
          <w:rFonts w:cs="Times New Roman"/>
          <w:szCs w:val="22"/>
        </w:rPr>
      </w:pPr>
    </w:p>
    <w:p w14:paraId="765F096E" w14:textId="4CA874DD" w:rsidR="00886DBA" w:rsidRPr="00B61AD3" w:rsidRDefault="00886DBA" w:rsidP="00C646C3">
      <w:pPr>
        <w:spacing w:line="240" w:lineRule="auto"/>
        <w:ind w:firstLine="6"/>
        <w:contextualSpacing/>
        <w:rPr>
          <w:rFonts w:cs="Times New Roman"/>
          <w:szCs w:val="22"/>
        </w:rPr>
      </w:pPr>
      <w:r w:rsidRPr="00B61AD3">
        <w:rPr>
          <w:rFonts w:cs="Times New Roman"/>
          <w:szCs w:val="22"/>
        </w:rPr>
        <w:t>This item introduce</w:t>
      </w:r>
      <w:r w:rsidR="00CA42AB" w:rsidRPr="00B61AD3">
        <w:rPr>
          <w:rFonts w:cs="Times New Roman"/>
          <w:szCs w:val="22"/>
        </w:rPr>
        <w:t>s</w:t>
      </w:r>
      <w:r w:rsidRPr="00B61AD3">
        <w:rPr>
          <w:rFonts w:cs="Times New Roman"/>
          <w:szCs w:val="22"/>
        </w:rPr>
        <w:t xml:space="preserve"> new Division 27 in the TG Regulations to provide</w:t>
      </w:r>
      <w:r w:rsidR="0051427B" w:rsidRPr="00B61AD3">
        <w:rPr>
          <w:rFonts w:cs="Times New Roman"/>
          <w:szCs w:val="22"/>
        </w:rPr>
        <w:t xml:space="preserve"> the</w:t>
      </w:r>
      <w:r w:rsidRPr="00B61AD3">
        <w:rPr>
          <w:rFonts w:cs="Times New Roman"/>
          <w:szCs w:val="22"/>
        </w:rPr>
        <w:t xml:space="preserve"> application, transitional and savings provisions relating to the amendments to the TG Regulations made by Part 1 of Schedule</w:t>
      </w:r>
      <w:r w:rsidR="00F9528F" w:rsidRPr="00B61AD3">
        <w:rPr>
          <w:rFonts w:cs="Times New Roman"/>
          <w:szCs w:val="22"/>
        </w:rPr>
        <w:t> </w:t>
      </w:r>
      <w:r w:rsidRPr="00B61AD3">
        <w:rPr>
          <w:rFonts w:cs="Times New Roman"/>
          <w:szCs w:val="22"/>
        </w:rPr>
        <w:t>1 to the Regulations.</w:t>
      </w:r>
    </w:p>
    <w:p w14:paraId="36F9A9F0" w14:textId="77777777" w:rsidR="00886DBA" w:rsidRPr="00B61AD3" w:rsidRDefault="00886DBA" w:rsidP="00C646C3">
      <w:pPr>
        <w:spacing w:line="240" w:lineRule="auto"/>
        <w:ind w:firstLine="3"/>
        <w:contextualSpacing/>
        <w:rPr>
          <w:rFonts w:cs="Times New Roman"/>
          <w:szCs w:val="22"/>
        </w:rPr>
      </w:pPr>
    </w:p>
    <w:p w14:paraId="22F92219" w14:textId="3CE2F670" w:rsidR="00886DBA" w:rsidRPr="00B61AD3" w:rsidRDefault="00886DBA" w:rsidP="00C646C3">
      <w:pPr>
        <w:spacing w:line="240" w:lineRule="auto"/>
        <w:ind w:firstLine="3"/>
        <w:contextualSpacing/>
        <w:rPr>
          <w:rFonts w:cs="Times New Roman"/>
          <w:szCs w:val="22"/>
        </w:rPr>
      </w:pPr>
      <w:r w:rsidRPr="00B61AD3">
        <w:rPr>
          <w:rFonts w:cs="Times New Roman"/>
          <w:szCs w:val="22"/>
        </w:rPr>
        <w:t>New regulation 109 of the TG Regulations provide</w:t>
      </w:r>
      <w:r w:rsidR="00CA42AB" w:rsidRPr="00B61AD3">
        <w:rPr>
          <w:rFonts w:cs="Times New Roman"/>
          <w:szCs w:val="22"/>
        </w:rPr>
        <w:t>s</w:t>
      </w:r>
      <w:r w:rsidRPr="00B61AD3">
        <w:rPr>
          <w:rFonts w:cs="Times New Roman"/>
          <w:szCs w:val="22"/>
        </w:rPr>
        <w:t xml:space="preserve"> definitions that are used in new Division 27 of the TG Regulations. Relevantly, the definitions introduced by new regulation 109 include:</w:t>
      </w:r>
    </w:p>
    <w:p w14:paraId="36CDC8A1" w14:textId="77777777" w:rsidR="00864D1A" w:rsidRPr="00B61AD3" w:rsidRDefault="00864D1A" w:rsidP="00C646C3">
      <w:pPr>
        <w:spacing w:line="240" w:lineRule="auto"/>
        <w:ind w:firstLine="3"/>
        <w:contextualSpacing/>
        <w:rPr>
          <w:rFonts w:cs="Times New Roman"/>
          <w:szCs w:val="22"/>
        </w:rPr>
      </w:pPr>
    </w:p>
    <w:p w14:paraId="4A9DDE9D" w14:textId="0A758A5E" w:rsidR="00886DBA" w:rsidRPr="00B61AD3" w:rsidRDefault="00886DBA" w:rsidP="00C646C3">
      <w:pPr>
        <w:pStyle w:val="ListParagraph"/>
        <w:numPr>
          <w:ilvl w:val="0"/>
          <w:numId w:val="25"/>
        </w:numPr>
        <w:spacing w:line="240" w:lineRule="auto"/>
        <w:rPr>
          <w:rFonts w:cs="Times New Roman"/>
          <w:szCs w:val="22"/>
        </w:rPr>
      </w:pPr>
      <w:r w:rsidRPr="00B61AD3">
        <w:rPr>
          <w:rFonts w:cs="Times New Roman"/>
          <w:szCs w:val="22"/>
        </w:rPr>
        <w:t>amending regulations</w:t>
      </w:r>
      <w:r w:rsidR="00B618F5" w:rsidRPr="00B61AD3">
        <w:rPr>
          <w:rFonts w:cs="Times New Roman"/>
          <w:szCs w:val="22"/>
        </w:rPr>
        <w:t>,</w:t>
      </w:r>
      <w:r w:rsidRPr="00B61AD3">
        <w:rPr>
          <w:rFonts w:cs="Times New Roman"/>
          <w:szCs w:val="22"/>
        </w:rPr>
        <w:t xml:space="preserve"> which means the </w:t>
      </w:r>
      <w:r w:rsidRPr="00B61AD3">
        <w:rPr>
          <w:rFonts w:cs="Times New Roman"/>
          <w:i/>
          <w:iCs/>
          <w:szCs w:val="22"/>
        </w:rPr>
        <w:t>Therapeutic Goods Legislation Amendment (2024 Measures No. 3) Regulations 2024</w:t>
      </w:r>
      <w:r w:rsidRPr="00B61AD3">
        <w:rPr>
          <w:rFonts w:cs="Times New Roman"/>
          <w:szCs w:val="22"/>
        </w:rPr>
        <w:t>; and</w:t>
      </w:r>
    </w:p>
    <w:p w14:paraId="47214104" w14:textId="77777777" w:rsidR="00864D1A" w:rsidRPr="00B61AD3" w:rsidRDefault="00864D1A" w:rsidP="00C646C3">
      <w:pPr>
        <w:pStyle w:val="ListParagraph"/>
        <w:spacing w:line="240" w:lineRule="auto"/>
        <w:ind w:left="723"/>
        <w:rPr>
          <w:rFonts w:cs="Times New Roman"/>
          <w:szCs w:val="22"/>
        </w:rPr>
      </w:pPr>
    </w:p>
    <w:p w14:paraId="25721C75" w14:textId="477ABE42" w:rsidR="00886DBA" w:rsidRPr="00B61AD3" w:rsidRDefault="00886DBA" w:rsidP="00C646C3">
      <w:pPr>
        <w:pStyle w:val="ListParagraph"/>
        <w:numPr>
          <w:ilvl w:val="0"/>
          <w:numId w:val="25"/>
        </w:numPr>
        <w:spacing w:line="240" w:lineRule="auto"/>
        <w:rPr>
          <w:rFonts w:cs="Times New Roman"/>
          <w:szCs w:val="22"/>
        </w:rPr>
      </w:pPr>
      <w:r w:rsidRPr="00B61AD3">
        <w:rPr>
          <w:rFonts w:cs="Times New Roman"/>
          <w:szCs w:val="22"/>
        </w:rPr>
        <w:t>commencement day, which means the day Division 27 commences.</w:t>
      </w:r>
    </w:p>
    <w:p w14:paraId="25BA6BCE" w14:textId="77777777" w:rsidR="00886DBA" w:rsidRPr="00B61AD3" w:rsidRDefault="00886DBA" w:rsidP="00C646C3">
      <w:pPr>
        <w:spacing w:line="240" w:lineRule="auto"/>
        <w:ind w:firstLine="3"/>
        <w:contextualSpacing/>
        <w:rPr>
          <w:rFonts w:cs="Times New Roman"/>
          <w:szCs w:val="22"/>
        </w:rPr>
      </w:pPr>
    </w:p>
    <w:p w14:paraId="610C6EFB" w14:textId="173215B8" w:rsidR="00F50067" w:rsidRPr="00B61AD3" w:rsidRDefault="00F50067" w:rsidP="00C646C3">
      <w:pPr>
        <w:spacing w:line="240" w:lineRule="auto"/>
        <w:contextualSpacing/>
        <w:rPr>
          <w:rFonts w:cs="Times New Roman"/>
          <w:szCs w:val="22"/>
        </w:rPr>
      </w:pPr>
      <w:r w:rsidRPr="00B61AD3">
        <w:rPr>
          <w:rFonts w:cs="Times New Roman"/>
          <w:szCs w:val="22"/>
        </w:rPr>
        <w:t>New subregulation 110(1) provides that subject to this regulation, the amendments of paragraph 48(1AB)(c) and item 15 of the table in Schedule 5A, made by Part 1 of Schedule 1 to the Regulations, applies in relation to therapeutic goods that are:</w:t>
      </w:r>
    </w:p>
    <w:p w14:paraId="1BD2C866" w14:textId="77777777" w:rsidR="00864D1A" w:rsidRPr="00B61AD3" w:rsidRDefault="00864D1A" w:rsidP="00C646C3">
      <w:pPr>
        <w:spacing w:line="240" w:lineRule="auto"/>
        <w:contextualSpacing/>
        <w:rPr>
          <w:rFonts w:cs="Times New Roman"/>
          <w:szCs w:val="22"/>
        </w:rPr>
      </w:pPr>
    </w:p>
    <w:p w14:paraId="350A7C29" w14:textId="77777777" w:rsidR="00F50067" w:rsidRPr="00B61AD3" w:rsidRDefault="00F50067" w:rsidP="00C646C3">
      <w:pPr>
        <w:pStyle w:val="ListParagraph"/>
        <w:numPr>
          <w:ilvl w:val="0"/>
          <w:numId w:val="31"/>
        </w:numPr>
        <w:spacing w:line="240" w:lineRule="auto"/>
        <w:rPr>
          <w:rFonts w:cs="Times New Roman"/>
          <w:szCs w:val="22"/>
        </w:rPr>
      </w:pPr>
      <w:r w:rsidRPr="00B61AD3">
        <w:rPr>
          <w:rFonts w:cs="Times New Roman"/>
          <w:szCs w:val="22"/>
        </w:rPr>
        <w:t>imported or manufactured on or after the commencement day; or</w:t>
      </w:r>
    </w:p>
    <w:p w14:paraId="3F920CAD" w14:textId="77777777" w:rsidR="00864D1A" w:rsidRPr="00B61AD3" w:rsidRDefault="00864D1A" w:rsidP="00C646C3">
      <w:pPr>
        <w:pStyle w:val="ListParagraph"/>
        <w:spacing w:line="240" w:lineRule="auto"/>
        <w:rPr>
          <w:rFonts w:cs="Times New Roman"/>
          <w:szCs w:val="22"/>
        </w:rPr>
      </w:pPr>
    </w:p>
    <w:p w14:paraId="6E49F6BA" w14:textId="77777777" w:rsidR="00F50067" w:rsidRPr="00B61AD3" w:rsidRDefault="00F50067" w:rsidP="00C646C3">
      <w:pPr>
        <w:pStyle w:val="ListParagraph"/>
        <w:numPr>
          <w:ilvl w:val="0"/>
          <w:numId w:val="31"/>
        </w:numPr>
        <w:spacing w:line="240" w:lineRule="auto"/>
        <w:rPr>
          <w:rFonts w:cs="Times New Roman"/>
          <w:szCs w:val="22"/>
        </w:rPr>
      </w:pPr>
      <w:r w:rsidRPr="00B61AD3">
        <w:rPr>
          <w:rFonts w:cs="Times New Roman"/>
          <w:szCs w:val="22"/>
        </w:rPr>
        <w:t>supplied on or after the commencement day, where the therapeutic goods are owned by, or in the possession or control of, the sponsor immediately before the commencement day.</w:t>
      </w:r>
    </w:p>
    <w:p w14:paraId="268B2280" w14:textId="77777777" w:rsidR="00F50067" w:rsidRPr="00B61AD3" w:rsidRDefault="00F50067" w:rsidP="00C646C3">
      <w:pPr>
        <w:spacing w:line="240" w:lineRule="auto"/>
        <w:contextualSpacing/>
        <w:rPr>
          <w:rFonts w:cs="Times New Roman"/>
          <w:szCs w:val="22"/>
        </w:rPr>
      </w:pPr>
    </w:p>
    <w:p w14:paraId="42B755C0" w14:textId="759827BC" w:rsidR="00F50067" w:rsidRPr="00B61AD3" w:rsidRDefault="00F50067" w:rsidP="00C646C3">
      <w:pPr>
        <w:spacing w:line="240" w:lineRule="auto"/>
        <w:contextualSpacing/>
        <w:rPr>
          <w:rFonts w:cs="Times New Roman"/>
          <w:szCs w:val="22"/>
        </w:rPr>
      </w:pPr>
      <w:r w:rsidRPr="00B61AD3">
        <w:rPr>
          <w:rFonts w:cs="Times New Roman"/>
          <w:szCs w:val="22"/>
        </w:rPr>
        <w:t xml:space="preserve">The second part of this transitional arrangement is intended to cover </w:t>
      </w:r>
      <w:r w:rsidR="00864D1A" w:rsidRPr="00B61AD3">
        <w:rPr>
          <w:rFonts w:cs="Times New Roman"/>
          <w:szCs w:val="22"/>
        </w:rPr>
        <w:t xml:space="preserve">goods supplied in </w:t>
      </w:r>
      <w:r w:rsidRPr="00B61AD3">
        <w:rPr>
          <w:rFonts w:cs="Times New Roman"/>
          <w:szCs w:val="22"/>
        </w:rPr>
        <w:t xml:space="preserve">circumstances </w:t>
      </w:r>
      <w:r w:rsidR="00864D1A" w:rsidRPr="00B61AD3">
        <w:rPr>
          <w:rFonts w:cs="Times New Roman"/>
          <w:szCs w:val="22"/>
        </w:rPr>
        <w:t>where</w:t>
      </w:r>
      <w:r w:rsidRPr="00B61AD3">
        <w:rPr>
          <w:rFonts w:cs="Times New Roman"/>
          <w:szCs w:val="22"/>
        </w:rPr>
        <w:t xml:space="preserve"> a sponsor may, immediately before commencement, have ownership, possession, custody or control of the goods. This includes, for example, goods:</w:t>
      </w:r>
    </w:p>
    <w:p w14:paraId="14CB2FAD" w14:textId="77777777" w:rsidR="00864D1A" w:rsidRPr="00B61AD3" w:rsidRDefault="00864D1A" w:rsidP="00C646C3">
      <w:pPr>
        <w:spacing w:line="240" w:lineRule="auto"/>
        <w:contextualSpacing/>
        <w:rPr>
          <w:rFonts w:cs="Times New Roman"/>
          <w:szCs w:val="22"/>
        </w:rPr>
      </w:pPr>
    </w:p>
    <w:p w14:paraId="0E618B02" w14:textId="77777777"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owned and possessed by the sponsor;</w:t>
      </w:r>
    </w:p>
    <w:p w14:paraId="29423562" w14:textId="77777777" w:rsidR="00864D1A" w:rsidRPr="00B61AD3" w:rsidRDefault="00864D1A" w:rsidP="00C646C3">
      <w:pPr>
        <w:pStyle w:val="ListParagraph"/>
        <w:spacing w:line="240" w:lineRule="auto"/>
        <w:rPr>
          <w:rFonts w:cs="Times New Roman"/>
          <w:szCs w:val="22"/>
        </w:rPr>
      </w:pPr>
    </w:p>
    <w:p w14:paraId="4F1E808D" w14:textId="77777777"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held by the sponsor, where ownership of those goods has passed to another person;</w:t>
      </w:r>
    </w:p>
    <w:p w14:paraId="4094B41C" w14:textId="77777777" w:rsidR="00864D1A" w:rsidRPr="00B61AD3" w:rsidRDefault="00864D1A" w:rsidP="00C646C3">
      <w:pPr>
        <w:spacing w:line="240" w:lineRule="auto"/>
        <w:contextualSpacing/>
        <w:rPr>
          <w:rFonts w:cs="Times New Roman"/>
          <w:szCs w:val="22"/>
        </w:rPr>
      </w:pPr>
    </w:p>
    <w:p w14:paraId="60367D3C" w14:textId="11D84375"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held on consignment at a wholesaler on behalf of the sponsor;</w:t>
      </w:r>
      <w:r w:rsidR="00864D1A" w:rsidRPr="00B61AD3">
        <w:rPr>
          <w:rFonts w:cs="Times New Roman"/>
          <w:szCs w:val="22"/>
        </w:rPr>
        <w:t xml:space="preserve"> and</w:t>
      </w:r>
    </w:p>
    <w:p w14:paraId="19FF3FB2" w14:textId="77777777" w:rsidR="00864D1A" w:rsidRPr="00B61AD3" w:rsidRDefault="00864D1A" w:rsidP="00C646C3">
      <w:pPr>
        <w:spacing w:line="240" w:lineRule="auto"/>
        <w:contextualSpacing/>
        <w:rPr>
          <w:rFonts w:cs="Times New Roman"/>
          <w:szCs w:val="22"/>
        </w:rPr>
      </w:pPr>
    </w:p>
    <w:p w14:paraId="256F42BC" w14:textId="77777777" w:rsidR="00F50067" w:rsidRPr="00B61AD3" w:rsidRDefault="00F50067" w:rsidP="00C646C3">
      <w:pPr>
        <w:pStyle w:val="ListParagraph"/>
        <w:numPr>
          <w:ilvl w:val="0"/>
          <w:numId w:val="32"/>
        </w:numPr>
        <w:spacing w:line="240" w:lineRule="auto"/>
        <w:rPr>
          <w:rFonts w:cs="Times New Roman"/>
          <w:szCs w:val="22"/>
        </w:rPr>
      </w:pPr>
      <w:r w:rsidRPr="00B61AD3">
        <w:rPr>
          <w:rFonts w:cs="Times New Roman"/>
          <w:szCs w:val="22"/>
        </w:rPr>
        <w:t>in the possession of a transport operator who is delivering the goods from the place of importation to a warehouse owned by the sponsor.</w:t>
      </w:r>
    </w:p>
    <w:p w14:paraId="07409860" w14:textId="77777777" w:rsidR="00886DBA" w:rsidRPr="00B61AD3" w:rsidRDefault="00886DBA" w:rsidP="00C646C3">
      <w:pPr>
        <w:spacing w:line="240" w:lineRule="auto"/>
        <w:contextualSpacing/>
        <w:rPr>
          <w:rFonts w:cs="Times New Roman"/>
          <w:szCs w:val="22"/>
        </w:rPr>
      </w:pPr>
    </w:p>
    <w:p w14:paraId="542255D8" w14:textId="68171EDB" w:rsidR="00886DBA" w:rsidRPr="00B61AD3" w:rsidRDefault="00886DBA" w:rsidP="00C646C3">
      <w:pPr>
        <w:spacing w:line="240" w:lineRule="auto"/>
        <w:contextualSpacing/>
        <w:rPr>
          <w:rFonts w:cs="Times New Roman"/>
          <w:szCs w:val="22"/>
        </w:rPr>
      </w:pPr>
      <w:r w:rsidRPr="00B61AD3">
        <w:rPr>
          <w:rFonts w:cs="Times New Roman"/>
          <w:szCs w:val="22"/>
        </w:rPr>
        <w:t>New subregulation 110(2) provide</w:t>
      </w:r>
      <w:r w:rsidR="00CA42AB" w:rsidRPr="00B61AD3">
        <w:rPr>
          <w:rFonts w:cs="Times New Roman"/>
          <w:szCs w:val="22"/>
        </w:rPr>
        <w:t>s</w:t>
      </w:r>
      <w:r w:rsidRPr="00B61AD3">
        <w:rPr>
          <w:rFonts w:cs="Times New Roman"/>
          <w:szCs w:val="22"/>
        </w:rPr>
        <w:t xml:space="preserve"> that the substitution of paragraph (c) of column 3 in item 15 of the table in Schedule 5A, made by Part 1 of Schedule 1 to the Regulations, </w:t>
      </w:r>
      <w:r w:rsidR="00CA42AB" w:rsidRPr="00B61AD3">
        <w:rPr>
          <w:rFonts w:cs="Times New Roman"/>
          <w:szCs w:val="22"/>
        </w:rPr>
        <w:t>applies</w:t>
      </w:r>
      <w:r w:rsidRPr="00B61AD3">
        <w:rPr>
          <w:rFonts w:cs="Times New Roman"/>
          <w:szCs w:val="22"/>
        </w:rPr>
        <w:t xml:space="preserve"> in relation to information or evidence held by the sponsor on or after </w:t>
      </w:r>
      <w:r w:rsidR="00056AE6" w:rsidRPr="00B61AD3">
        <w:rPr>
          <w:rFonts w:cs="Times New Roman"/>
          <w:szCs w:val="22"/>
        </w:rPr>
        <w:t xml:space="preserve">the </w:t>
      </w:r>
      <w:r w:rsidRPr="00B61AD3">
        <w:rPr>
          <w:rFonts w:cs="Times New Roman"/>
          <w:szCs w:val="22"/>
        </w:rPr>
        <w:t>commencement</w:t>
      </w:r>
      <w:r w:rsidR="00056AE6" w:rsidRPr="00B61AD3">
        <w:rPr>
          <w:rFonts w:cs="Times New Roman"/>
          <w:szCs w:val="22"/>
        </w:rPr>
        <w:t xml:space="preserve"> day</w:t>
      </w:r>
      <w:r w:rsidRPr="00B61AD3">
        <w:rPr>
          <w:rFonts w:cs="Times New Roman"/>
          <w:szCs w:val="22"/>
        </w:rPr>
        <w:t>.</w:t>
      </w:r>
    </w:p>
    <w:p w14:paraId="4444176F" w14:textId="77777777" w:rsidR="00886DBA" w:rsidRPr="00B61AD3" w:rsidRDefault="00886DBA" w:rsidP="00C646C3">
      <w:pPr>
        <w:spacing w:line="240" w:lineRule="auto"/>
        <w:contextualSpacing/>
        <w:rPr>
          <w:rFonts w:cs="Times New Roman"/>
          <w:szCs w:val="22"/>
        </w:rPr>
      </w:pPr>
    </w:p>
    <w:p w14:paraId="0343E09C" w14:textId="631BCD04" w:rsidR="00886DBA" w:rsidRPr="00B61AD3" w:rsidRDefault="00886DBA" w:rsidP="00C646C3">
      <w:pPr>
        <w:spacing w:line="240" w:lineRule="auto"/>
        <w:contextualSpacing/>
        <w:rPr>
          <w:rFonts w:cs="Times New Roman"/>
          <w:szCs w:val="22"/>
        </w:rPr>
      </w:pPr>
      <w:r w:rsidRPr="00B61AD3">
        <w:rPr>
          <w:rFonts w:cs="Times New Roman"/>
          <w:szCs w:val="22"/>
        </w:rPr>
        <w:t xml:space="preserve">New subregulation 110(3) provide that the substitution of paragraph (e) of column 3 in item 15 of the table in Schedule 5A, made by Part 1 of Schedule 1 to the Regulations, </w:t>
      </w:r>
      <w:r w:rsidR="00C64DA3" w:rsidRPr="00B61AD3">
        <w:rPr>
          <w:rFonts w:cs="Times New Roman"/>
          <w:szCs w:val="22"/>
        </w:rPr>
        <w:t>applies</w:t>
      </w:r>
      <w:r w:rsidRPr="00B61AD3">
        <w:rPr>
          <w:rFonts w:cs="Times New Roman"/>
          <w:szCs w:val="22"/>
        </w:rPr>
        <w:t xml:space="preserve"> in relation to a request made by the Secretary under that paragraph on or after </w:t>
      </w:r>
      <w:r w:rsidR="00056AE6" w:rsidRPr="00B61AD3">
        <w:rPr>
          <w:rFonts w:cs="Times New Roman"/>
          <w:szCs w:val="22"/>
        </w:rPr>
        <w:t xml:space="preserve">the </w:t>
      </w:r>
      <w:r w:rsidRPr="00B61AD3">
        <w:rPr>
          <w:rFonts w:cs="Times New Roman"/>
          <w:szCs w:val="22"/>
        </w:rPr>
        <w:t>commencement</w:t>
      </w:r>
      <w:r w:rsidR="00056AE6" w:rsidRPr="00B61AD3">
        <w:rPr>
          <w:rFonts w:cs="Times New Roman"/>
          <w:szCs w:val="22"/>
        </w:rPr>
        <w:t xml:space="preserve"> day</w:t>
      </w:r>
      <w:r w:rsidRPr="00B61AD3">
        <w:rPr>
          <w:rFonts w:cs="Times New Roman"/>
          <w:szCs w:val="22"/>
        </w:rPr>
        <w:t>.</w:t>
      </w:r>
    </w:p>
    <w:p w14:paraId="5E0C67A2" w14:textId="77777777" w:rsidR="00886DBA" w:rsidRPr="00B61AD3" w:rsidRDefault="00886DBA" w:rsidP="00C646C3">
      <w:pPr>
        <w:spacing w:line="240" w:lineRule="auto"/>
        <w:contextualSpacing/>
        <w:rPr>
          <w:rFonts w:cs="Times New Roman"/>
          <w:szCs w:val="22"/>
        </w:rPr>
      </w:pPr>
    </w:p>
    <w:p w14:paraId="1CF09D14" w14:textId="315FC1E8" w:rsidR="00886DBA" w:rsidRPr="00B61AD3" w:rsidRDefault="00886DBA" w:rsidP="00C646C3">
      <w:pPr>
        <w:spacing w:line="240" w:lineRule="auto"/>
        <w:contextualSpacing/>
        <w:rPr>
          <w:rFonts w:cs="Times New Roman"/>
          <w:szCs w:val="22"/>
        </w:rPr>
      </w:pPr>
      <w:r w:rsidRPr="00B61AD3">
        <w:rPr>
          <w:rFonts w:cs="Times New Roman"/>
          <w:szCs w:val="22"/>
        </w:rPr>
        <w:t>New subregulation 110(4) provide</w:t>
      </w:r>
      <w:r w:rsidR="00C64DA3" w:rsidRPr="00B61AD3">
        <w:rPr>
          <w:rFonts w:cs="Times New Roman"/>
          <w:szCs w:val="22"/>
        </w:rPr>
        <w:t>s</w:t>
      </w:r>
      <w:r w:rsidRPr="00B61AD3">
        <w:rPr>
          <w:rFonts w:cs="Times New Roman"/>
          <w:szCs w:val="22"/>
        </w:rPr>
        <w:t xml:space="preserve"> that the amendment to subparagraph (j)(ii) of column 3 in item 15 of the table in Schedule 5A, made by Part 1 of Schedule 1 to the Regulations, </w:t>
      </w:r>
      <w:r w:rsidR="00C64DA3" w:rsidRPr="00B61AD3">
        <w:rPr>
          <w:rFonts w:cs="Times New Roman"/>
          <w:szCs w:val="22"/>
        </w:rPr>
        <w:t>applies</w:t>
      </w:r>
      <w:r w:rsidRPr="00B61AD3">
        <w:rPr>
          <w:rFonts w:cs="Times New Roman"/>
          <w:szCs w:val="22"/>
        </w:rPr>
        <w:t xml:space="preserve"> in relation to a request made by the Secretary under that subparagraph on or after </w:t>
      </w:r>
      <w:r w:rsidR="00056AE6" w:rsidRPr="00B61AD3">
        <w:rPr>
          <w:rFonts w:cs="Times New Roman"/>
          <w:szCs w:val="22"/>
        </w:rPr>
        <w:t xml:space="preserve">the </w:t>
      </w:r>
      <w:r w:rsidRPr="00B61AD3">
        <w:rPr>
          <w:rFonts w:cs="Times New Roman"/>
          <w:szCs w:val="22"/>
        </w:rPr>
        <w:t>commencement</w:t>
      </w:r>
      <w:r w:rsidR="00056AE6" w:rsidRPr="00B61AD3">
        <w:rPr>
          <w:rFonts w:cs="Times New Roman"/>
          <w:szCs w:val="22"/>
        </w:rPr>
        <w:t xml:space="preserve"> day</w:t>
      </w:r>
      <w:r w:rsidRPr="00B61AD3">
        <w:rPr>
          <w:rFonts w:cs="Times New Roman"/>
          <w:szCs w:val="22"/>
        </w:rPr>
        <w:t>.</w:t>
      </w:r>
    </w:p>
    <w:p w14:paraId="55C6CFF9" w14:textId="77777777" w:rsidR="00886DBA" w:rsidRPr="00B61AD3" w:rsidRDefault="00886DBA" w:rsidP="00C646C3">
      <w:pPr>
        <w:spacing w:line="240" w:lineRule="auto"/>
        <w:contextualSpacing/>
        <w:rPr>
          <w:rFonts w:cs="Times New Roman"/>
          <w:szCs w:val="22"/>
        </w:rPr>
      </w:pPr>
    </w:p>
    <w:p w14:paraId="472556C7" w14:textId="69395540" w:rsidR="00886DBA" w:rsidRPr="00B61AD3" w:rsidRDefault="00886DBA" w:rsidP="00C646C3">
      <w:pPr>
        <w:spacing w:line="240" w:lineRule="auto"/>
        <w:contextualSpacing/>
        <w:rPr>
          <w:rFonts w:cs="Times New Roman"/>
          <w:szCs w:val="22"/>
        </w:rPr>
      </w:pPr>
      <w:r w:rsidRPr="00B61AD3">
        <w:rPr>
          <w:rFonts w:cs="Times New Roman"/>
          <w:szCs w:val="22"/>
        </w:rPr>
        <w:t>New subregulation 110(5) provide</w:t>
      </w:r>
      <w:r w:rsidR="00C64DA3" w:rsidRPr="00B61AD3">
        <w:rPr>
          <w:rFonts w:cs="Times New Roman"/>
          <w:szCs w:val="22"/>
        </w:rPr>
        <w:t>s</w:t>
      </w:r>
      <w:r w:rsidRPr="00B61AD3">
        <w:rPr>
          <w:rFonts w:cs="Times New Roman"/>
          <w:szCs w:val="22"/>
        </w:rPr>
        <w:t xml:space="preserve"> that subparagraph</w:t>
      </w:r>
      <w:r w:rsidR="00625CFF" w:rsidRPr="00B61AD3">
        <w:rPr>
          <w:rFonts w:cs="Times New Roman"/>
          <w:szCs w:val="22"/>
        </w:rPr>
        <w:t> </w:t>
      </w:r>
      <w:r w:rsidRPr="00B61AD3">
        <w:rPr>
          <w:rFonts w:cs="Times New Roman"/>
          <w:szCs w:val="22"/>
        </w:rPr>
        <w:t xml:space="preserve">(j)(iii) of column 3 in item 15 of the table in Schedule 5A, added by Part 1 of Schedule 1 to the Regulations, </w:t>
      </w:r>
      <w:r w:rsidR="00C64DA3" w:rsidRPr="00B61AD3">
        <w:rPr>
          <w:rFonts w:cs="Times New Roman"/>
          <w:szCs w:val="22"/>
        </w:rPr>
        <w:t>applies</w:t>
      </w:r>
      <w:r w:rsidRPr="00B61AD3">
        <w:rPr>
          <w:rFonts w:cs="Times New Roman"/>
          <w:szCs w:val="22"/>
        </w:rPr>
        <w:t xml:space="preserve"> in relation to </w:t>
      </w:r>
      <w:r w:rsidR="00056AE6" w:rsidRPr="00B61AD3">
        <w:rPr>
          <w:rFonts w:cs="Times New Roman"/>
          <w:szCs w:val="22"/>
        </w:rPr>
        <w:t xml:space="preserve">a request made by the Secretary under that subparagraph </w:t>
      </w:r>
      <w:r w:rsidRPr="00B61AD3">
        <w:rPr>
          <w:rFonts w:cs="Times New Roman"/>
          <w:szCs w:val="22"/>
        </w:rPr>
        <w:t xml:space="preserve">on or after </w:t>
      </w:r>
      <w:r w:rsidR="00056AE6" w:rsidRPr="00B61AD3">
        <w:rPr>
          <w:rFonts w:cs="Times New Roman"/>
          <w:szCs w:val="22"/>
        </w:rPr>
        <w:t xml:space="preserve">the </w:t>
      </w:r>
      <w:r w:rsidRPr="00B61AD3">
        <w:rPr>
          <w:rFonts w:cs="Times New Roman"/>
          <w:szCs w:val="22"/>
        </w:rPr>
        <w:t>commencement</w:t>
      </w:r>
      <w:r w:rsidR="00056AE6" w:rsidRPr="00B61AD3">
        <w:rPr>
          <w:rFonts w:cs="Times New Roman"/>
          <w:szCs w:val="22"/>
        </w:rPr>
        <w:t xml:space="preserve"> day</w:t>
      </w:r>
      <w:r w:rsidRPr="00B61AD3">
        <w:rPr>
          <w:rFonts w:cs="Times New Roman"/>
          <w:szCs w:val="22"/>
        </w:rPr>
        <w:t>.</w:t>
      </w:r>
    </w:p>
    <w:p w14:paraId="7E7EE987" w14:textId="77777777" w:rsidR="00886DBA" w:rsidRPr="00B61AD3" w:rsidRDefault="00886DBA" w:rsidP="00C646C3">
      <w:pPr>
        <w:spacing w:line="240" w:lineRule="auto"/>
        <w:contextualSpacing/>
        <w:rPr>
          <w:rFonts w:cs="Times New Roman"/>
          <w:szCs w:val="22"/>
        </w:rPr>
      </w:pPr>
    </w:p>
    <w:p w14:paraId="65D1ED0E" w14:textId="1ED58AFE" w:rsidR="00886DBA" w:rsidRPr="00B61AD3" w:rsidRDefault="00886DBA" w:rsidP="00C646C3">
      <w:pPr>
        <w:spacing w:line="240" w:lineRule="auto"/>
        <w:contextualSpacing/>
        <w:rPr>
          <w:rFonts w:cs="Times New Roman"/>
          <w:szCs w:val="22"/>
        </w:rPr>
      </w:pPr>
      <w:r w:rsidRPr="00B61AD3">
        <w:rPr>
          <w:rFonts w:cs="Times New Roman"/>
          <w:szCs w:val="22"/>
        </w:rPr>
        <w:t xml:space="preserve">New subregulation 111(1) </w:t>
      </w:r>
      <w:r w:rsidR="00864D1A" w:rsidRPr="00B61AD3">
        <w:rPr>
          <w:rFonts w:cs="Times New Roman"/>
          <w:szCs w:val="22"/>
        </w:rPr>
        <w:t>applies in relation to</w:t>
      </w:r>
      <w:r w:rsidRPr="00B61AD3">
        <w:rPr>
          <w:rFonts w:cs="Times New Roman"/>
          <w:szCs w:val="22"/>
        </w:rPr>
        <w:t xml:space="preserve"> a notice:</w:t>
      </w:r>
    </w:p>
    <w:p w14:paraId="68F0B840" w14:textId="77777777" w:rsidR="00864D1A" w:rsidRPr="00B61AD3" w:rsidRDefault="00864D1A" w:rsidP="00C646C3">
      <w:pPr>
        <w:spacing w:line="240" w:lineRule="auto"/>
        <w:contextualSpacing/>
        <w:rPr>
          <w:rFonts w:cs="Times New Roman"/>
          <w:szCs w:val="22"/>
        </w:rPr>
      </w:pPr>
    </w:p>
    <w:p w14:paraId="41802C98" w14:textId="72C120B9" w:rsidR="00886DBA" w:rsidRPr="00B61AD3" w:rsidRDefault="00886DBA" w:rsidP="00C646C3">
      <w:pPr>
        <w:pStyle w:val="ListParagraph"/>
        <w:numPr>
          <w:ilvl w:val="0"/>
          <w:numId w:val="23"/>
        </w:numPr>
        <w:spacing w:line="240" w:lineRule="auto"/>
        <w:rPr>
          <w:rFonts w:cs="Times New Roman"/>
          <w:szCs w:val="22"/>
        </w:rPr>
      </w:pPr>
      <w:r w:rsidRPr="00B61AD3">
        <w:rPr>
          <w:rFonts w:cs="Times New Roman"/>
          <w:szCs w:val="22"/>
        </w:rPr>
        <w:t>given before the commencement day, under paragraph</w:t>
      </w:r>
      <w:r w:rsidR="00625CFF" w:rsidRPr="00B61AD3">
        <w:rPr>
          <w:rFonts w:cs="Times New Roman"/>
          <w:szCs w:val="22"/>
        </w:rPr>
        <w:t> </w:t>
      </w:r>
      <w:r w:rsidRPr="00B61AD3">
        <w:rPr>
          <w:rFonts w:cs="Times New Roman"/>
          <w:szCs w:val="22"/>
        </w:rPr>
        <w:t xml:space="preserve">(a) </w:t>
      </w:r>
      <w:r w:rsidR="00FD6062" w:rsidRPr="00B61AD3">
        <w:rPr>
          <w:rFonts w:cs="Times New Roman"/>
          <w:szCs w:val="22"/>
        </w:rPr>
        <w:t xml:space="preserve">(the ‘old provision’) </w:t>
      </w:r>
      <w:r w:rsidRPr="00B61AD3">
        <w:rPr>
          <w:rFonts w:cs="Times New Roman"/>
          <w:szCs w:val="22"/>
        </w:rPr>
        <w:t>of column 3 in item 15 of the table in Schedule 5A as in force immediately before that day; and</w:t>
      </w:r>
    </w:p>
    <w:p w14:paraId="2C62E7C1" w14:textId="77777777" w:rsidR="00864D1A" w:rsidRPr="00B61AD3" w:rsidRDefault="00864D1A" w:rsidP="00C646C3">
      <w:pPr>
        <w:pStyle w:val="ListParagraph"/>
        <w:spacing w:line="240" w:lineRule="auto"/>
        <w:rPr>
          <w:rFonts w:cs="Times New Roman"/>
          <w:szCs w:val="22"/>
        </w:rPr>
      </w:pPr>
    </w:p>
    <w:p w14:paraId="6D3B9C62" w14:textId="5A67EDC8" w:rsidR="00886DBA" w:rsidRPr="00B61AD3" w:rsidRDefault="00886DBA" w:rsidP="00C646C3">
      <w:pPr>
        <w:pStyle w:val="ListParagraph"/>
        <w:numPr>
          <w:ilvl w:val="0"/>
          <w:numId w:val="23"/>
        </w:numPr>
        <w:spacing w:line="240" w:lineRule="auto"/>
        <w:rPr>
          <w:rFonts w:cs="Times New Roman"/>
          <w:szCs w:val="22"/>
        </w:rPr>
      </w:pPr>
      <w:r w:rsidRPr="00B61AD3">
        <w:rPr>
          <w:rFonts w:cs="Times New Roman"/>
          <w:szCs w:val="22"/>
        </w:rPr>
        <w:t>not withdrawn or otherwise ceased to have effect (however described) before the commencement da</w:t>
      </w:r>
      <w:r w:rsidR="00702D91" w:rsidRPr="00B61AD3">
        <w:rPr>
          <w:rFonts w:cs="Times New Roman"/>
          <w:szCs w:val="22"/>
        </w:rPr>
        <w:t>y</w:t>
      </w:r>
      <w:r w:rsidR="00864D1A" w:rsidRPr="00B61AD3">
        <w:rPr>
          <w:rFonts w:cs="Times New Roman"/>
          <w:szCs w:val="22"/>
        </w:rPr>
        <w:t>.</w:t>
      </w:r>
    </w:p>
    <w:p w14:paraId="3F9F3415" w14:textId="77777777" w:rsidR="00864D1A" w:rsidRPr="00B61AD3" w:rsidRDefault="00864D1A" w:rsidP="00C646C3">
      <w:pPr>
        <w:spacing w:line="240" w:lineRule="auto"/>
        <w:contextualSpacing/>
        <w:rPr>
          <w:rFonts w:cs="Times New Roman"/>
          <w:szCs w:val="22"/>
        </w:rPr>
      </w:pPr>
    </w:p>
    <w:p w14:paraId="22EB3B49" w14:textId="4056C8E3" w:rsidR="00886DBA" w:rsidRPr="00B61AD3" w:rsidRDefault="00864D1A" w:rsidP="00C646C3">
      <w:pPr>
        <w:spacing w:line="240" w:lineRule="auto"/>
        <w:contextualSpacing/>
        <w:rPr>
          <w:rFonts w:cs="Times New Roman"/>
          <w:szCs w:val="22"/>
        </w:rPr>
      </w:pPr>
      <w:r w:rsidRPr="00B61AD3">
        <w:rPr>
          <w:rFonts w:cs="Times New Roman"/>
          <w:szCs w:val="22"/>
        </w:rPr>
        <w:t xml:space="preserve">Subregulation 111(1) provides that such notice </w:t>
      </w:r>
      <w:r w:rsidR="00961485" w:rsidRPr="00B61AD3">
        <w:rPr>
          <w:rFonts w:cs="Times New Roman"/>
          <w:szCs w:val="22"/>
        </w:rPr>
        <w:t>has</w:t>
      </w:r>
      <w:r w:rsidR="00886DBA" w:rsidRPr="00B61AD3">
        <w:rPr>
          <w:rFonts w:cs="Times New Roman"/>
          <w:szCs w:val="22"/>
        </w:rPr>
        <w:t xml:space="preserve"> effect on and after the commencement day as if it had been given under paragraph</w:t>
      </w:r>
      <w:r w:rsidR="00625CFF" w:rsidRPr="00B61AD3">
        <w:rPr>
          <w:rFonts w:cs="Times New Roman"/>
          <w:szCs w:val="22"/>
        </w:rPr>
        <w:t> </w:t>
      </w:r>
      <w:r w:rsidR="00886DBA" w:rsidRPr="00B61AD3">
        <w:rPr>
          <w:rFonts w:cs="Times New Roman"/>
          <w:szCs w:val="22"/>
        </w:rPr>
        <w:t xml:space="preserve">(e) </w:t>
      </w:r>
      <w:r w:rsidR="00FD6062" w:rsidRPr="00B61AD3">
        <w:rPr>
          <w:rFonts w:cs="Times New Roman"/>
          <w:szCs w:val="22"/>
        </w:rPr>
        <w:t xml:space="preserve">(the ‘new provision’) </w:t>
      </w:r>
      <w:r w:rsidR="00886DBA" w:rsidRPr="00B61AD3">
        <w:rPr>
          <w:rFonts w:cs="Times New Roman"/>
          <w:szCs w:val="22"/>
        </w:rPr>
        <w:t>of column 2 in that item</w:t>
      </w:r>
      <w:r w:rsidRPr="00B61AD3">
        <w:rPr>
          <w:rFonts w:cs="Times New Roman"/>
          <w:szCs w:val="22"/>
        </w:rPr>
        <w:t xml:space="preserve">, </w:t>
      </w:r>
      <w:r w:rsidR="00FD6062" w:rsidRPr="00B61AD3">
        <w:rPr>
          <w:rFonts w:cs="Times New Roman"/>
          <w:szCs w:val="22"/>
        </w:rPr>
        <w:t xml:space="preserve">and a statement </w:t>
      </w:r>
      <w:r w:rsidR="00FD6062" w:rsidRPr="00B61AD3">
        <w:rPr>
          <w:rFonts w:cs="Times New Roman"/>
          <w:szCs w:val="22"/>
        </w:rPr>
        <w:lastRenderedPageBreak/>
        <w:t>given in the notice under a subparagraph of the old provision has effect on and after the commencement day as if it ha</w:t>
      </w:r>
      <w:r w:rsidR="00702D91" w:rsidRPr="00B61AD3">
        <w:rPr>
          <w:rFonts w:cs="Times New Roman"/>
          <w:szCs w:val="22"/>
        </w:rPr>
        <w:t>d</w:t>
      </w:r>
      <w:r w:rsidR="00FD6062" w:rsidRPr="00B61AD3">
        <w:rPr>
          <w:rFonts w:cs="Times New Roman"/>
          <w:szCs w:val="22"/>
        </w:rPr>
        <w:t xml:space="preserve"> been given under the corresponding subparagraph of the new provision</w:t>
      </w:r>
      <w:r w:rsidR="00886DBA" w:rsidRPr="00B61AD3">
        <w:rPr>
          <w:rFonts w:cs="Times New Roman"/>
          <w:szCs w:val="22"/>
        </w:rPr>
        <w:t>.</w:t>
      </w:r>
      <w:r w:rsidR="00833B9A" w:rsidRPr="00B61AD3">
        <w:rPr>
          <w:rFonts w:cs="Times New Roman"/>
          <w:szCs w:val="22"/>
        </w:rPr>
        <w:t xml:space="preserve"> This has the the effect that a sponsor notice that was given to the Secretary before the amendments continues to be in effect, meaning a sponsor does not have to provide a new sponsor notice.</w:t>
      </w:r>
    </w:p>
    <w:p w14:paraId="354E37B6" w14:textId="77777777" w:rsidR="00886DBA" w:rsidRPr="00B61AD3" w:rsidRDefault="00886DBA" w:rsidP="00C646C3">
      <w:pPr>
        <w:spacing w:line="240" w:lineRule="auto"/>
        <w:contextualSpacing/>
        <w:rPr>
          <w:rFonts w:cs="Times New Roman"/>
          <w:szCs w:val="22"/>
        </w:rPr>
      </w:pPr>
    </w:p>
    <w:p w14:paraId="2737D990" w14:textId="35FD06D7" w:rsidR="00864D1A" w:rsidRPr="00B61AD3" w:rsidRDefault="00886DBA" w:rsidP="00C646C3">
      <w:pPr>
        <w:spacing w:line="240" w:lineRule="auto"/>
        <w:contextualSpacing/>
        <w:rPr>
          <w:rFonts w:cs="Times New Roman"/>
          <w:szCs w:val="22"/>
        </w:rPr>
      </w:pPr>
      <w:r w:rsidRPr="00B61AD3">
        <w:rPr>
          <w:rFonts w:cs="Times New Roman"/>
          <w:szCs w:val="22"/>
        </w:rPr>
        <w:t>New subregulation 111(2)</w:t>
      </w:r>
      <w:r w:rsidR="00864D1A" w:rsidRPr="00B61AD3">
        <w:rPr>
          <w:rFonts w:cs="Times New Roman"/>
          <w:szCs w:val="22"/>
        </w:rPr>
        <w:t xml:space="preserve"> applies to</w:t>
      </w:r>
      <w:r w:rsidRPr="00B61AD3">
        <w:rPr>
          <w:rFonts w:cs="Times New Roman"/>
          <w:szCs w:val="22"/>
        </w:rPr>
        <w:t xml:space="preserve"> a determination:</w:t>
      </w:r>
    </w:p>
    <w:p w14:paraId="7161ADFB" w14:textId="77777777" w:rsidR="00864D1A" w:rsidRPr="00B61AD3" w:rsidRDefault="00864D1A" w:rsidP="00C646C3">
      <w:pPr>
        <w:spacing w:line="240" w:lineRule="auto"/>
        <w:contextualSpacing/>
        <w:rPr>
          <w:rFonts w:cs="Times New Roman"/>
          <w:szCs w:val="22"/>
        </w:rPr>
      </w:pPr>
    </w:p>
    <w:p w14:paraId="0E2F6884" w14:textId="3DCA43EA" w:rsidR="00886DBA" w:rsidRPr="00B61AD3" w:rsidRDefault="00864D1A" w:rsidP="00C646C3">
      <w:pPr>
        <w:pStyle w:val="ListParagraph"/>
        <w:numPr>
          <w:ilvl w:val="0"/>
          <w:numId w:val="24"/>
        </w:numPr>
        <w:spacing w:line="240" w:lineRule="auto"/>
        <w:rPr>
          <w:rFonts w:cs="Times New Roman"/>
          <w:szCs w:val="22"/>
        </w:rPr>
      </w:pPr>
      <w:r w:rsidRPr="00B61AD3">
        <w:rPr>
          <w:rFonts w:cs="Times New Roman"/>
          <w:szCs w:val="22"/>
        </w:rPr>
        <w:t xml:space="preserve">made </w:t>
      </w:r>
      <w:r w:rsidR="00886DBA" w:rsidRPr="00B61AD3">
        <w:rPr>
          <w:rFonts w:cs="Times New Roman"/>
          <w:szCs w:val="22"/>
        </w:rPr>
        <w:t>by the Secretary as referred to in paragraph</w:t>
      </w:r>
      <w:r w:rsidR="00625CFF" w:rsidRPr="00B61AD3">
        <w:rPr>
          <w:rFonts w:cs="Times New Roman"/>
          <w:szCs w:val="22"/>
        </w:rPr>
        <w:t> </w:t>
      </w:r>
      <w:r w:rsidR="00886DBA" w:rsidRPr="00B61AD3">
        <w:rPr>
          <w:rFonts w:cs="Times New Roman"/>
          <w:szCs w:val="22"/>
        </w:rPr>
        <w:t>(e) of the of column 3 in item 15 of the table in Schedule 5A as in force immediately before that day; and</w:t>
      </w:r>
    </w:p>
    <w:p w14:paraId="5C0DBF48" w14:textId="77777777" w:rsidR="00864D1A" w:rsidRPr="00B61AD3" w:rsidRDefault="00864D1A" w:rsidP="00C646C3">
      <w:pPr>
        <w:pStyle w:val="ListParagraph"/>
        <w:spacing w:line="240" w:lineRule="auto"/>
        <w:rPr>
          <w:rFonts w:cs="Times New Roman"/>
          <w:szCs w:val="22"/>
        </w:rPr>
      </w:pPr>
    </w:p>
    <w:p w14:paraId="4BC955F0" w14:textId="46FC23C5" w:rsidR="00886DBA" w:rsidRPr="00B61AD3" w:rsidRDefault="00886DBA" w:rsidP="00C646C3">
      <w:pPr>
        <w:pStyle w:val="ListParagraph"/>
        <w:numPr>
          <w:ilvl w:val="0"/>
          <w:numId w:val="24"/>
        </w:numPr>
        <w:spacing w:line="240" w:lineRule="auto"/>
        <w:rPr>
          <w:rFonts w:cs="Times New Roman"/>
          <w:szCs w:val="22"/>
        </w:rPr>
      </w:pPr>
      <w:r w:rsidRPr="00B61AD3">
        <w:rPr>
          <w:rFonts w:cs="Times New Roman"/>
          <w:szCs w:val="22"/>
        </w:rPr>
        <w:t>in force immediately before the commencement day</w:t>
      </w:r>
      <w:r w:rsidR="00864D1A" w:rsidRPr="00B61AD3">
        <w:rPr>
          <w:rFonts w:cs="Times New Roman"/>
          <w:szCs w:val="22"/>
        </w:rPr>
        <w:t>.</w:t>
      </w:r>
    </w:p>
    <w:p w14:paraId="138854D0" w14:textId="77777777" w:rsidR="00864D1A" w:rsidRPr="00B61AD3" w:rsidRDefault="00864D1A" w:rsidP="00C646C3">
      <w:pPr>
        <w:spacing w:line="240" w:lineRule="auto"/>
        <w:contextualSpacing/>
        <w:rPr>
          <w:rFonts w:cs="Times New Roman"/>
          <w:szCs w:val="22"/>
        </w:rPr>
      </w:pPr>
    </w:p>
    <w:p w14:paraId="05F2A4B1" w14:textId="16D9E23F" w:rsidR="00886DBA" w:rsidRPr="00B61AD3" w:rsidRDefault="00864D1A" w:rsidP="00C646C3">
      <w:pPr>
        <w:spacing w:line="240" w:lineRule="auto"/>
        <w:contextualSpacing/>
        <w:rPr>
          <w:rFonts w:cs="Times New Roman"/>
          <w:szCs w:val="22"/>
        </w:rPr>
      </w:pPr>
      <w:r w:rsidRPr="00B61AD3">
        <w:rPr>
          <w:rFonts w:cs="Times New Roman"/>
          <w:szCs w:val="22"/>
        </w:rPr>
        <w:t>Subregulation 111(2) provides that such</w:t>
      </w:r>
      <w:r w:rsidR="000E3F06" w:rsidRPr="00B61AD3">
        <w:rPr>
          <w:rFonts w:cs="Times New Roman"/>
          <w:szCs w:val="22"/>
        </w:rPr>
        <w:t xml:space="preserve"> a</w:t>
      </w:r>
      <w:r w:rsidRPr="00B61AD3">
        <w:rPr>
          <w:rFonts w:cs="Times New Roman"/>
          <w:szCs w:val="22"/>
        </w:rPr>
        <w:t xml:space="preserve"> determination </w:t>
      </w:r>
      <w:r w:rsidR="00961485" w:rsidRPr="00B61AD3">
        <w:rPr>
          <w:rFonts w:cs="Times New Roman"/>
          <w:szCs w:val="22"/>
        </w:rPr>
        <w:t>has</w:t>
      </w:r>
      <w:r w:rsidR="00886DBA" w:rsidRPr="00B61AD3">
        <w:rPr>
          <w:rFonts w:cs="Times New Roman"/>
          <w:szCs w:val="22"/>
        </w:rPr>
        <w:t xml:space="preserve"> effect on and after the commencement day as if it were a determination referred to in paragraph</w:t>
      </w:r>
      <w:r w:rsidR="00625CFF" w:rsidRPr="00B61AD3">
        <w:rPr>
          <w:rFonts w:cs="Times New Roman"/>
          <w:szCs w:val="22"/>
        </w:rPr>
        <w:t> </w:t>
      </w:r>
      <w:r w:rsidR="00886DBA" w:rsidRPr="00B61AD3">
        <w:rPr>
          <w:rFonts w:cs="Times New Roman"/>
          <w:szCs w:val="22"/>
        </w:rPr>
        <w:t>(g) of column 2 in that item.</w:t>
      </w:r>
      <w:r w:rsidR="00833B9A" w:rsidRPr="00B61AD3">
        <w:rPr>
          <w:rFonts w:cs="Times New Roman"/>
          <w:szCs w:val="22"/>
        </w:rPr>
        <w:t xml:space="preserve"> This has the effect that, if a determination by the Secretary that the supply of the device should be stopped or cease was given before the commencement of the proposed Regulations, the determination continues to have effect.</w:t>
      </w:r>
    </w:p>
    <w:p w14:paraId="2FBDDAE5" w14:textId="23421375" w:rsidR="00384135" w:rsidRPr="00B61AD3" w:rsidRDefault="00384135" w:rsidP="00C646C3">
      <w:pPr>
        <w:spacing w:line="240" w:lineRule="auto"/>
        <w:contextualSpacing/>
        <w:rPr>
          <w:rFonts w:cs="Times New Roman"/>
          <w:szCs w:val="22"/>
        </w:rPr>
      </w:pPr>
      <w:r w:rsidRPr="00B61AD3">
        <w:rPr>
          <w:rFonts w:cs="Times New Roman"/>
          <w:szCs w:val="22"/>
        </w:rPr>
        <w:br w:type="page"/>
      </w:r>
    </w:p>
    <w:p w14:paraId="1FB72814" w14:textId="77777777" w:rsidR="00384135" w:rsidRPr="00B61AD3" w:rsidRDefault="00384135" w:rsidP="00C646C3">
      <w:pPr>
        <w:spacing w:line="240" w:lineRule="auto"/>
        <w:ind w:left="6237" w:firstLine="3"/>
        <w:contextualSpacing/>
        <w:jc w:val="right"/>
        <w:rPr>
          <w:rFonts w:cs="Times New Roman"/>
          <w:b/>
          <w:szCs w:val="22"/>
          <w:u w:val="single"/>
        </w:rPr>
      </w:pPr>
      <w:r w:rsidRPr="00B61AD3">
        <w:rPr>
          <w:rFonts w:cs="Times New Roman"/>
          <w:b/>
          <w:szCs w:val="22"/>
          <w:u w:val="single"/>
        </w:rPr>
        <w:lastRenderedPageBreak/>
        <w:t>ATTACHMENT B</w:t>
      </w:r>
    </w:p>
    <w:p w14:paraId="50894A40" w14:textId="77777777" w:rsidR="00384135" w:rsidRPr="00B61AD3" w:rsidRDefault="00384135" w:rsidP="00C646C3">
      <w:pPr>
        <w:spacing w:line="240" w:lineRule="auto"/>
        <w:contextualSpacing/>
        <w:jc w:val="center"/>
        <w:rPr>
          <w:rFonts w:cs="Times New Roman"/>
          <w:bCs/>
          <w:szCs w:val="22"/>
        </w:rPr>
      </w:pPr>
    </w:p>
    <w:p w14:paraId="69611783" w14:textId="77777777" w:rsidR="000E08C8" w:rsidRPr="00B61AD3" w:rsidRDefault="000E08C8" w:rsidP="00C646C3">
      <w:pPr>
        <w:spacing w:line="240" w:lineRule="auto"/>
        <w:contextualSpacing/>
        <w:jc w:val="center"/>
        <w:rPr>
          <w:rFonts w:cs="Times New Roman"/>
          <w:bCs/>
          <w:szCs w:val="22"/>
        </w:rPr>
      </w:pPr>
    </w:p>
    <w:p w14:paraId="3DF261ED" w14:textId="77777777" w:rsidR="00384135" w:rsidRPr="00B61AD3" w:rsidRDefault="00384135" w:rsidP="00C646C3">
      <w:pPr>
        <w:spacing w:line="240" w:lineRule="auto"/>
        <w:contextualSpacing/>
        <w:jc w:val="center"/>
        <w:rPr>
          <w:rFonts w:cs="Times New Roman"/>
          <w:b/>
          <w:szCs w:val="22"/>
        </w:rPr>
      </w:pPr>
      <w:r w:rsidRPr="00B61AD3">
        <w:rPr>
          <w:rFonts w:cs="Times New Roman"/>
          <w:b/>
          <w:szCs w:val="22"/>
        </w:rPr>
        <w:t>Statement of Compatibility with Human Rights</w:t>
      </w:r>
    </w:p>
    <w:p w14:paraId="16A3916C" w14:textId="77777777" w:rsidR="00384135" w:rsidRPr="00B61AD3" w:rsidRDefault="00384135" w:rsidP="00C646C3">
      <w:pPr>
        <w:spacing w:line="240" w:lineRule="auto"/>
        <w:contextualSpacing/>
        <w:rPr>
          <w:rFonts w:cs="Times New Roman"/>
          <w:szCs w:val="22"/>
        </w:rPr>
      </w:pPr>
    </w:p>
    <w:p w14:paraId="1C0EAB49" w14:textId="77777777" w:rsidR="00384135" w:rsidRPr="00B61AD3" w:rsidRDefault="00384135" w:rsidP="00C646C3">
      <w:pPr>
        <w:spacing w:line="240" w:lineRule="auto"/>
        <w:contextualSpacing/>
        <w:jc w:val="center"/>
        <w:rPr>
          <w:rFonts w:cs="Times New Roman"/>
          <w:szCs w:val="22"/>
        </w:rPr>
      </w:pPr>
      <w:r w:rsidRPr="00B61AD3">
        <w:rPr>
          <w:rFonts w:cs="Times New Roman"/>
          <w:szCs w:val="22"/>
        </w:rPr>
        <w:t xml:space="preserve">Prepared in accordance with Part 3 of the </w:t>
      </w:r>
      <w:r w:rsidRPr="00B61AD3">
        <w:rPr>
          <w:rFonts w:cs="Times New Roman"/>
          <w:i/>
          <w:szCs w:val="22"/>
        </w:rPr>
        <w:t>Human Rights (Parliamentary Scrutiny) Act 2011</w:t>
      </w:r>
    </w:p>
    <w:p w14:paraId="79CDDB32" w14:textId="77777777" w:rsidR="00384135" w:rsidRPr="00B61AD3" w:rsidRDefault="00384135" w:rsidP="00C646C3">
      <w:pPr>
        <w:spacing w:line="240" w:lineRule="auto"/>
        <w:contextualSpacing/>
        <w:rPr>
          <w:rFonts w:cs="Times New Roman"/>
          <w:bCs/>
          <w:szCs w:val="22"/>
        </w:rPr>
      </w:pPr>
    </w:p>
    <w:p w14:paraId="695EF889" w14:textId="2946EB19" w:rsidR="00384135" w:rsidRPr="00B61AD3" w:rsidRDefault="00384135" w:rsidP="00C646C3">
      <w:pPr>
        <w:spacing w:line="240" w:lineRule="auto"/>
        <w:ind w:firstLine="3"/>
        <w:contextualSpacing/>
        <w:jc w:val="center"/>
        <w:rPr>
          <w:rFonts w:cs="Times New Roman"/>
          <w:b/>
          <w:i/>
          <w:iCs/>
          <w:caps/>
          <w:szCs w:val="22"/>
        </w:rPr>
      </w:pPr>
      <w:r w:rsidRPr="00B61AD3">
        <w:rPr>
          <w:rFonts w:cs="Times New Roman"/>
          <w:b/>
          <w:i/>
          <w:iCs/>
          <w:szCs w:val="22"/>
        </w:rPr>
        <w:t>Therapeutic Goods Legislation Amendment (2024 Measures No. 3) Regulations 2024</w:t>
      </w:r>
    </w:p>
    <w:p w14:paraId="7B7184D8" w14:textId="77777777" w:rsidR="00384135" w:rsidRPr="00B61AD3" w:rsidRDefault="00384135" w:rsidP="00C646C3">
      <w:pPr>
        <w:spacing w:line="240" w:lineRule="auto"/>
        <w:contextualSpacing/>
        <w:rPr>
          <w:rFonts w:cs="Times New Roman"/>
          <w:szCs w:val="22"/>
        </w:rPr>
      </w:pPr>
    </w:p>
    <w:p w14:paraId="4D0253F2" w14:textId="33C791BD" w:rsidR="00384135" w:rsidRPr="00B61AD3" w:rsidRDefault="00685914" w:rsidP="00C646C3">
      <w:pPr>
        <w:spacing w:line="240" w:lineRule="auto"/>
        <w:contextualSpacing/>
        <w:rPr>
          <w:rFonts w:cs="Times New Roman"/>
          <w:szCs w:val="22"/>
        </w:rPr>
      </w:pPr>
      <w:r w:rsidRPr="00B61AD3">
        <w:rPr>
          <w:rFonts w:cs="Times New Roman"/>
          <w:szCs w:val="22"/>
        </w:rPr>
        <w:t xml:space="preserve">The </w:t>
      </w:r>
      <w:r w:rsidRPr="00B61AD3">
        <w:rPr>
          <w:rFonts w:cs="Times New Roman"/>
          <w:i/>
          <w:iCs/>
          <w:szCs w:val="22"/>
          <w:lang w:eastAsia="en-AU"/>
        </w:rPr>
        <w:t xml:space="preserve">Therapeutic Goods Legislation Amendment (2024 Measures No. 3) Regulations 2024 </w:t>
      </w:r>
      <w:r w:rsidRPr="00B61AD3">
        <w:rPr>
          <w:rFonts w:cs="Times New Roman"/>
          <w:szCs w:val="22"/>
          <w:lang w:eastAsia="en-AU"/>
        </w:rPr>
        <w:t>(the</w:t>
      </w:r>
      <w:r w:rsidR="00220AF6" w:rsidRPr="00B61AD3">
        <w:rPr>
          <w:rFonts w:cs="Times New Roman"/>
          <w:szCs w:val="22"/>
          <w:lang w:eastAsia="en-AU"/>
        </w:rPr>
        <w:t> </w:t>
      </w:r>
      <w:r w:rsidRPr="00B61AD3">
        <w:rPr>
          <w:rFonts w:cs="Times New Roman"/>
          <w:szCs w:val="22"/>
          <w:lang w:eastAsia="en-AU"/>
        </w:rPr>
        <w:t>Regulations) are</w:t>
      </w:r>
      <w:r w:rsidR="00384135" w:rsidRPr="00B61AD3">
        <w:rPr>
          <w:rFonts w:cs="Times New Roman"/>
          <w:szCs w:val="22"/>
        </w:rPr>
        <w:t xml:space="preserve"> compatible with the human rights and freedoms recognised or declared in the international instruments listed in section 3 of the </w:t>
      </w:r>
      <w:r w:rsidR="00384135" w:rsidRPr="00B61AD3">
        <w:rPr>
          <w:rFonts w:cs="Times New Roman"/>
          <w:i/>
          <w:szCs w:val="22"/>
        </w:rPr>
        <w:t>Human Rights (Parliamentary Scrutiny) Act 2011</w:t>
      </w:r>
      <w:r w:rsidR="00384135" w:rsidRPr="00B61AD3">
        <w:rPr>
          <w:rFonts w:cs="Times New Roman"/>
          <w:szCs w:val="22"/>
        </w:rPr>
        <w:t>.</w:t>
      </w:r>
    </w:p>
    <w:p w14:paraId="6D5B3FF5" w14:textId="77777777" w:rsidR="00384135" w:rsidRPr="00B61AD3" w:rsidRDefault="00384135" w:rsidP="00C646C3">
      <w:pPr>
        <w:spacing w:line="240" w:lineRule="auto"/>
        <w:contextualSpacing/>
        <w:rPr>
          <w:rFonts w:cs="Times New Roman"/>
          <w:szCs w:val="22"/>
        </w:rPr>
      </w:pPr>
    </w:p>
    <w:p w14:paraId="60B17A0F" w14:textId="20B5F7B3" w:rsidR="00384135" w:rsidRPr="00B61AD3" w:rsidRDefault="00384135" w:rsidP="00C646C3">
      <w:pPr>
        <w:spacing w:line="240" w:lineRule="auto"/>
        <w:contextualSpacing/>
        <w:rPr>
          <w:rFonts w:cs="Times New Roman"/>
          <w:b/>
          <w:szCs w:val="22"/>
        </w:rPr>
      </w:pPr>
      <w:r w:rsidRPr="00B61AD3">
        <w:rPr>
          <w:rFonts w:cs="Times New Roman"/>
          <w:b/>
          <w:szCs w:val="22"/>
        </w:rPr>
        <w:t xml:space="preserve">Overview </w:t>
      </w:r>
      <w:r w:rsidR="00C704C4" w:rsidRPr="00B61AD3">
        <w:rPr>
          <w:rFonts w:cs="Times New Roman"/>
          <w:b/>
          <w:szCs w:val="22"/>
        </w:rPr>
        <w:t>of the legislative instrument</w:t>
      </w:r>
    </w:p>
    <w:p w14:paraId="4A8E3E13" w14:textId="77777777" w:rsidR="00384135" w:rsidRPr="00B61AD3" w:rsidRDefault="00384135" w:rsidP="00C646C3">
      <w:pPr>
        <w:spacing w:line="240" w:lineRule="auto"/>
        <w:contextualSpacing/>
        <w:rPr>
          <w:rFonts w:cs="Times New Roman"/>
          <w:szCs w:val="22"/>
        </w:rPr>
      </w:pPr>
    </w:p>
    <w:p w14:paraId="5C699626" w14:textId="38D4053C" w:rsidR="00403D04" w:rsidRPr="00B61AD3" w:rsidRDefault="00403D04" w:rsidP="00C646C3">
      <w:pPr>
        <w:spacing w:line="240" w:lineRule="auto"/>
        <w:contextualSpacing/>
        <w:rPr>
          <w:rFonts w:cs="Times New Roman"/>
          <w:szCs w:val="22"/>
        </w:rPr>
      </w:pPr>
      <w:r w:rsidRPr="00B61AD3">
        <w:rPr>
          <w:rFonts w:cs="Times New Roman"/>
          <w:szCs w:val="22"/>
        </w:rPr>
        <w:t>The Regulations are made under subsection</w:t>
      </w:r>
      <w:r w:rsidR="00DA317A" w:rsidRPr="00B61AD3">
        <w:rPr>
          <w:rFonts w:cs="Times New Roman"/>
          <w:szCs w:val="22"/>
        </w:rPr>
        <w:t>s 3(1) (definition of ‘commercial quantity</w:t>
      </w:r>
      <w:r w:rsidR="00904854" w:rsidRPr="00B61AD3">
        <w:rPr>
          <w:rFonts w:cs="Times New Roman"/>
          <w:szCs w:val="22"/>
        </w:rPr>
        <w:t>’</w:t>
      </w:r>
      <w:r w:rsidR="00DA317A" w:rsidRPr="00B61AD3">
        <w:rPr>
          <w:rFonts w:cs="Times New Roman"/>
          <w:szCs w:val="22"/>
        </w:rPr>
        <w:t>), 18(1), 41HA(1) and</w:t>
      </w:r>
      <w:r w:rsidRPr="00B61AD3">
        <w:rPr>
          <w:rFonts w:cs="Times New Roman"/>
          <w:szCs w:val="22"/>
        </w:rPr>
        <w:t xml:space="preserve"> 63(1) of the </w:t>
      </w:r>
      <w:r w:rsidRPr="00B61AD3">
        <w:rPr>
          <w:rFonts w:cs="Times New Roman"/>
          <w:i/>
          <w:szCs w:val="22"/>
        </w:rPr>
        <w:t>Therapeutic Goods Act 1989</w:t>
      </w:r>
      <w:r w:rsidRPr="00B61AD3">
        <w:rPr>
          <w:rFonts w:cs="Times New Roman"/>
          <w:szCs w:val="22"/>
        </w:rPr>
        <w:t xml:space="preserve"> (the Act).</w:t>
      </w:r>
    </w:p>
    <w:p w14:paraId="0A4060F8" w14:textId="77777777" w:rsidR="00403D04" w:rsidRPr="00B61AD3" w:rsidRDefault="00403D04" w:rsidP="00C646C3">
      <w:pPr>
        <w:spacing w:line="240" w:lineRule="auto"/>
        <w:contextualSpacing/>
        <w:rPr>
          <w:rFonts w:cs="Times New Roman"/>
          <w:szCs w:val="22"/>
          <w:lang w:eastAsia="en-AU"/>
        </w:rPr>
      </w:pPr>
    </w:p>
    <w:p w14:paraId="38B5113C" w14:textId="77777777" w:rsidR="00220AF6" w:rsidRPr="00B61AD3" w:rsidRDefault="00220AF6" w:rsidP="00C646C3">
      <w:pPr>
        <w:spacing w:line="240" w:lineRule="auto"/>
        <w:contextualSpacing/>
        <w:rPr>
          <w:rStyle w:val="OPCCharBase"/>
          <w:rFonts w:cs="Times New Roman"/>
          <w:szCs w:val="22"/>
          <w:lang w:eastAsia="en-AU"/>
        </w:rPr>
      </w:pPr>
      <w:r w:rsidRPr="00B61AD3">
        <w:rPr>
          <w:rStyle w:val="OPCCharBase"/>
          <w:rFonts w:cs="Times New Roman"/>
          <w:szCs w:val="22"/>
          <w:lang w:eastAsia="en-AU"/>
        </w:rPr>
        <w:t>Subsection 63(1) of the Act enables the Governor-General to make regulations, not inconsistent with the Act, prescribing matters that are required or permitted by the Act, or necessary or convenient to be prescribed for carrying out or giving effect to the Act.</w:t>
      </w:r>
    </w:p>
    <w:p w14:paraId="25EFB8D3" w14:textId="77777777" w:rsidR="00220AF6" w:rsidRPr="00B61AD3" w:rsidRDefault="00220AF6" w:rsidP="00C646C3">
      <w:pPr>
        <w:spacing w:line="240" w:lineRule="auto"/>
        <w:contextualSpacing/>
        <w:rPr>
          <w:rStyle w:val="OPCCharBase"/>
          <w:rFonts w:cs="Times New Roman"/>
          <w:szCs w:val="22"/>
          <w:lang w:eastAsia="en-AU"/>
        </w:rPr>
      </w:pPr>
    </w:p>
    <w:p w14:paraId="39A5AAF8" w14:textId="487404FA" w:rsidR="00220AF6" w:rsidRPr="00B61AD3" w:rsidRDefault="00220AF6" w:rsidP="00C646C3">
      <w:pPr>
        <w:spacing w:line="240" w:lineRule="auto"/>
        <w:contextualSpacing/>
        <w:rPr>
          <w:rStyle w:val="OPCCharBase"/>
          <w:rFonts w:cs="Times New Roman"/>
          <w:szCs w:val="22"/>
          <w:lang w:eastAsia="en-AU"/>
        </w:rPr>
      </w:pPr>
      <w:r w:rsidRPr="00B61AD3">
        <w:rPr>
          <w:rStyle w:val="OPCCharBase"/>
          <w:rFonts w:cs="Times New Roman"/>
          <w:szCs w:val="22"/>
          <w:lang w:eastAsia="en-AU"/>
        </w:rPr>
        <w:t>Subsection 18(1) of the Act provides that the regulations may exempt, subject to conditions specified in the regulations, specified therapeutic goods, or a specified class of therapeutic goods from the operation of Part 3-2 of the Act (except section 31A and sections 31C to 31F). Similarly, in relation to medical devices, section 41HAof the Act provides that the regulations may exempt, subject to conditions specified in the regulations, specified kinds of medical devices from the operation of Division 3 of Part 4-11 of the Act.</w:t>
      </w:r>
    </w:p>
    <w:p w14:paraId="3F9AD9C4" w14:textId="77777777" w:rsidR="00220AF6" w:rsidRPr="00B61AD3" w:rsidRDefault="00220AF6" w:rsidP="00C646C3">
      <w:pPr>
        <w:spacing w:line="240" w:lineRule="auto"/>
        <w:contextualSpacing/>
        <w:rPr>
          <w:rStyle w:val="OPCCharBase"/>
          <w:rFonts w:cs="Times New Roman"/>
          <w:szCs w:val="22"/>
          <w:lang w:eastAsia="en-AU"/>
        </w:rPr>
      </w:pPr>
    </w:p>
    <w:p w14:paraId="3A6A95CC" w14:textId="77777777" w:rsidR="00220AF6" w:rsidRPr="00B61AD3" w:rsidRDefault="00220AF6" w:rsidP="00C646C3">
      <w:pPr>
        <w:spacing w:line="240" w:lineRule="auto"/>
        <w:contextualSpacing/>
        <w:rPr>
          <w:rStyle w:val="OPCCharBase"/>
          <w:rFonts w:cs="Times New Roman"/>
          <w:szCs w:val="22"/>
        </w:rPr>
      </w:pPr>
      <w:r w:rsidRPr="00B61AD3">
        <w:rPr>
          <w:rStyle w:val="OPCCharBase"/>
          <w:rFonts w:cs="Times New Roman"/>
          <w:szCs w:val="22"/>
        </w:rPr>
        <w:t>The Regulations further support the Australian Government’s vaping reforms by clarifying the circumstances in which notified vaping goods are exempt from inclusion in the Australian Register of Therapeutic Goods (the Register) but able to be lawfully imported into or manufactured, possessed or supplied in Australia. This will help ensure that the Therapeutic Goods Administration (TGA) is better able to regulate goods within the lawful supply chain and provide greater clarity to industry participants.</w:t>
      </w:r>
    </w:p>
    <w:p w14:paraId="2329D0A2" w14:textId="77777777" w:rsidR="00220AF6" w:rsidRPr="00B61AD3" w:rsidRDefault="00220AF6" w:rsidP="00C646C3">
      <w:pPr>
        <w:spacing w:line="240" w:lineRule="auto"/>
        <w:contextualSpacing/>
        <w:rPr>
          <w:rStyle w:val="OPCCharBase"/>
          <w:rFonts w:cs="Times New Roman"/>
          <w:szCs w:val="22"/>
          <w:lang w:eastAsia="en-AU"/>
        </w:rPr>
      </w:pPr>
    </w:p>
    <w:p w14:paraId="6D237FE1" w14:textId="77777777" w:rsidR="00F9528F" w:rsidRPr="00B61AD3" w:rsidRDefault="00F9528F" w:rsidP="00C646C3">
      <w:pPr>
        <w:spacing w:line="240" w:lineRule="auto"/>
        <w:contextualSpacing/>
        <w:rPr>
          <w:rFonts w:cs="Times New Roman"/>
          <w:szCs w:val="22"/>
          <w:lang w:eastAsia="en-AU"/>
        </w:rPr>
      </w:pPr>
      <w:r w:rsidRPr="00B61AD3">
        <w:rPr>
          <w:rFonts w:cs="Times New Roman"/>
          <w:szCs w:val="22"/>
          <w:lang w:eastAsia="en-AU"/>
        </w:rPr>
        <w:t xml:space="preserve">The </w:t>
      </w:r>
      <w:r w:rsidRPr="00B61AD3">
        <w:rPr>
          <w:rFonts w:cs="Times New Roman"/>
          <w:i/>
          <w:iCs/>
          <w:szCs w:val="22"/>
          <w:lang w:eastAsia="en-AU"/>
        </w:rPr>
        <w:t>Therapeutic Goods Legislation Amendment (Vaping) Regulations 2023</w:t>
      </w:r>
      <w:r w:rsidRPr="00B61AD3">
        <w:rPr>
          <w:rFonts w:cs="Times New Roman"/>
          <w:szCs w:val="22"/>
          <w:lang w:eastAsia="en-AU"/>
        </w:rPr>
        <w:t xml:space="preserve"> implemented the first stage of the Government’s vaping reforms by introducing new exemptions in the </w:t>
      </w:r>
      <w:r w:rsidRPr="00B61AD3">
        <w:rPr>
          <w:rFonts w:cs="Times New Roman"/>
          <w:i/>
          <w:iCs/>
          <w:szCs w:val="22"/>
          <w:lang w:eastAsia="en-AU"/>
        </w:rPr>
        <w:t xml:space="preserve">Therapeutic Goods (Medical Devices) Regulations 2002 </w:t>
      </w:r>
      <w:r w:rsidRPr="00B61AD3">
        <w:rPr>
          <w:rFonts w:cs="Times New Roman"/>
          <w:szCs w:val="22"/>
          <w:lang w:eastAsia="en-AU"/>
        </w:rPr>
        <w:t xml:space="preserve">(the MD Regulations) and the </w:t>
      </w:r>
      <w:r w:rsidRPr="00B61AD3">
        <w:rPr>
          <w:rFonts w:cs="Times New Roman"/>
          <w:i/>
          <w:iCs/>
          <w:szCs w:val="22"/>
          <w:lang w:eastAsia="en-AU"/>
        </w:rPr>
        <w:t>Therapeutic Goods Regulations 1990</w:t>
      </w:r>
      <w:r w:rsidRPr="00B61AD3">
        <w:rPr>
          <w:rFonts w:cs="Times New Roman"/>
          <w:szCs w:val="22"/>
          <w:lang w:eastAsia="en-AU"/>
        </w:rPr>
        <w:t xml:space="preserve"> (the TG Regulations) for certain therapeutic vaping goods.</w:t>
      </w:r>
    </w:p>
    <w:p w14:paraId="05EDCCDC" w14:textId="77777777" w:rsidR="00F9528F" w:rsidRPr="00B61AD3" w:rsidRDefault="00F9528F" w:rsidP="00C646C3">
      <w:pPr>
        <w:spacing w:line="240" w:lineRule="auto"/>
        <w:contextualSpacing/>
        <w:rPr>
          <w:rFonts w:cs="Times New Roman"/>
          <w:szCs w:val="22"/>
          <w:lang w:eastAsia="en-AU"/>
        </w:rPr>
      </w:pPr>
    </w:p>
    <w:p w14:paraId="0ED8B99D" w14:textId="2C26B72E" w:rsidR="00F9528F" w:rsidRPr="00B61AD3" w:rsidRDefault="00F9528F" w:rsidP="00C646C3">
      <w:pPr>
        <w:spacing w:line="240" w:lineRule="auto"/>
        <w:contextualSpacing/>
        <w:rPr>
          <w:rFonts w:cs="Times New Roman"/>
          <w:szCs w:val="22"/>
          <w:lang w:eastAsia="en-AU"/>
        </w:rPr>
      </w:pPr>
      <w:r w:rsidRPr="00B61AD3">
        <w:rPr>
          <w:rFonts w:cs="Times New Roman"/>
          <w:szCs w:val="22"/>
          <w:lang w:eastAsia="en-AU"/>
        </w:rPr>
        <w:t>The exemptions operate to exempt certain therapeutic vaping goods for smoking cessation or the management of nicotine dependence from the requirement to be included in the Register, subject to specified conditions. This includes the requirement for the sponsor to provide a notice to the TGA prior to the lawful importation, manufacture or supply of the goods in Australia. The exemptions are relevantly contained in item 2.17 of the table in Part 2 of Schedule 4 to the MD Regulations and item</w:t>
      </w:r>
      <w:r w:rsidR="004F3153" w:rsidRPr="00B61AD3">
        <w:rPr>
          <w:rFonts w:cs="Times New Roman"/>
          <w:szCs w:val="22"/>
          <w:lang w:eastAsia="en-AU"/>
        </w:rPr>
        <w:t> </w:t>
      </w:r>
      <w:r w:rsidRPr="00B61AD3">
        <w:rPr>
          <w:rFonts w:cs="Times New Roman"/>
          <w:szCs w:val="22"/>
          <w:lang w:eastAsia="en-AU"/>
        </w:rPr>
        <w:t>15 of the table in Schedule 5A to the TG Regulations. In practice, these exemptions are referred to as the ‘notified vaping goods’ exemptions.</w:t>
      </w:r>
    </w:p>
    <w:p w14:paraId="2B557D86" w14:textId="77777777" w:rsidR="00F9528F" w:rsidRPr="00B61AD3" w:rsidRDefault="00F9528F" w:rsidP="00C646C3">
      <w:pPr>
        <w:spacing w:line="240" w:lineRule="auto"/>
        <w:contextualSpacing/>
        <w:rPr>
          <w:rFonts w:cs="Times New Roman"/>
          <w:szCs w:val="22"/>
          <w:lang w:eastAsia="en-AU"/>
        </w:rPr>
      </w:pPr>
    </w:p>
    <w:p w14:paraId="657A0CB2" w14:textId="77777777" w:rsidR="00C646C3" w:rsidRPr="00B61AD3" w:rsidRDefault="00C646C3" w:rsidP="00C646C3">
      <w:pPr>
        <w:spacing w:line="240" w:lineRule="auto"/>
        <w:contextualSpacing/>
        <w:rPr>
          <w:rFonts w:cs="Times New Roman"/>
          <w:szCs w:val="22"/>
          <w:lang w:eastAsia="en-AU"/>
        </w:rPr>
      </w:pPr>
      <w:r w:rsidRPr="00B61AD3">
        <w:rPr>
          <w:rFonts w:cs="Times New Roman"/>
          <w:szCs w:val="22"/>
          <w:lang w:eastAsia="en-AU"/>
        </w:rPr>
        <w:t xml:space="preserve">The Regulations amend the </w:t>
      </w:r>
      <w:r w:rsidRPr="00B61AD3">
        <w:rPr>
          <w:rFonts w:cs="Times New Roman"/>
          <w:bCs/>
          <w:szCs w:val="22"/>
          <w:lang w:eastAsia="en-AU"/>
        </w:rPr>
        <w:t>MD Regulations</w:t>
      </w:r>
      <w:r w:rsidRPr="00B61AD3">
        <w:rPr>
          <w:rFonts w:cs="Times New Roman"/>
          <w:szCs w:val="22"/>
          <w:lang w:eastAsia="en-AU"/>
        </w:rPr>
        <w:t xml:space="preserve"> and </w:t>
      </w:r>
      <w:r w:rsidRPr="00B61AD3">
        <w:rPr>
          <w:rFonts w:cs="Times New Roman"/>
          <w:bCs/>
          <w:szCs w:val="22"/>
          <w:lang w:eastAsia="en-AU"/>
        </w:rPr>
        <w:t>the TG Regulations</w:t>
      </w:r>
      <w:r w:rsidRPr="00B61AD3">
        <w:rPr>
          <w:rFonts w:cs="Times New Roman"/>
          <w:szCs w:val="22"/>
          <w:lang w:eastAsia="en-AU"/>
        </w:rPr>
        <w:t>, principally to clarify the circumstances in which notified vaping goods are exempt.</w:t>
      </w:r>
    </w:p>
    <w:p w14:paraId="16460160" w14:textId="77777777" w:rsidR="00C646C3" w:rsidRPr="00B61AD3" w:rsidRDefault="00C646C3" w:rsidP="00C646C3">
      <w:pPr>
        <w:spacing w:line="240" w:lineRule="auto"/>
        <w:contextualSpacing/>
        <w:rPr>
          <w:rFonts w:cs="Times New Roman"/>
          <w:szCs w:val="22"/>
          <w:lang w:eastAsia="en-AU"/>
        </w:rPr>
      </w:pPr>
    </w:p>
    <w:p w14:paraId="16AF8B41" w14:textId="77777777" w:rsidR="00C646C3" w:rsidRPr="00B61AD3" w:rsidRDefault="00C646C3" w:rsidP="00C646C3">
      <w:pPr>
        <w:spacing w:line="240" w:lineRule="auto"/>
        <w:contextualSpacing/>
        <w:rPr>
          <w:rFonts w:cs="Times New Roman"/>
          <w:szCs w:val="22"/>
          <w:lang w:eastAsia="en-AU"/>
        </w:rPr>
      </w:pPr>
      <w:r w:rsidRPr="00B61AD3">
        <w:rPr>
          <w:rFonts w:cs="Times New Roman"/>
          <w:szCs w:val="22"/>
          <w:lang w:eastAsia="en-AU"/>
        </w:rPr>
        <w:t>Specifically, the Regulations make minor amendments to the description of exempt notified vaping goods to specify that an exemption is only applicable where:</w:t>
      </w:r>
    </w:p>
    <w:p w14:paraId="677E0C1C" w14:textId="77777777" w:rsidR="00C646C3" w:rsidRPr="00B61AD3" w:rsidRDefault="00C646C3" w:rsidP="00C646C3">
      <w:pPr>
        <w:spacing w:line="240" w:lineRule="auto"/>
        <w:contextualSpacing/>
        <w:rPr>
          <w:rFonts w:cs="Times New Roman"/>
          <w:szCs w:val="22"/>
          <w:lang w:eastAsia="en-AU"/>
        </w:rPr>
      </w:pPr>
    </w:p>
    <w:p w14:paraId="69A383A8" w14:textId="77777777" w:rsidR="00C646C3" w:rsidRPr="00B61AD3" w:rsidRDefault="00C646C3" w:rsidP="00C646C3">
      <w:pPr>
        <w:numPr>
          <w:ilvl w:val="0"/>
          <w:numId w:val="15"/>
        </w:numPr>
        <w:spacing w:line="240" w:lineRule="auto"/>
        <w:contextualSpacing/>
        <w:rPr>
          <w:rFonts w:cs="Times New Roman"/>
          <w:szCs w:val="22"/>
          <w:lang w:eastAsia="en-AU"/>
        </w:rPr>
      </w:pPr>
      <w:r w:rsidRPr="00B61AD3">
        <w:rPr>
          <w:rFonts w:cs="Times New Roman"/>
          <w:szCs w:val="22"/>
          <w:lang w:eastAsia="en-AU"/>
        </w:rPr>
        <w:lastRenderedPageBreak/>
        <w:t>the sponsor has provided a relevant notice to the TGA;</w:t>
      </w:r>
    </w:p>
    <w:p w14:paraId="40FEBD0A" w14:textId="77777777" w:rsidR="00C646C3" w:rsidRPr="00B61AD3" w:rsidRDefault="00C646C3" w:rsidP="00C646C3">
      <w:pPr>
        <w:spacing w:line="240" w:lineRule="auto"/>
        <w:ind w:left="720"/>
        <w:contextualSpacing/>
        <w:rPr>
          <w:rFonts w:cs="Times New Roman"/>
          <w:szCs w:val="22"/>
          <w:lang w:eastAsia="en-AU"/>
        </w:rPr>
      </w:pPr>
    </w:p>
    <w:p w14:paraId="07A70FE3" w14:textId="77777777" w:rsidR="00C646C3" w:rsidRPr="00B61AD3" w:rsidRDefault="00C646C3" w:rsidP="00C646C3">
      <w:pPr>
        <w:numPr>
          <w:ilvl w:val="0"/>
          <w:numId w:val="15"/>
        </w:numPr>
        <w:spacing w:line="240" w:lineRule="auto"/>
        <w:contextualSpacing/>
        <w:rPr>
          <w:rFonts w:cs="Times New Roman"/>
          <w:szCs w:val="22"/>
          <w:lang w:eastAsia="en-AU"/>
        </w:rPr>
      </w:pPr>
      <w:r w:rsidRPr="00B61AD3">
        <w:rPr>
          <w:rFonts w:cs="Times New Roman"/>
          <w:szCs w:val="22"/>
          <w:lang w:eastAsia="en-AU"/>
        </w:rPr>
        <w:t>the sponsor has not withdrawn the notice; and</w:t>
      </w:r>
    </w:p>
    <w:p w14:paraId="2F19367B" w14:textId="77777777" w:rsidR="00C646C3" w:rsidRPr="00B61AD3" w:rsidRDefault="00C646C3" w:rsidP="00C646C3">
      <w:pPr>
        <w:spacing w:line="240" w:lineRule="auto"/>
        <w:contextualSpacing/>
        <w:rPr>
          <w:rFonts w:cs="Times New Roman"/>
          <w:szCs w:val="22"/>
          <w:lang w:eastAsia="en-AU"/>
        </w:rPr>
      </w:pPr>
    </w:p>
    <w:p w14:paraId="754BDD4E" w14:textId="77777777" w:rsidR="00C646C3" w:rsidRPr="00B61AD3" w:rsidRDefault="00C646C3" w:rsidP="00C646C3">
      <w:pPr>
        <w:numPr>
          <w:ilvl w:val="0"/>
          <w:numId w:val="15"/>
        </w:numPr>
        <w:spacing w:line="240" w:lineRule="auto"/>
        <w:contextualSpacing/>
        <w:rPr>
          <w:rFonts w:cs="Times New Roman"/>
          <w:szCs w:val="22"/>
          <w:lang w:eastAsia="en-AU"/>
        </w:rPr>
      </w:pPr>
      <w:r w:rsidRPr="00B61AD3">
        <w:rPr>
          <w:rFonts w:cs="Times New Roman"/>
          <w:szCs w:val="22"/>
          <w:lang w:eastAsia="en-AU"/>
        </w:rPr>
        <w:t>the Secretary has not declared that supply of the vaping goods should cease on certain grounds, principally relating to the quality and safety of the vaping goods (which is known as a ‘cease supply determination’).</w:t>
      </w:r>
    </w:p>
    <w:p w14:paraId="7A75E441" w14:textId="77777777" w:rsidR="00C646C3" w:rsidRPr="00B61AD3" w:rsidRDefault="00C646C3" w:rsidP="00C646C3">
      <w:pPr>
        <w:spacing w:line="240" w:lineRule="auto"/>
        <w:contextualSpacing/>
        <w:rPr>
          <w:rStyle w:val="OPCCharBase"/>
          <w:rFonts w:cs="Times New Roman"/>
          <w:szCs w:val="22"/>
        </w:rPr>
      </w:pPr>
    </w:p>
    <w:p w14:paraId="17C2999C" w14:textId="77777777" w:rsidR="00C646C3" w:rsidRPr="00B61AD3" w:rsidRDefault="00C646C3" w:rsidP="00C646C3">
      <w:pPr>
        <w:spacing w:line="240" w:lineRule="auto"/>
        <w:contextualSpacing/>
        <w:rPr>
          <w:rStyle w:val="OPCCharBase"/>
          <w:rFonts w:cs="Times New Roman"/>
          <w:szCs w:val="22"/>
        </w:rPr>
      </w:pPr>
      <w:r w:rsidRPr="00B61AD3">
        <w:rPr>
          <w:rStyle w:val="OPCCharBase"/>
          <w:rFonts w:cs="Times New Roman"/>
          <w:szCs w:val="22"/>
        </w:rPr>
        <w:t>The Regulations also implement a small number of other, minor measures, including to:</w:t>
      </w:r>
    </w:p>
    <w:p w14:paraId="1F8BC33A" w14:textId="77777777" w:rsidR="00C646C3" w:rsidRPr="00B61AD3" w:rsidRDefault="00C646C3" w:rsidP="00C646C3">
      <w:pPr>
        <w:spacing w:line="240" w:lineRule="auto"/>
        <w:contextualSpacing/>
        <w:rPr>
          <w:rStyle w:val="OPCCharBase"/>
          <w:rFonts w:cs="Times New Roman"/>
          <w:szCs w:val="22"/>
        </w:rPr>
      </w:pPr>
    </w:p>
    <w:p w14:paraId="4FCD3B78" w14:textId="77777777" w:rsidR="00C646C3" w:rsidRPr="00B61AD3" w:rsidRDefault="00C646C3" w:rsidP="00C646C3">
      <w:pPr>
        <w:pStyle w:val="ListParagraph"/>
        <w:numPr>
          <w:ilvl w:val="0"/>
          <w:numId w:val="17"/>
        </w:numPr>
        <w:spacing w:line="240" w:lineRule="auto"/>
        <w:rPr>
          <w:rStyle w:val="OPCCharBase"/>
          <w:rFonts w:cs="Times New Roman"/>
          <w:szCs w:val="22"/>
        </w:rPr>
      </w:pPr>
      <w:r w:rsidRPr="00B61AD3">
        <w:rPr>
          <w:rStyle w:val="OPCCharBase"/>
          <w:rFonts w:cs="Times New Roman"/>
          <w:szCs w:val="22"/>
        </w:rPr>
        <w:t xml:space="preserve">support the </w:t>
      </w:r>
      <w:r w:rsidRPr="00B61AD3">
        <w:rPr>
          <w:rFonts w:cs="Times New Roman"/>
          <w:szCs w:val="22"/>
          <w:lang w:eastAsia="en-AU"/>
        </w:rPr>
        <w:t>safety</w:t>
      </w:r>
      <w:r w:rsidRPr="00B61AD3">
        <w:rPr>
          <w:rStyle w:val="OPCCharBase"/>
          <w:rFonts w:cs="Times New Roman"/>
          <w:szCs w:val="22"/>
        </w:rPr>
        <w:t>, quality and performance of notified vaping goods by updating existing conditions to clarify that notified vaping goods must comply with current versions of the applicable product standards, as updated and in force from time to time;</w:t>
      </w:r>
    </w:p>
    <w:p w14:paraId="0F6F5BAA" w14:textId="77777777" w:rsidR="00C646C3" w:rsidRPr="00B61AD3" w:rsidRDefault="00C646C3" w:rsidP="00C646C3">
      <w:pPr>
        <w:pStyle w:val="ListParagraph"/>
        <w:spacing w:line="240" w:lineRule="auto"/>
        <w:rPr>
          <w:rStyle w:val="OPCCharBase"/>
          <w:rFonts w:cs="Times New Roman"/>
          <w:szCs w:val="22"/>
        </w:rPr>
      </w:pPr>
    </w:p>
    <w:p w14:paraId="3E1C3FE8" w14:textId="77777777" w:rsidR="00C646C3" w:rsidRPr="00B61AD3" w:rsidRDefault="00C646C3" w:rsidP="00C646C3">
      <w:pPr>
        <w:pStyle w:val="ListParagraph"/>
        <w:numPr>
          <w:ilvl w:val="0"/>
          <w:numId w:val="17"/>
        </w:numPr>
        <w:spacing w:line="240" w:lineRule="auto"/>
        <w:rPr>
          <w:rFonts w:cs="Times New Roman"/>
          <w:szCs w:val="22"/>
        </w:rPr>
      </w:pPr>
      <w:r w:rsidRPr="00B61AD3">
        <w:rPr>
          <w:rStyle w:val="OPCCharBase"/>
          <w:rFonts w:cs="Times New Roman"/>
          <w:szCs w:val="22"/>
        </w:rPr>
        <w:t xml:space="preserve">support the TGA in </w:t>
      </w:r>
      <w:r w:rsidRPr="00B61AD3">
        <w:rPr>
          <w:rFonts w:cs="Times New Roman"/>
          <w:szCs w:val="22"/>
          <w:lang w:eastAsia="en-AU"/>
        </w:rPr>
        <w:t xml:space="preserve">monitoring the lawful supply of notified vaping goods, </w:t>
      </w:r>
      <w:r w:rsidRPr="00B61AD3">
        <w:rPr>
          <w:rStyle w:val="OPCCharBase"/>
          <w:rFonts w:cs="Times New Roman"/>
          <w:szCs w:val="22"/>
        </w:rPr>
        <w:t xml:space="preserve">by enabling the Secretary to require a sponsor to provide information </w:t>
      </w:r>
      <w:r w:rsidRPr="00B61AD3">
        <w:rPr>
          <w:rFonts w:cs="Times New Roman"/>
          <w:szCs w:val="22"/>
          <w:lang w:eastAsia="en-AU"/>
        </w:rPr>
        <w:t xml:space="preserve">in a specified form </w:t>
      </w:r>
      <w:r w:rsidRPr="00B61AD3">
        <w:rPr>
          <w:rStyle w:val="OPCCharBase"/>
          <w:rFonts w:cs="Times New Roman"/>
          <w:szCs w:val="22"/>
        </w:rPr>
        <w:t xml:space="preserve">about the supply of </w:t>
      </w:r>
      <w:r w:rsidRPr="00B61AD3">
        <w:rPr>
          <w:rFonts w:cs="Times New Roman"/>
          <w:szCs w:val="22"/>
          <w:lang w:eastAsia="en-AU"/>
        </w:rPr>
        <w:t>notified vaping goods; and</w:t>
      </w:r>
    </w:p>
    <w:p w14:paraId="5CCC7521" w14:textId="77777777" w:rsidR="00C646C3" w:rsidRPr="00B61AD3" w:rsidRDefault="00C646C3" w:rsidP="00C646C3">
      <w:pPr>
        <w:spacing w:line="240" w:lineRule="auto"/>
        <w:contextualSpacing/>
        <w:rPr>
          <w:rStyle w:val="OPCCharBase"/>
          <w:rFonts w:cs="Times New Roman"/>
          <w:szCs w:val="22"/>
        </w:rPr>
      </w:pPr>
    </w:p>
    <w:p w14:paraId="2AB668A1" w14:textId="77777777" w:rsidR="00C646C3" w:rsidRPr="00B61AD3" w:rsidRDefault="00C646C3" w:rsidP="00C646C3">
      <w:pPr>
        <w:pStyle w:val="ListParagraph"/>
        <w:numPr>
          <w:ilvl w:val="0"/>
          <w:numId w:val="17"/>
        </w:numPr>
        <w:spacing w:line="240" w:lineRule="auto"/>
        <w:rPr>
          <w:rStyle w:val="OPCCharBase"/>
          <w:rFonts w:cs="Times New Roman"/>
          <w:szCs w:val="22"/>
        </w:rPr>
      </w:pPr>
      <w:r w:rsidRPr="00B61AD3">
        <w:rPr>
          <w:rStyle w:val="OPCCharBase"/>
          <w:rFonts w:cs="Times New Roman"/>
          <w:szCs w:val="22"/>
        </w:rPr>
        <w:t>make a small number of other minor or ancillary amendments, including amendments to correct unintended errors.</w:t>
      </w:r>
    </w:p>
    <w:p w14:paraId="5F902220" w14:textId="77777777" w:rsidR="00384135" w:rsidRPr="00B61AD3" w:rsidRDefault="00384135" w:rsidP="00C646C3">
      <w:pPr>
        <w:spacing w:line="240" w:lineRule="auto"/>
        <w:contextualSpacing/>
        <w:rPr>
          <w:rFonts w:cs="Times New Roman"/>
          <w:szCs w:val="22"/>
        </w:rPr>
      </w:pPr>
    </w:p>
    <w:p w14:paraId="377A0BE7" w14:textId="77777777" w:rsidR="00384135" w:rsidRPr="00B61AD3" w:rsidRDefault="00384135" w:rsidP="00C646C3">
      <w:pPr>
        <w:spacing w:line="240" w:lineRule="auto"/>
        <w:contextualSpacing/>
        <w:rPr>
          <w:rFonts w:cs="Times New Roman"/>
          <w:b/>
          <w:szCs w:val="22"/>
        </w:rPr>
      </w:pPr>
      <w:r w:rsidRPr="00B61AD3">
        <w:rPr>
          <w:rFonts w:cs="Times New Roman"/>
          <w:b/>
          <w:szCs w:val="22"/>
        </w:rPr>
        <w:t>Human rights implications</w:t>
      </w:r>
    </w:p>
    <w:p w14:paraId="5847B9E4" w14:textId="77777777" w:rsidR="00805C91" w:rsidRPr="00B61AD3" w:rsidRDefault="00805C91" w:rsidP="00C646C3">
      <w:pPr>
        <w:spacing w:line="240" w:lineRule="auto"/>
        <w:contextualSpacing/>
        <w:rPr>
          <w:rFonts w:cs="Times New Roman"/>
          <w:bCs/>
          <w:szCs w:val="22"/>
        </w:rPr>
      </w:pPr>
    </w:p>
    <w:p w14:paraId="0E40C187" w14:textId="6A86DD3A" w:rsidR="00D216A2" w:rsidRPr="00B61AD3" w:rsidRDefault="00AF6502" w:rsidP="00C646C3">
      <w:pPr>
        <w:autoSpaceDE w:val="0"/>
        <w:autoSpaceDN w:val="0"/>
        <w:adjustRightInd w:val="0"/>
        <w:spacing w:line="240" w:lineRule="auto"/>
        <w:contextualSpacing/>
        <w:rPr>
          <w:rFonts w:eastAsia="Times New Roman" w:cs="Times New Roman"/>
          <w:bCs/>
          <w:szCs w:val="22"/>
          <w:lang w:eastAsia="en-AU"/>
        </w:rPr>
      </w:pPr>
      <w:r w:rsidRPr="00B61AD3">
        <w:rPr>
          <w:rFonts w:eastAsia="Times New Roman" w:cs="Times New Roman"/>
          <w:bCs/>
          <w:szCs w:val="22"/>
          <w:lang w:eastAsia="en-AU"/>
        </w:rPr>
        <w:t>The Regulations engage the right to health in Article 12 of the International Covenant on Economic, Social and Cultural Rights (the ICESCR)</w:t>
      </w:r>
      <w:bookmarkStart w:id="13" w:name="_Hlk150344715"/>
      <w:r w:rsidR="00D216A2" w:rsidRPr="00B61AD3">
        <w:rPr>
          <w:rFonts w:eastAsia="Times New Roman" w:cs="Times New Roman"/>
          <w:bCs/>
          <w:szCs w:val="22"/>
          <w:lang w:eastAsia="en-AU"/>
        </w:rPr>
        <w:t xml:space="preserve"> and </w:t>
      </w:r>
      <w:r w:rsidR="00D216A2" w:rsidRPr="00B61AD3">
        <w:rPr>
          <w:rFonts w:eastAsia="Times New Roman" w:cs="Times New Roman"/>
          <w:szCs w:val="22"/>
          <w:lang w:eastAsia="en-AU"/>
        </w:rPr>
        <w:t>the right to protection against arbitrary and unlawful interferences with privacy in Article 17 of the International Covenant on Civil and Political Rights (the ICC</w:t>
      </w:r>
      <w:r w:rsidR="00DE7BBE" w:rsidRPr="00B61AD3">
        <w:rPr>
          <w:rFonts w:eastAsia="Times New Roman" w:cs="Times New Roman"/>
          <w:szCs w:val="22"/>
          <w:lang w:eastAsia="en-AU"/>
        </w:rPr>
        <w:t>P</w:t>
      </w:r>
      <w:r w:rsidR="00D216A2" w:rsidRPr="00B61AD3">
        <w:rPr>
          <w:rFonts w:eastAsia="Times New Roman" w:cs="Times New Roman"/>
          <w:szCs w:val="22"/>
          <w:lang w:eastAsia="en-AU"/>
        </w:rPr>
        <w:t>R).</w:t>
      </w:r>
    </w:p>
    <w:p w14:paraId="5A57C11D" w14:textId="77777777" w:rsidR="00D216A2" w:rsidRPr="00B61AD3" w:rsidRDefault="00D216A2" w:rsidP="00C646C3">
      <w:pPr>
        <w:autoSpaceDE w:val="0"/>
        <w:autoSpaceDN w:val="0"/>
        <w:adjustRightInd w:val="0"/>
        <w:spacing w:line="240" w:lineRule="auto"/>
        <w:contextualSpacing/>
        <w:rPr>
          <w:rFonts w:eastAsia="Times New Roman" w:cs="Times New Roman"/>
          <w:bCs/>
          <w:szCs w:val="22"/>
          <w:lang w:eastAsia="en-AU"/>
        </w:rPr>
      </w:pPr>
    </w:p>
    <w:p w14:paraId="053F6C19" w14:textId="600D2C62" w:rsidR="00D216A2" w:rsidRPr="00B61AD3" w:rsidRDefault="00D216A2" w:rsidP="00C646C3">
      <w:pPr>
        <w:autoSpaceDE w:val="0"/>
        <w:autoSpaceDN w:val="0"/>
        <w:adjustRightInd w:val="0"/>
        <w:spacing w:line="240" w:lineRule="auto"/>
        <w:contextualSpacing/>
        <w:rPr>
          <w:rFonts w:eastAsia="Times New Roman" w:cs="Times New Roman"/>
          <w:bCs/>
          <w:szCs w:val="22"/>
          <w:lang w:eastAsia="en-AU"/>
        </w:rPr>
      </w:pPr>
      <w:r w:rsidRPr="00B61AD3">
        <w:rPr>
          <w:rFonts w:eastAsia="Times New Roman" w:cs="Times New Roman"/>
          <w:bCs/>
          <w:i/>
          <w:iCs/>
          <w:szCs w:val="22"/>
          <w:lang w:eastAsia="en-AU"/>
        </w:rPr>
        <w:t>Right to health</w:t>
      </w:r>
    </w:p>
    <w:p w14:paraId="06ABFF29" w14:textId="77777777" w:rsidR="00D216A2" w:rsidRPr="00B61AD3" w:rsidRDefault="00D216A2" w:rsidP="00C646C3">
      <w:pPr>
        <w:autoSpaceDE w:val="0"/>
        <w:autoSpaceDN w:val="0"/>
        <w:adjustRightInd w:val="0"/>
        <w:spacing w:line="240" w:lineRule="auto"/>
        <w:contextualSpacing/>
        <w:rPr>
          <w:rFonts w:eastAsia="Times New Roman" w:cs="Times New Roman"/>
          <w:bCs/>
          <w:szCs w:val="22"/>
          <w:lang w:eastAsia="en-AU"/>
        </w:rPr>
      </w:pPr>
    </w:p>
    <w:p w14:paraId="4ACA3C3F" w14:textId="654D1CD3" w:rsidR="00AF6502" w:rsidRPr="00B61AD3" w:rsidRDefault="00AF6502" w:rsidP="00C646C3">
      <w:pPr>
        <w:autoSpaceDE w:val="0"/>
        <w:autoSpaceDN w:val="0"/>
        <w:adjustRightInd w:val="0"/>
        <w:spacing w:line="240" w:lineRule="auto"/>
        <w:contextualSpacing/>
        <w:rPr>
          <w:rFonts w:eastAsia="Times New Roman" w:cs="Times New Roman"/>
          <w:szCs w:val="22"/>
          <w:lang w:eastAsia="en-AU"/>
        </w:rPr>
      </w:pPr>
      <w:r w:rsidRPr="00B61AD3">
        <w:rPr>
          <w:rFonts w:eastAsia="Times New Roman" w:cs="Times New Roman"/>
          <w:szCs w:val="22"/>
          <w:lang w:eastAsia="en-AU"/>
        </w:rPr>
        <w:t>Article 12 of the ICESCR promotes the right of all individuals to enjoy the highest attainable standard of physical and mental health and includes an obligation to take reasonable measures within available resources to progressively secure broader enjoyment of the right.</w:t>
      </w:r>
    </w:p>
    <w:p w14:paraId="4B761F1E" w14:textId="77777777" w:rsidR="00AF6502" w:rsidRPr="00B61AD3" w:rsidRDefault="00AF6502" w:rsidP="00C646C3">
      <w:pPr>
        <w:spacing w:line="240" w:lineRule="auto"/>
        <w:ind w:right="91"/>
        <w:contextualSpacing/>
        <w:rPr>
          <w:rFonts w:eastAsia="Times New Roman" w:cs="Times New Roman"/>
          <w:szCs w:val="22"/>
          <w:lang w:eastAsia="en-AU"/>
        </w:rPr>
      </w:pPr>
    </w:p>
    <w:p w14:paraId="0D94A0C3" w14:textId="77777777" w:rsidR="00AF6502" w:rsidRPr="00B61AD3" w:rsidRDefault="00AF6502" w:rsidP="00C646C3">
      <w:pPr>
        <w:spacing w:line="240" w:lineRule="auto"/>
        <w:ind w:right="91"/>
        <w:contextualSpacing/>
        <w:rPr>
          <w:rFonts w:eastAsia="Times New Roman" w:cs="Times New Roman"/>
          <w:szCs w:val="22"/>
          <w:lang w:eastAsia="en-AU"/>
        </w:rPr>
      </w:pPr>
      <w:r w:rsidRPr="00B61AD3">
        <w:rPr>
          <w:rFonts w:eastAsia="Times New Roman" w:cs="Times New Roman"/>
          <w:szCs w:val="22"/>
          <w:lang w:eastAsia="en-AU"/>
        </w:rPr>
        <w:t xml:space="preserve">In </w:t>
      </w:r>
      <w:r w:rsidRPr="00B61AD3">
        <w:rPr>
          <w:rFonts w:eastAsia="Times New Roman" w:cs="Times New Roman"/>
          <w:i/>
          <w:iCs/>
          <w:szCs w:val="22"/>
          <w:lang w:eastAsia="en-AU"/>
        </w:rPr>
        <w:t>General Comment No. 14: The Right to the Highest Attainable Standard of Health (Art. 12) (2000),</w:t>
      </w:r>
      <w:r w:rsidRPr="00B61AD3">
        <w:rPr>
          <w:rFonts w:eastAsia="Times New Roman" w:cs="Times New Roman"/>
          <w:szCs w:val="22"/>
          <w:lang w:eastAsia="en-AU"/>
        </w:rPr>
        <w:t xml:space="preserve">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9E80AAB" w14:textId="77777777" w:rsidR="00AF6502" w:rsidRPr="00B61AD3" w:rsidRDefault="00AF6502" w:rsidP="00C646C3">
      <w:pPr>
        <w:spacing w:line="240" w:lineRule="auto"/>
        <w:ind w:right="91"/>
        <w:contextualSpacing/>
        <w:rPr>
          <w:rFonts w:eastAsia="Times New Roman" w:cs="Times New Roman"/>
          <w:szCs w:val="22"/>
          <w:lang w:eastAsia="en-AU"/>
        </w:rPr>
      </w:pPr>
    </w:p>
    <w:p w14:paraId="75EE13F1" w14:textId="6E1F894D" w:rsidR="00AF6502" w:rsidRPr="00B61AD3" w:rsidRDefault="00AF6502" w:rsidP="00C646C3">
      <w:pPr>
        <w:spacing w:line="240" w:lineRule="auto"/>
        <w:ind w:right="91"/>
        <w:contextualSpacing/>
        <w:rPr>
          <w:rFonts w:eastAsia="Times New Roman" w:cs="Times New Roman"/>
          <w:szCs w:val="22"/>
          <w:lang w:eastAsia="en-AU"/>
        </w:rPr>
      </w:pPr>
      <w:r w:rsidRPr="00B61AD3">
        <w:rPr>
          <w:rFonts w:eastAsia="Times New Roman" w:cs="Times New Roman"/>
          <w:szCs w:val="22"/>
          <w:lang w:eastAsia="en-AU"/>
        </w:rPr>
        <w:t>Vaping has been associated with a range of short-term health risks and its long-term health effects are still unknown. Marketing and use of vapes in the community has increased rapidly in recent years, particularly among youth and young adults and poses a major risk to population health and Australia’s success in tobacco control.</w:t>
      </w:r>
    </w:p>
    <w:p w14:paraId="497FEBE0" w14:textId="77777777" w:rsidR="00AF6502" w:rsidRPr="00B61AD3" w:rsidRDefault="00AF6502" w:rsidP="00C646C3">
      <w:pPr>
        <w:spacing w:line="240" w:lineRule="auto"/>
        <w:ind w:right="91"/>
        <w:contextualSpacing/>
        <w:rPr>
          <w:rFonts w:eastAsia="Times New Roman" w:cs="Times New Roman"/>
          <w:szCs w:val="22"/>
          <w:lang w:eastAsia="en-AU"/>
        </w:rPr>
      </w:pPr>
    </w:p>
    <w:p w14:paraId="393712E9" w14:textId="158A3F31" w:rsidR="004C2C88" w:rsidRPr="00B61AD3" w:rsidRDefault="00AF6502" w:rsidP="00C646C3">
      <w:pPr>
        <w:spacing w:line="240" w:lineRule="auto"/>
        <w:ind w:right="91"/>
        <w:contextualSpacing/>
        <w:rPr>
          <w:rFonts w:eastAsia="Times New Roman" w:cs="Times New Roman"/>
          <w:szCs w:val="22"/>
          <w:lang w:eastAsia="en-AU"/>
        </w:rPr>
      </w:pPr>
      <w:r w:rsidRPr="00B61AD3">
        <w:rPr>
          <w:rFonts w:eastAsia="Times New Roman" w:cs="Times New Roman"/>
          <w:szCs w:val="22"/>
          <w:lang w:eastAsia="en-AU"/>
        </w:rPr>
        <w:t xml:space="preserve">The Regulations take positive steps to promote the right to health by supporting the Government’s </w:t>
      </w:r>
      <w:r w:rsidR="00912B22" w:rsidRPr="00B61AD3">
        <w:rPr>
          <w:rFonts w:eastAsia="Times New Roman" w:cs="Times New Roman"/>
          <w:szCs w:val="22"/>
          <w:lang w:eastAsia="en-AU"/>
        </w:rPr>
        <w:t>vaping reforms</w:t>
      </w:r>
      <w:r w:rsidR="003237FE" w:rsidRPr="00B61AD3">
        <w:rPr>
          <w:rFonts w:eastAsia="Times New Roman" w:cs="Times New Roman"/>
          <w:szCs w:val="22"/>
          <w:lang w:eastAsia="en-AU"/>
        </w:rPr>
        <w:t xml:space="preserve"> to bolster and </w:t>
      </w:r>
      <w:r w:rsidR="00FB5F86" w:rsidRPr="00B61AD3">
        <w:rPr>
          <w:rFonts w:eastAsia="Times New Roman" w:cs="Times New Roman"/>
          <w:szCs w:val="22"/>
          <w:lang w:eastAsia="en-AU"/>
        </w:rPr>
        <w:t>clarify</w:t>
      </w:r>
      <w:r w:rsidR="003237FE" w:rsidRPr="00B61AD3">
        <w:rPr>
          <w:rFonts w:eastAsia="Times New Roman" w:cs="Times New Roman"/>
          <w:szCs w:val="22"/>
          <w:lang w:eastAsia="en-AU"/>
        </w:rPr>
        <w:t xml:space="preserve"> the regulatory framework for the importation, domestic manufacture and supply of therapeutic vaping goods in Australia</w:t>
      </w:r>
      <w:r w:rsidR="004C2C88" w:rsidRPr="00B61AD3">
        <w:rPr>
          <w:rFonts w:eastAsia="Times New Roman" w:cs="Times New Roman"/>
          <w:szCs w:val="22"/>
          <w:lang w:eastAsia="en-AU"/>
        </w:rPr>
        <w:t>.</w:t>
      </w:r>
    </w:p>
    <w:p w14:paraId="36AA59CF" w14:textId="77777777" w:rsidR="004C2C88" w:rsidRPr="00B61AD3" w:rsidRDefault="004C2C88" w:rsidP="00C646C3">
      <w:pPr>
        <w:spacing w:line="240" w:lineRule="auto"/>
        <w:ind w:right="91"/>
        <w:contextualSpacing/>
        <w:rPr>
          <w:rFonts w:eastAsia="Times New Roman" w:cs="Times New Roman"/>
          <w:szCs w:val="22"/>
          <w:lang w:eastAsia="en-AU"/>
        </w:rPr>
      </w:pPr>
    </w:p>
    <w:p w14:paraId="4B88DCCC" w14:textId="4883A8D0" w:rsidR="00AF6502" w:rsidRPr="00B61AD3" w:rsidRDefault="00252121" w:rsidP="00C646C3">
      <w:pPr>
        <w:spacing w:line="240" w:lineRule="auto"/>
        <w:ind w:right="91"/>
        <w:contextualSpacing/>
        <w:rPr>
          <w:rFonts w:eastAsia="Times New Roman" w:cs="Times New Roman"/>
          <w:szCs w:val="22"/>
          <w:lang w:eastAsia="en-AU"/>
        </w:rPr>
      </w:pPr>
      <w:r w:rsidRPr="00B61AD3">
        <w:rPr>
          <w:rFonts w:eastAsia="Times New Roman" w:cs="Times New Roman"/>
          <w:szCs w:val="22"/>
          <w:lang w:eastAsia="en-AU"/>
        </w:rPr>
        <w:t>In par</w:t>
      </w:r>
      <w:r w:rsidR="005361D5" w:rsidRPr="00B61AD3">
        <w:rPr>
          <w:rFonts w:eastAsia="Times New Roman" w:cs="Times New Roman"/>
          <w:szCs w:val="22"/>
          <w:lang w:eastAsia="en-AU"/>
        </w:rPr>
        <w:t>ticular, the Regulations promote the right to health</w:t>
      </w:r>
      <w:r w:rsidR="00622843" w:rsidRPr="00B61AD3">
        <w:rPr>
          <w:rFonts w:eastAsia="Times New Roman" w:cs="Times New Roman"/>
          <w:szCs w:val="22"/>
          <w:lang w:eastAsia="en-AU"/>
        </w:rPr>
        <w:t xml:space="preserve"> by</w:t>
      </w:r>
      <w:r w:rsidR="005C347B" w:rsidRPr="00B61AD3">
        <w:rPr>
          <w:rFonts w:eastAsia="Times New Roman" w:cs="Times New Roman"/>
          <w:szCs w:val="22"/>
          <w:lang w:eastAsia="en-AU"/>
        </w:rPr>
        <w:t>:</w:t>
      </w:r>
    </w:p>
    <w:p w14:paraId="27FEEA80" w14:textId="50FB9519" w:rsidR="005C347B" w:rsidRPr="00B61AD3" w:rsidRDefault="00780F25" w:rsidP="00C646C3">
      <w:pPr>
        <w:pStyle w:val="ListParagraph"/>
        <w:numPr>
          <w:ilvl w:val="0"/>
          <w:numId w:val="16"/>
        </w:numPr>
        <w:spacing w:line="240" w:lineRule="auto"/>
        <w:rPr>
          <w:rFonts w:cs="Times New Roman"/>
          <w:szCs w:val="22"/>
          <w:lang w:eastAsia="en-AU"/>
        </w:rPr>
      </w:pPr>
      <w:r w:rsidRPr="00B61AD3">
        <w:rPr>
          <w:rFonts w:cs="Times New Roman"/>
          <w:szCs w:val="22"/>
          <w:lang w:eastAsia="en-AU"/>
        </w:rPr>
        <w:t xml:space="preserve">supporting the </w:t>
      </w:r>
      <w:r w:rsidR="005C347B" w:rsidRPr="00B61AD3">
        <w:rPr>
          <w:rFonts w:cs="Times New Roman"/>
          <w:szCs w:val="22"/>
          <w:lang w:eastAsia="en-AU"/>
        </w:rPr>
        <w:t>safety</w:t>
      </w:r>
      <w:r w:rsidR="006F4203" w:rsidRPr="00B61AD3">
        <w:rPr>
          <w:rFonts w:cs="Times New Roman"/>
          <w:szCs w:val="22"/>
          <w:lang w:eastAsia="en-AU"/>
        </w:rPr>
        <w:t>,</w:t>
      </w:r>
      <w:r w:rsidR="005C347B" w:rsidRPr="00B61AD3">
        <w:rPr>
          <w:rFonts w:cs="Times New Roman"/>
          <w:szCs w:val="22"/>
          <w:lang w:eastAsia="en-AU"/>
        </w:rPr>
        <w:t xml:space="preserve"> quality</w:t>
      </w:r>
      <w:r w:rsidR="006F4203" w:rsidRPr="00B61AD3">
        <w:rPr>
          <w:rFonts w:cs="Times New Roman"/>
          <w:szCs w:val="22"/>
          <w:lang w:eastAsia="en-AU"/>
        </w:rPr>
        <w:t xml:space="preserve"> and efficacy</w:t>
      </w:r>
      <w:r w:rsidR="005C347B" w:rsidRPr="00B61AD3">
        <w:rPr>
          <w:rFonts w:cs="Times New Roman"/>
          <w:szCs w:val="22"/>
          <w:lang w:eastAsia="en-AU"/>
        </w:rPr>
        <w:t xml:space="preserve"> of notified vaping goods</w:t>
      </w:r>
      <w:r w:rsidR="00C26106" w:rsidRPr="00B61AD3">
        <w:rPr>
          <w:rFonts w:cs="Times New Roman"/>
          <w:szCs w:val="22"/>
          <w:lang w:eastAsia="en-AU"/>
        </w:rPr>
        <w:t xml:space="preserve"> by </w:t>
      </w:r>
      <w:r w:rsidR="00741B8C" w:rsidRPr="00B61AD3">
        <w:rPr>
          <w:rFonts w:cs="Times New Roman"/>
          <w:szCs w:val="22"/>
          <w:lang w:eastAsia="en-AU"/>
        </w:rPr>
        <w:t>ensuring that goods</w:t>
      </w:r>
      <w:r w:rsidR="00190523" w:rsidRPr="00B61AD3">
        <w:rPr>
          <w:rFonts w:cs="Times New Roman"/>
          <w:szCs w:val="22"/>
          <w:lang w:eastAsia="en-AU"/>
        </w:rPr>
        <w:t xml:space="preserve"> </w:t>
      </w:r>
      <w:r w:rsidR="006E0DD8" w:rsidRPr="00B61AD3">
        <w:rPr>
          <w:rFonts w:cs="Times New Roman"/>
          <w:szCs w:val="22"/>
          <w:lang w:eastAsia="en-AU"/>
        </w:rPr>
        <w:t xml:space="preserve">supplied in Australia through the pharmaceutical supply chain, </w:t>
      </w:r>
      <w:r w:rsidR="00190523" w:rsidRPr="00B61AD3">
        <w:rPr>
          <w:rFonts w:cs="Times New Roman"/>
          <w:szCs w:val="22"/>
          <w:lang w:eastAsia="en-AU"/>
        </w:rPr>
        <w:t>continue</w:t>
      </w:r>
      <w:r w:rsidR="00F03A46" w:rsidRPr="00B61AD3">
        <w:rPr>
          <w:rFonts w:cs="Times New Roman"/>
          <w:szCs w:val="22"/>
          <w:lang w:eastAsia="en-AU"/>
        </w:rPr>
        <w:t xml:space="preserve"> to comply</w:t>
      </w:r>
      <w:r w:rsidR="00741B8C" w:rsidRPr="00B61AD3">
        <w:rPr>
          <w:rFonts w:cs="Times New Roman"/>
          <w:szCs w:val="22"/>
          <w:lang w:eastAsia="en-AU"/>
        </w:rPr>
        <w:t xml:space="preserve"> with </w:t>
      </w:r>
      <w:r w:rsidR="002D5A51" w:rsidRPr="00B61AD3">
        <w:rPr>
          <w:rFonts w:cs="Times New Roman"/>
          <w:szCs w:val="22"/>
          <w:lang w:eastAsia="en-AU"/>
        </w:rPr>
        <w:t xml:space="preserve">the </w:t>
      </w:r>
      <w:r w:rsidR="00741B8C" w:rsidRPr="00B61AD3">
        <w:rPr>
          <w:rFonts w:cs="Times New Roman"/>
          <w:szCs w:val="22"/>
          <w:lang w:eastAsia="en-AU"/>
        </w:rPr>
        <w:t xml:space="preserve">applicable </w:t>
      </w:r>
      <w:r w:rsidR="00C61C5C" w:rsidRPr="00B61AD3">
        <w:rPr>
          <w:rFonts w:cs="Times New Roman"/>
          <w:szCs w:val="22"/>
          <w:lang w:eastAsia="en-AU"/>
        </w:rPr>
        <w:t xml:space="preserve">quality </w:t>
      </w:r>
      <w:r w:rsidR="00741B8C" w:rsidRPr="00B61AD3">
        <w:rPr>
          <w:rFonts w:cs="Times New Roman"/>
          <w:szCs w:val="22"/>
          <w:lang w:eastAsia="en-AU"/>
        </w:rPr>
        <w:t>standards</w:t>
      </w:r>
      <w:r w:rsidR="004C75D4" w:rsidRPr="00B61AD3">
        <w:rPr>
          <w:rFonts w:cs="Times New Roman"/>
          <w:szCs w:val="22"/>
          <w:lang w:eastAsia="en-AU"/>
        </w:rPr>
        <w:t xml:space="preserve"> as amended from time to time</w:t>
      </w:r>
      <w:r w:rsidR="00741B8C" w:rsidRPr="00B61AD3">
        <w:rPr>
          <w:rFonts w:cs="Times New Roman"/>
          <w:szCs w:val="22"/>
          <w:lang w:eastAsia="en-AU"/>
        </w:rPr>
        <w:t>;</w:t>
      </w:r>
      <w:r w:rsidR="00D5033C" w:rsidRPr="00B61AD3">
        <w:rPr>
          <w:rFonts w:cs="Times New Roman"/>
          <w:szCs w:val="22"/>
          <w:lang w:eastAsia="en-AU"/>
        </w:rPr>
        <w:t xml:space="preserve"> and</w:t>
      </w:r>
    </w:p>
    <w:p w14:paraId="323ADAF7" w14:textId="77777777" w:rsidR="002E3982" w:rsidRPr="00B61AD3" w:rsidRDefault="002E3982" w:rsidP="00C646C3">
      <w:pPr>
        <w:pStyle w:val="ListParagraph"/>
        <w:spacing w:line="240" w:lineRule="auto"/>
        <w:rPr>
          <w:rFonts w:cs="Times New Roman"/>
          <w:szCs w:val="22"/>
          <w:lang w:eastAsia="en-AU"/>
        </w:rPr>
      </w:pPr>
    </w:p>
    <w:p w14:paraId="1A911A54" w14:textId="66229B4B" w:rsidR="001C3179" w:rsidRPr="00B61AD3" w:rsidRDefault="00142AC4" w:rsidP="00C646C3">
      <w:pPr>
        <w:pStyle w:val="ListParagraph"/>
        <w:numPr>
          <w:ilvl w:val="0"/>
          <w:numId w:val="16"/>
        </w:numPr>
        <w:spacing w:line="240" w:lineRule="auto"/>
        <w:rPr>
          <w:rFonts w:cs="Times New Roman"/>
          <w:szCs w:val="22"/>
          <w:lang w:eastAsia="en-AU"/>
        </w:rPr>
      </w:pPr>
      <w:r w:rsidRPr="00B61AD3">
        <w:rPr>
          <w:rFonts w:cs="Times New Roman"/>
          <w:szCs w:val="22"/>
          <w:lang w:eastAsia="en-AU"/>
        </w:rPr>
        <w:lastRenderedPageBreak/>
        <w:t>supporting the effectiveness of the</w:t>
      </w:r>
      <w:r w:rsidR="002D5A51" w:rsidRPr="00B61AD3">
        <w:rPr>
          <w:rFonts w:cs="Times New Roman"/>
          <w:szCs w:val="22"/>
          <w:lang w:eastAsia="en-AU"/>
        </w:rPr>
        <w:t xml:space="preserve"> </w:t>
      </w:r>
      <w:r w:rsidRPr="00B61AD3">
        <w:rPr>
          <w:rFonts w:cs="Times New Roman"/>
          <w:szCs w:val="22"/>
          <w:lang w:eastAsia="en-AU"/>
        </w:rPr>
        <w:t xml:space="preserve">regulation of the lawful </w:t>
      </w:r>
      <w:r w:rsidR="00644783" w:rsidRPr="00B61AD3">
        <w:rPr>
          <w:rFonts w:cs="Times New Roman"/>
          <w:szCs w:val="22"/>
          <w:lang w:eastAsia="en-AU"/>
        </w:rPr>
        <w:t xml:space="preserve">pharmaceutical </w:t>
      </w:r>
      <w:r w:rsidRPr="00B61AD3">
        <w:rPr>
          <w:rFonts w:cs="Times New Roman"/>
          <w:szCs w:val="22"/>
          <w:lang w:eastAsia="en-AU"/>
        </w:rPr>
        <w:t>supply chain</w:t>
      </w:r>
      <w:r w:rsidR="00644783" w:rsidRPr="00B61AD3">
        <w:rPr>
          <w:rFonts w:cs="Times New Roman"/>
          <w:szCs w:val="22"/>
          <w:lang w:eastAsia="en-AU"/>
        </w:rPr>
        <w:t xml:space="preserve"> by</w:t>
      </w:r>
      <w:r w:rsidR="002D5A51" w:rsidRPr="00B61AD3">
        <w:rPr>
          <w:rFonts w:cs="Times New Roman"/>
          <w:szCs w:val="22"/>
          <w:lang w:eastAsia="en-AU"/>
        </w:rPr>
        <w:t xml:space="preserve"> ensuring that sponsors can withdraw a notice given to the </w:t>
      </w:r>
      <w:r w:rsidR="002E3982" w:rsidRPr="00B61AD3">
        <w:rPr>
          <w:rFonts w:cs="Times New Roman"/>
          <w:szCs w:val="22"/>
          <w:lang w:eastAsia="en-AU"/>
        </w:rPr>
        <w:t xml:space="preserve">Secretary </w:t>
      </w:r>
      <w:r w:rsidR="002D5A51" w:rsidRPr="00B61AD3">
        <w:rPr>
          <w:rFonts w:cs="Times New Roman"/>
          <w:szCs w:val="22"/>
          <w:lang w:eastAsia="en-AU"/>
        </w:rPr>
        <w:t>as part of ceasing supply of that good in Australia</w:t>
      </w:r>
      <w:r w:rsidR="00041F09" w:rsidRPr="00B61AD3">
        <w:rPr>
          <w:rFonts w:cs="Times New Roman"/>
          <w:szCs w:val="22"/>
          <w:lang w:eastAsia="en-AU"/>
        </w:rPr>
        <w:t xml:space="preserve"> (resulting in its removal from the notified vape list)</w:t>
      </w:r>
      <w:r w:rsidR="000A6014" w:rsidRPr="00B61AD3">
        <w:rPr>
          <w:rFonts w:cs="Times New Roman"/>
          <w:szCs w:val="22"/>
          <w:lang w:eastAsia="en-AU"/>
        </w:rPr>
        <w:t>,</w:t>
      </w:r>
      <w:r w:rsidR="002D5A51" w:rsidRPr="00B61AD3">
        <w:rPr>
          <w:rFonts w:cs="Times New Roman"/>
          <w:szCs w:val="22"/>
          <w:lang w:eastAsia="en-AU"/>
        </w:rPr>
        <w:t xml:space="preserve"> and </w:t>
      </w:r>
      <w:r w:rsidR="000A6014" w:rsidRPr="00B61AD3">
        <w:rPr>
          <w:rFonts w:cs="Times New Roman"/>
          <w:szCs w:val="22"/>
          <w:lang w:eastAsia="en-AU"/>
        </w:rPr>
        <w:t>supporting</w:t>
      </w:r>
      <w:r w:rsidR="00E234F6" w:rsidRPr="00B61AD3">
        <w:rPr>
          <w:rFonts w:cs="Times New Roman"/>
          <w:szCs w:val="22"/>
          <w:lang w:eastAsia="en-AU"/>
        </w:rPr>
        <w:t xml:space="preserve"> the TGA’s disruption of</w:t>
      </w:r>
      <w:r w:rsidR="00644783" w:rsidRPr="00B61AD3">
        <w:rPr>
          <w:rFonts w:cs="Times New Roman"/>
          <w:szCs w:val="22"/>
          <w:lang w:eastAsia="en-AU"/>
        </w:rPr>
        <w:t xml:space="preserve"> the </w:t>
      </w:r>
      <w:r w:rsidRPr="00B61AD3">
        <w:rPr>
          <w:rFonts w:cs="Times New Roman"/>
          <w:szCs w:val="22"/>
          <w:lang w:eastAsia="en-AU"/>
        </w:rPr>
        <w:t>illicit supply of vaping goods in Australia</w:t>
      </w:r>
      <w:r w:rsidR="00644783" w:rsidRPr="00B61AD3">
        <w:rPr>
          <w:rFonts w:cs="Times New Roman"/>
          <w:szCs w:val="22"/>
          <w:lang w:eastAsia="en-AU"/>
        </w:rPr>
        <w:t xml:space="preserve"> </w:t>
      </w:r>
      <w:r w:rsidR="00E234F6" w:rsidRPr="00B61AD3">
        <w:rPr>
          <w:rFonts w:cs="Times New Roman"/>
          <w:szCs w:val="22"/>
          <w:lang w:eastAsia="en-AU"/>
        </w:rPr>
        <w:t>by ensuring that</w:t>
      </w:r>
      <w:r w:rsidR="00644783" w:rsidRPr="00B61AD3">
        <w:rPr>
          <w:rFonts w:cs="Times New Roman"/>
          <w:szCs w:val="22"/>
          <w:lang w:eastAsia="en-AU"/>
        </w:rPr>
        <w:t xml:space="preserve"> </w:t>
      </w:r>
      <w:r w:rsidR="002E3982" w:rsidRPr="00B61AD3">
        <w:rPr>
          <w:rFonts w:cs="Times New Roman"/>
          <w:szCs w:val="22"/>
          <w:lang w:eastAsia="en-AU"/>
        </w:rPr>
        <w:t xml:space="preserve">goods </w:t>
      </w:r>
      <w:r w:rsidR="00644783" w:rsidRPr="00B61AD3">
        <w:rPr>
          <w:rFonts w:cs="Times New Roman"/>
          <w:szCs w:val="22"/>
          <w:lang w:eastAsia="en-AU"/>
        </w:rPr>
        <w:t xml:space="preserve">that do not comply </w:t>
      </w:r>
      <w:r w:rsidR="003161EE" w:rsidRPr="00B61AD3">
        <w:rPr>
          <w:rFonts w:cs="Times New Roman"/>
          <w:szCs w:val="22"/>
          <w:lang w:eastAsia="en-AU"/>
        </w:rPr>
        <w:t xml:space="preserve">with </w:t>
      </w:r>
      <w:r w:rsidR="00E234F6" w:rsidRPr="00B61AD3">
        <w:rPr>
          <w:rFonts w:cs="Times New Roman"/>
          <w:szCs w:val="22"/>
          <w:lang w:eastAsia="en-AU"/>
        </w:rPr>
        <w:t xml:space="preserve">the </w:t>
      </w:r>
      <w:r w:rsidR="003161EE" w:rsidRPr="00B61AD3">
        <w:rPr>
          <w:rFonts w:cs="Times New Roman"/>
          <w:szCs w:val="22"/>
          <w:lang w:eastAsia="en-AU"/>
        </w:rPr>
        <w:t xml:space="preserve">applicable standards </w:t>
      </w:r>
      <w:r w:rsidR="002E3982" w:rsidRPr="00B61AD3">
        <w:rPr>
          <w:rFonts w:cs="Times New Roman"/>
          <w:szCs w:val="22"/>
          <w:lang w:eastAsia="en-AU"/>
        </w:rPr>
        <w:t xml:space="preserve">may </w:t>
      </w:r>
      <w:r w:rsidR="003161EE" w:rsidRPr="00B61AD3">
        <w:rPr>
          <w:rFonts w:cs="Times New Roman"/>
          <w:szCs w:val="22"/>
          <w:lang w:eastAsia="en-AU"/>
        </w:rPr>
        <w:t>be removed from the legitimate supply chai</w:t>
      </w:r>
      <w:r w:rsidR="00BD16F5" w:rsidRPr="00B61AD3">
        <w:rPr>
          <w:rFonts w:cs="Times New Roman"/>
          <w:szCs w:val="22"/>
          <w:lang w:eastAsia="en-AU"/>
        </w:rPr>
        <w:t>n</w:t>
      </w:r>
      <w:r w:rsidRPr="00B61AD3">
        <w:rPr>
          <w:rFonts w:cs="Times New Roman"/>
          <w:szCs w:val="22"/>
          <w:lang w:eastAsia="en-AU"/>
        </w:rPr>
        <w:t>.</w:t>
      </w:r>
    </w:p>
    <w:p w14:paraId="4AF25EB8" w14:textId="77777777" w:rsidR="00AF6502" w:rsidRPr="00B61AD3" w:rsidRDefault="00AF6502" w:rsidP="00C646C3">
      <w:pPr>
        <w:spacing w:line="240" w:lineRule="auto"/>
        <w:ind w:right="91"/>
        <w:contextualSpacing/>
        <w:rPr>
          <w:rFonts w:eastAsia="Times New Roman" w:cs="Times New Roman"/>
          <w:szCs w:val="22"/>
          <w:lang w:eastAsia="en-AU"/>
        </w:rPr>
      </w:pPr>
    </w:p>
    <w:p w14:paraId="22088332" w14:textId="58AC8CBF" w:rsidR="000021DA" w:rsidRPr="00B61AD3" w:rsidRDefault="000021DA" w:rsidP="00C646C3">
      <w:pPr>
        <w:spacing w:line="240" w:lineRule="auto"/>
        <w:ind w:right="91"/>
        <w:contextualSpacing/>
        <w:rPr>
          <w:rFonts w:eastAsia="Times New Roman" w:cs="Times New Roman"/>
          <w:szCs w:val="22"/>
          <w:lang w:eastAsia="en-AU"/>
        </w:rPr>
      </w:pPr>
      <w:r w:rsidRPr="00B61AD3">
        <w:rPr>
          <w:rFonts w:eastAsia="Times New Roman" w:cs="Times New Roman"/>
          <w:szCs w:val="22"/>
          <w:lang w:eastAsia="en-AU"/>
        </w:rPr>
        <w:t xml:space="preserve">The </w:t>
      </w:r>
      <w:r w:rsidR="00252538" w:rsidRPr="00B61AD3">
        <w:rPr>
          <w:rFonts w:eastAsia="Times New Roman" w:cs="Times New Roman"/>
          <w:szCs w:val="22"/>
          <w:lang w:eastAsia="en-AU"/>
        </w:rPr>
        <w:t xml:space="preserve">overarching </w:t>
      </w:r>
      <w:r w:rsidRPr="00B61AD3">
        <w:rPr>
          <w:rFonts w:eastAsia="Times New Roman" w:cs="Times New Roman"/>
          <w:szCs w:val="22"/>
          <w:lang w:eastAsia="en-AU"/>
        </w:rPr>
        <w:t xml:space="preserve">reforms </w:t>
      </w:r>
      <w:r w:rsidR="00252538" w:rsidRPr="00B61AD3">
        <w:rPr>
          <w:rFonts w:eastAsia="Times New Roman" w:cs="Times New Roman"/>
          <w:szCs w:val="22"/>
          <w:lang w:eastAsia="en-AU"/>
        </w:rPr>
        <w:t>to the regulation of vaping goods</w:t>
      </w:r>
      <w:r w:rsidR="004575D1" w:rsidRPr="00B61AD3">
        <w:rPr>
          <w:rFonts w:eastAsia="Times New Roman" w:cs="Times New Roman"/>
          <w:szCs w:val="22"/>
          <w:lang w:eastAsia="en-AU"/>
        </w:rPr>
        <w:t>, including these amendments,</w:t>
      </w:r>
      <w:r w:rsidR="00252538" w:rsidRPr="00B61AD3">
        <w:rPr>
          <w:rFonts w:eastAsia="Times New Roman" w:cs="Times New Roman"/>
          <w:szCs w:val="22"/>
          <w:lang w:eastAsia="en-AU"/>
        </w:rPr>
        <w:t xml:space="preserve"> </w:t>
      </w:r>
      <w:r w:rsidRPr="00B61AD3">
        <w:rPr>
          <w:rFonts w:eastAsia="Times New Roman" w:cs="Times New Roman"/>
          <w:szCs w:val="22"/>
          <w:lang w:eastAsia="en-AU"/>
        </w:rPr>
        <w:t xml:space="preserve">will arrest the increasing uptake of recreational vaping, especially amongst youth and young adults; effectively restricting </w:t>
      </w:r>
      <w:r w:rsidR="00252538" w:rsidRPr="00B61AD3">
        <w:rPr>
          <w:rFonts w:eastAsia="Times New Roman" w:cs="Times New Roman"/>
          <w:szCs w:val="22"/>
          <w:lang w:eastAsia="en-AU"/>
        </w:rPr>
        <w:t xml:space="preserve">the </w:t>
      </w:r>
      <w:r w:rsidRPr="00B61AD3">
        <w:rPr>
          <w:rFonts w:eastAsia="Times New Roman" w:cs="Times New Roman"/>
          <w:szCs w:val="22"/>
          <w:lang w:eastAsia="en-AU"/>
        </w:rPr>
        <w:t>domestic supply of non-therapeutic vap</w:t>
      </w:r>
      <w:r w:rsidR="002E3982" w:rsidRPr="00B61AD3">
        <w:rPr>
          <w:rFonts w:eastAsia="Times New Roman" w:cs="Times New Roman"/>
          <w:szCs w:val="22"/>
          <w:lang w:eastAsia="en-AU"/>
        </w:rPr>
        <w:t>ing goods</w:t>
      </w:r>
      <w:r w:rsidRPr="00B61AD3">
        <w:rPr>
          <w:rFonts w:eastAsia="Times New Roman" w:cs="Times New Roman"/>
          <w:szCs w:val="22"/>
          <w:lang w:eastAsia="en-AU"/>
        </w:rPr>
        <w:t xml:space="preserve"> while still allowing for legitimate therapeutic use</w:t>
      </w:r>
      <w:r w:rsidR="00252538" w:rsidRPr="00B61AD3">
        <w:rPr>
          <w:rFonts w:eastAsia="Times New Roman" w:cs="Times New Roman"/>
          <w:szCs w:val="22"/>
          <w:lang w:eastAsia="en-AU"/>
        </w:rPr>
        <w:t>. This</w:t>
      </w:r>
      <w:r w:rsidRPr="00B61AD3">
        <w:rPr>
          <w:rFonts w:eastAsia="Times New Roman" w:cs="Times New Roman"/>
          <w:szCs w:val="22"/>
          <w:lang w:eastAsia="en-AU"/>
        </w:rPr>
        <w:t xml:space="preserve"> strikes an appropriate balance between the health concerns posed by vaping and the need t</w:t>
      </w:r>
      <w:r w:rsidR="001B7732" w:rsidRPr="00B61AD3">
        <w:rPr>
          <w:rFonts w:eastAsia="Times New Roman" w:cs="Times New Roman"/>
          <w:szCs w:val="22"/>
          <w:lang w:eastAsia="en-AU"/>
        </w:rPr>
        <w:t>o provide legitimate</w:t>
      </w:r>
      <w:r w:rsidR="005F0B4C" w:rsidRPr="00B61AD3">
        <w:rPr>
          <w:rFonts w:eastAsia="Times New Roman" w:cs="Times New Roman"/>
          <w:szCs w:val="22"/>
          <w:lang w:eastAsia="en-AU"/>
        </w:rPr>
        <w:t xml:space="preserve"> </w:t>
      </w:r>
      <w:r w:rsidR="00C639BA" w:rsidRPr="00B61AD3">
        <w:rPr>
          <w:rFonts w:eastAsia="Times New Roman" w:cs="Times New Roman"/>
          <w:szCs w:val="22"/>
          <w:lang w:eastAsia="en-AU"/>
        </w:rPr>
        <w:t>patient access to support Australians combating smoking addition or nicotine dependence.</w:t>
      </w:r>
    </w:p>
    <w:p w14:paraId="002C6FFF" w14:textId="77777777" w:rsidR="00C639BA" w:rsidRPr="00B61AD3" w:rsidRDefault="00C639BA" w:rsidP="00C646C3">
      <w:pPr>
        <w:spacing w:line="240" w:lineRule="auto"/>
        <w:ind w:right="91"/>
        <w:contextualSpacing/>
        <w:rPr>
          <w:rFonts w:eastAsia="Times New Roman" w:cs="Times New Roman"/>
          <w:szCs w:val="22"/>
          <w:lang w:eastAsia="en-AU"/>
        </w:rPr>
      </w:pPr>
    </w:p>
    <w:p w14:paraId="4F289DEC" w14:textId="08BDD672" w:rsidR="00AF6502" w:rsidRPr="00B61AD3" w:rsidRDefault="00AF6502" w:rsidP="00C646C3">
      <w:pPr>
        <w:spacing w:line="240" w:lineRule="auto"/>
        <w:ind w:right="91"/>
        <w:contextualSpacing/>
        <w:rPr>
          <w:rFonts w:eastAsia="Times New Roman" w:cs="Times New Roman"/>
          <w:szCs w:val="22"/>
          <w:lang w:eastAsia="en-AU"/>
        </w:rPr>
      </w:pPr>
      <w:r w:rsidRPr="00B61AD3">
        <w:rPr>
          <w:rFonts w:eastAsia="Times New Roman" w:cs="Times New Roman"/>
          <w:szCs w:val="22"/>
          <w:lang w:eastAsia="en-AU"/>
        </w:rPr>
        <w:t>In supporting these reforms, the Regulations promote and address aspects of the right to health under Article 12 of the ICESCR that relate to recognising the right of everyone to enjoy the highest attainable standard of physical and mental health.</w:t>
      </w:r>
    </w:p>
    <w:bookmarkEnd w:id="13"/>
    <w:p w14:paraId="64AAA628" w14:textId="77777777" w:rsidR="00384135" w:rsidRPr="00B61AD3" w:rsidRDefault="00384135" w:rsidP="00C646C3">
      <w:pPr>
        <w:spacing w:line="240" w:lineRule="auto"/>
        <w:contextualSpacing/>
        <w:rPr>
          <w:rFonts w:cs="Times New Roman"/>
          <w:bCs/>
          <w:szCs w:val="22"/>
        </w:rPr>
      </w:pPr>
    </w:p>
    <w:p w14:paraId="29087170" w14:textId="77777777" w:rsidR="00D216A2" w:rsidRPr="00B61AD3" w:rsidRDefault="00D216A2" w:rsidP="00C646C3">
      <w:pPr>
        <w:spacing w:line="240" w:lineRule="auto"/>
        <w:contextualSpacing/>
        <w:rPr>
          <w:rFonts w:eastAsia="Times New Roman" w:cs="Times New Roman"/>
          <w:szCs w:val="22"/>
          <w:lang w:eastAsia="en-AU"/>
        </w:rPr>
      </w:pPr>
      <w:r w:rsidRPr="00B61AD3">
        <w:rPr>
          <w:rFonts w:eastAsia="Times New Roman" w:cs="Times New Roman"/>
          <w:i/>
          <w:iCs/>
          <w:szCs w:val="22"/>
          <w:lang w:eastAsia="en-AU"/>
        </w:rPr>
        <w:t>Right to protection against arbitrary and unlawful interferences with privacy</w:t>
      </w:r>
    </w:p>
    <w:p w14:paraId="43F49F6B" w14:textId="77777777" w:rsidR="00D216A2" w:rsidRPr="00B61AD3" w:rsidRDefault="00D216A2" w:rsidP="00C646C3">
      <w:pPr>
        <w:spacing w:line="240" w:lineRule="auto"/>
        <w:contextualSpacing/>
        <w:rPr>
          <w:rFonts w:eastAsia="Times New Roman" w:cs="Times New Roman"/>
          <w:i/>
          <w:iCs/>
          <w:szCs w:val="22"/>
          <w:lang w:eastAsia="en-AU"/>
        </w:rPr>
      </w:pPr>
    </w:p>
    <w:p w14:paraId="1A949B86" w14:textId="79C3284C" w:rsidR="00D216A2" w:rsidRPr="00B61AD3" w:rsidRDefault="00D216A2" w:rsidP="00C646C3">
      <w:pPr>
        <w:spacing w:line="240" w:lineRule="auto"/>
        <w:contextualSpacing/>
        <w:rPr>
          <w:rFonts w:eastAsia="Times New Roman" w:cs="Times New Roman"/>
          <w:szCs w:val="22"/>
          <w:lang w:eastAsia="en-AU"/>
        </w:rPr>
      </w:pPr>
      <w:r w:rsidRPr="00B61AD3">
        <w:rPr>
          <w:rFonts w:eastAsia="Times New Roman" w:cs="Times New Roman"/>
          <w:szCs w:val="22"/>
          <w:lang w:eastAsia="en-AU"/>
        </w:rPr>
        <w:t>Article 17 of the ICC</w:t>
      </w:r>
      <w:r w:rsidR="00DE7BBE" w:rsidRPr="00B61AD3">
        <w:rPr>
          <w:rFonts w:eastAsia="Times New Roman" w:cs="Times New Roman"/>
          <w:szCs w:val="22"/>
          <w:lang w:eastAsia="en-AU"/>
        </w:rPr>
        <w:t>P</w:t>
      </w:r>
      <w:r w:rsidRPr="00B61AD3">
        <w:rPr>
          <w:rFonts w:eastAsia="Times New Roman" w:cs="Times New Roman"/>
          <w:szCs w:val="22"/>
          <w:lang w:eastAsia="en-AU"/>
        </w:rPr>
        <w:t>R provides for the right of every person not to be subjected to arbitrary or unlawful interference with privacy. The prohibition on interference with privacy prohibits unlawful or arbitrary interferences with a person’s privacy, family, home and correspondence. It also prohibits unlawful attacks on a person’s reputation. Limitations on the right to privacy must be according to law and not arbitrary. Limitations must be reasonable and necessary in the circumstances, as well as proportionate to the objectives that the limitations seek to achieve.</w:t>
      </w:r>
    </w:p>
    <w:p w14:paraId="521F1A60" w14:textId="77777777" w:rsidR="00D216A2" w:rsidRPr="00B61AD3" w:rsidRDefault="00D216A2" w:rsidP="00C646C3">
      <w:pPr>
        <w:spacing w:line="240" w:lineRule="auto"/>
        <w:contextualSpacing/>
        <w:rPr>
          <w:rFonts w:eastAsia="Times New Roman" w:cs="Times New Roman"/>
          <w:szCs w:val="22"/>
          <w:lang w:eastAsia="en-AU"/>
        </w:rPr>
      </w:pPr>
    </w:p>
    <w:p w14:paraId="65887543" w14:textId="1228804D" w:rsidR="00D216A2" w:rsidRPr="00B61AD3" w:rsidRDefault="00D216A2" w:rsidP="00C646C3">
      <w:pPr>
        <w:spacing w:line="240" w:lineRule="auto"/>
        <w:contextualSpacing/>
        <w:rPr>
          <w:rFonts w:eastAsia="Times New Roman" w:cs="Times New Roman"/>
          <w:szCs w:val="22"/>
          <w:lang w:eastAsia="en-AU"/>
        </w:rPr>
      </w:pPr>
      <w:r w:rsidRPr="00B61AD3">
        <w:rPr>
          <w:rFonts w:eastAsia="Times New Roman" w:cs="Times New Roman"/>
          <w:szCs w:val="22"/>
          <w:lang w:eastAsia="en-AU"/>
        </w:rPr>
        <w:t>The Regulations require sponsors to</w:t>
      </w:r>
      <w:r w:rsidR="001F3CF8" w:rsidRPr="00B61AD3">
        <w:rPr>
          <w:rFonts w:eastAsia="Times New Roman" w:cs="Times New Roman"/>
          <w:szCs w:val="22"/>
          <w:lang w:eastAsia="en-AU"/>
        </w:rPr>
        <w:t>, on request from the Secretary,</w:t>
      </w:r>
      <w:r w:rsidRPr="00B61AD3">
        <w:rPr>
          <w:rFonts w:eastAsia="Times New Roman" w:cs="Times New Roman"/>
          <w:szCs w:val="22"/>
          <w:lang w:eastAsia="en-AU"/>
        </w:rPr>
        <w:t xml:space="preserve"> provide information relating to the supply of notified vaping goods </w:t>
      </w:r>
      <w:r w:rsidR="001F3CF8" w:rsidRPr="00B61AD3">
        <w:rPr>
          <w:rFonts w:eastAsia="Times New Roman" w:cs="Times New Roman"/>
          <w:szCs w:val="22"/>
          <w:lang w:eastAsia="en-AU"/>
        </w:rPr>
        <w:t>during a relevant period (for example, between 1 January and 30 March or from the date a sponsor notice is provide</w:t>
      </w:r>
      <w:r w:rsidR="00C34708" w:rsidRPr="00B61AD3">
        <w:rPr>
          <w:rFonts w:eastAsia="Times New Roman" w:cs="Times New Roman"/>
          <w:szCs w:val="22"/>
          <w:lang w:eastAsia="en-AU"/>
        </w:rPr>
        <w:t>d</w:t>
      </w:r>
      <w:r w:rsidR="001F3CF8" w:rsidRPr="00B61AD3">
        <w:rPr>
          <w:rFonts w:eastAsia="Times New Roman" w:cs="Times New Roman"/>
          <w:szCs w:val="22"/>
          <w:lang w:eastAsia="en-AU"/>
        </w:rPr>
        <w:t xml:space="preserve"> to the date of the request for information) </w:t>
      </w:r>
      <w:r w:rsidRPr="00B61AD3">
        <w:rPr>
          <w:rFonts w:eastAsia="Times New Roman" w:cs="Times New Roman"/>
          <w:szCs w:val="22"/>
          <w:lang w:eastAsia="en-AU"/>
        </w:rPr>
        <w:t xml:space="preserve">to the Secretary. </w:t>
      </w:r>
      <w:r w:rsidR="002E3982" w:rsidRPr="00B61AD3">
        <w:rPr>
          <w:rFonts w:eastAsia="Times New Roman" w:cs="Times New Roman"/>
          <w:szCs w:val="22"/>
          <w:lang w:eastAsia="en-AU"/>
        </w:rPr>
        <w:t>Most of the</w:t>
      </w:r>
      <w:r w:rsidRPr="00B61AD3">
        <w:rPr>
          <w:rFonts w:eastAsia="Times New Roman" w:cs="Times New Roman"/>
          <w:szCs w:val="22"/>
          <w:lang w:eastAsia="en-AU"/>
        </w:rPr>
        <w:t xml:space="preserve"> information required to be provided to the Secretary will be business related information, for example, </w:t>
      </w:r>
      <w:r w:rsidR="001441A8" w:rsidRPr="00B61AD3">
        <w:rPr>
          <w:rFonts w:eastAsia="Times New Roman" w:cs="Times New Roman"/>
          <w:szCs w:val="22"/>
          <w:lang w:eastAsia="en-AU"/>
        </w:rPr>
        <w:t xml:space="preserve">identifying </w:t>
      </w:r>
      <w:r w:rsidRPr="00B61AD3">
        <w:rPr>
          <w:rFonts w:eastAsia="Times New Roman" w:cs="Times New Roman"/>
          <w:szCs w:val="22"/>
          <w:lang w:eastAsia="en-AU"/>
        </w:rPr>
        <w:t>information</w:t>
      </w:r>
      <w:r w:rsidR="001441A8" w:rsidRPr="00B61AD3">
        <w:rPr>
          <w:rFonts w:eastAsia="Times New Roman" w:cs="Times New Roman"/>
          <w:szCs w:val="22"/>
          <w:lang w:eastAsia="en-AU"/>
        </w:rPr>
        <w:t xml:space="preserve"> about</w:t>
      </w:r>
      <w:r w:rsidR="006C2FB4" w:rsidRPr="00B61AD3">
        <w:rPr>
          <w:rFonts w:eastAsia="Times New Roman" w:cs="Times New Roman"/>
          <w:szCs w:val="22"/>
          <w:lang w:eastAsia="en-AU"/>
        </w:rPr>
        <w:t xml:space="preserve"> the goods,</w:t>
      </w:r>
      <w:r w:rsidRPr="00B61AD3">
        <w:rPr>
          <w:rFonts w:eastAsia="Times New Roman" w:cs="Times New Roman"/>
          <w:szCs w:val="22"/>
          <w:lang w:eastAsia="en-AU"/>
        </w:rPr>
        <w:t xml:space="preserve"> </w:t>
      </w:r>
      <w:r w:rsidR="001441A8" w:rsidRPr="00B61AD3">
        <w:rPr>
          <w:rFonts w:eastAsia="Times New Roman" w:cs="Times New Roman"/>
          <w:szCs w:val="22"/>
          <w:lang w:eastAsia="en-AU"/>
        </w:rPr>
        <w:t xml:space="preserve">the </w:t>
      </w:r>
      <w:r w:rsidRPr="00B61AD3">
        <w:rPr>
          <w:rFonts w:eastAsia="Times New Roman" w:cs="Times New Roman"/>
          <w:szCs w:val="22"/>
          <w:lang w:eastAsia="en-AU"/>
        </w:rPr>
        <w:t>date the goods were supplied and the quantity of goods supplied.</w:t>
      </w:r>
    </w:p>
    <w:p w14:paraId="1B4855CC" w14:textId="77777777" w:rsidR="00D216A2" w:rsidRPr="00B61AD3" w:rsidRDefault="00D216A2" w:rsidP="00C646C3">
      <w:pPr>
        <w:spacing w:line="240" w:lineRule="auto"/>
        <w:contextualSpacing/>
        <w:rPr>
          <w:rFonts w:eastAsia="Times New Roman" w:cs="Times New Roman"/>
          <w:szCs w:val="22"/>
          <w:lang w:eastAsia="en-AU"/>
        </w:rPr>
      </w:pPr>
    </w:p>
    <w:p w14:paraId="312CD5A0" w14:textId="54597B7A" w:rsidR="00D216A2" w:rsidRPr="00B61AD3" w:rsidRDefault="00D216A2" w:rsidP="00C646C3">
      <w:pPr>
        <w:spacing w:line="240" w:lineRule="auto"/>
        <w:contextualSpacing/>
        <w:rPr>
          <w:rFonts w:eastAsia="Times New Roman" w:cs="Times New Roman"/>
          <w:szCs w:val="22"/>
          <w:lang w:eastAsia="en-AU"/>
        </w:rPr>
      </w:pPr>
      <w:r w:rsidRPr="00B61AD3">
        <w:rPr>
          <w:rFonts w:eastAsia="Times New Roman" w:cs="Times New Roman"/>
          <w:szCs w:val="22"/>
          <w:lang w:eastAsia="en-AU"/>
        </w:rPr>
        <w:t xml:space="preserve">However, the Regulations engage the right to protection against arbitrary and unlawful interferences with privacy because information required to be provided to the Secretary may also include information relating to the recipients of </w:t>
      </w:r>
      <w:r w:rsidR="002E3982" w:rsidRPr="00B61AD3">
        <w:rPr>
          <w:rFonts w:eastAsia="Times New Roman" w:cs="Times New Roman"/>
          <w:szCs w:val="22"/>
          <w:lang w:eastAsia="en-AU"/>
        </w:rPr>
        <w:t>notified vaping</w:t>
      </w:r>
      <w:r w:rsidRPr="00B61AD3">
        <w:rPr>
          <w:rFonts w:eastAsia="Times New Roman" w:cs="Times New Roman"/>
          <w:szCs w:val="22"/>
          <w:lang w:eastAsia="en-AU"/>
        </w:rPr>
        <w:t xml:space="preserve"> goods</w:t>
      </w:r>
      <w:r w:rsidR="002E3982" w:rsidRPr="00B61AD3">
        <w:rPr>
          <w:rFonts w:eastAsia="Times New Roman" w:cs="Times New Roman"/>
          <w:szCs w:val="22"/>
          <w:lang w:eastAsia="en-AU"/>
        </w:rPr>
        <w:t xml:space="preserve">, namely, </w:t>
      </w:r>
      <w:r w:rsidR="008D793C" w:rsidRPr="00B61AD3">
        <w:rPr>
          <w:rFonts w:eastAsia="Times New Roman" w:cs="Times New Roman"/>
          <w:szCs w:val="22"/>
          <w:lang w:eastAsia="en-AU"/>
        </w:rPr>
        <w:t>medical practitioners, nurse practitioners and pharmacies</w:t>
      </w:r>
      <w:r w:rsidRPr="00B61AD3">
        <w:rPr>
          <w:rFonts w:eastAsia="Times New Roman" w:cs="Times New Roman"/>
          <w:szCs w:val="22"/>
          <w:lang w:eastAsia="en-AU"/>
        </w:rPr>
        <w:t xml:space="preserve">. </w:t>
      </w:r>
      <w:r w:rsidR="002E3982" w:rsidRPr="00B61AD3">
        <w:rPr>
          <w:rFonts w:eastAsia="Times New Roman" w:cs="Times New Roman"/>
          <w:szCs w:val="22"/>
          <w:lang w:eastAsia="en-AU"/>
        </w:rPr>
        <w:t xml:space="preserve">While in most cases, </w:t>
      </w:r>
      <w:r w:rsidR="008D793C" w:rsidRPr="00B61AD3">
        <w:rPr>
          <w:rFonts w:eastAsia="Times New Roman" w:cs="Times New Roman"/>
          <w:szCs w:val="22"/>
          <w:lang w:eastAsia="en-AU"/>
        </w:rPr>
        <w:t>these recipients will be</w:t>
      </w:r>
      <w:r w:rsidR="002E3982" w:rsidRPr="00B61AD3">
        <w:rPr>
          <w:rFonts w:eastAsia="Times New Roman" w:cs="Times New Roman"/>
          <w:szCs w:val="22"/>
          <w:lang w:eastAsia="en-AU"/>
        </w:rPr>
        <w:t xml:space="preserve"> corporate entities, some</w:t>
      </w:r>
      <w:r w:rsidRPr="00B61AD3">
        <w:rPr>
          <w:rFonts w:eastAsia="Times New Roman" w:cs="Times New Roman"/>
          <w:szCs w:val="22"/>
          <w:lang w:eastAsia="en-AU"/>
        </w:rPr>
        <w:t xml:space="preserve"> recipients of </w:t>
      </w:r>
      <w:r w:rsidR="002E3982" w:rsidRPr="00B61AD3">
        <w:rPr>
          <w:rFonts w:eastAsia="Times New Roman" w:cs="Times New Roman"/>
          <w:szCs w:val="22"/>
          <w:lang w:eastAsia="en-AU"/>
        </w:rPr>
        <w:t xml:space="preserve">notified vaping </w:t>
      </w:r>
      <w:r w:rsidRPr="00B61AD3">
        <w:rPr>
          <w:rFonts w:eastAsia="Times New Roman" w:cs="Times New Roman"/>
          <w:szCs w:val="22"/>
          <w:lang w:eastAsia="en-AU"/>
        </w:rPr>
        <w:t>goods will be small businesses</w:t>
      </w:r>
      <w:r w:rsidR="002E3982" w:rsidRPr="00B61AD3">
        <w:rPr>
          <w:rFonts w:eastAsia="Times New Roman" w:cs="Times New Roman"/>
          <w:szCs w:val="22"/>
          <w:lang w:eastAsia="en-AU"/>
        </w:rPr>
        <w:t xml:space="preserve"> that are non-corporate entities operating under </w:t>
      </w:r>
      <w:r w:rsidR="008D793C" w:rsidRPr="00B61AD3">
        <w:rPr>
          <w:rFonts w:eastAsia="Times New Roman" w:cs="Times New Roman"/>
          <w:szCs w:val="22"/>
          <w:lang w:eastAsia="en-AU"/>
        </w:rPr>
        <w:t xml:space="preserve">individual </w:t>
      </w:r>
      <w:r w:rsidR="002E3982" w:rsidRPr="00B61AD3">
        <w:rPr>
          <w:rFonts w:eastAsia="Times New Roman" w:cs="Times New Roman"/>
          <w:szCs w:val="22"/>
          <w:lang w:eastAsia="en-AU"/>
        </w:rPr>
        <w:t>name</w:t>
      </w:r>
      <w:r w:rsidR="008D793C" w:rsidRPr="00B61AD3">
        <w:rPr>
          <w:rFonts w:eastAsia="Times New Roman" w:cs="Times New Roman"/>
          <w:szCs w:val="22"/>
          <w:lang w:eastAsia="en-AU"/>
        </w:rPr>
        <w:t>s</w:t>
      </w:r>
      <w:r w:rsidR="002E3982" w:rsidRPr="00B61AD3">
        <w:rPr>
          <w:rFonts w:eastAsia="Times New Roman" w:cs="Times New Roman"/>
          <w:szCs w:val="22"/>
          <w:lang w:eastAsia="en-AU"/>
        </w:rPr>
        <w:t xml:space="preserve">. This means that </w:t>
      </w:r>
      <w:r w:rsidRPr="00B61AD3">
        <w:rPr>
          <w:rFonts w:eastAsia="Times New Roman" w:cs="Times New Roman"/>
          <w:szCs w:val="22"/>
          <w:lang w:eastAsia="en-AU"/>
        </w:rPr>
        <w:t xml:space="preserve">such information may necessarily involve disclosing personal information </w:t>
      </w:r>
      <w:r w:rsidR="002E3982" w:rsidRPr="00B61AD3">
        <w:rPr>
          <w:rFonts w:eastAsia="Times New Roman" w:cs="Times New Roman"/>
          <w:szCs w:val="22"/>
          <w:lang w:eastAsia="en-AU"/>
        </w:rPr>
        <w:t>relating to th</w:t>
      </w:r>
      <w:r w:rsidR="008D793C" w:rsidRPr="00B61AD3">
        <w:rPr>
          <w:rFonts w:eastAsia="Times New Roman" w:cs="Times New Roman"/>
          <w:szCs w:val="22"/>
          <w:lang w:eastAsia="en-AU"/>
        </w:rPr>
        <w:t>ose persons, being their individual</w:t>
      </w:r>
      <w:r w:rsidR="002E3982" w:rsidRPr="00B61AD3">
        <w:rPr>
          <w:rFonts w:eastAsia="Times New Roman" w:cs="Times New Roman"/>
          <w:szCs w:val="22"/>
          <w:lang w:eastAsia="en-AU"/>
        </w:rPr>
        <w:t xml:space="preserve"> trading </w:t>
      </w:r>
      <w:r w:rsidRPr="00B61AD3">
        <w:rPr>
          <w:rFonts w:eastAsia="Times New Roman" w:cs="Times New Roman"/>
          <w:szCs w:val="22"/>
          <w:lang w:eastAsia="en-AU"/>
        </w:rPr>
        <w:t>name</w:t>
      </w:r>
      <w:r w:rsidR="008D793C" w:rsidRPr="00B61AD3">
        <w:rPr>
          <w:rFonts w:eastAsia="Times New Roman" w:cs="Times New Roman"/>
          <w:szCs w:val="22"/>
          <w:lang w:eastAsia="en-AU"/>
        </w:rPr>
        <w:t>s</w:t>
      </w:r>
      <w:r w:rsidRPr="00B61AD3">
        <w:rPr>
          <w:rFonts w:eastAsia="Times New Roman" w:cs="Times New Roman"/>
          <w:szCs w:val="22"/>
          <w:lang w:eastAsia="en-AU"/>
        </w:rPr>
        <w:t>.</w:t>
      </w:r>
    </w:p>
    <w:p w14:paraId="5805AEE9" w14:textId="77777777" w:rsidR="00D216A2" w:rsidRPr="00B61AD3" w:rsidRDefault="00D216A2" w:rsidP="00C646C3">
      <w:pPr>
        <w:spacing w:line="240" w:lineRule="auto"/>
        <w:contextualSpacing/>
        <w:rPr>
          <w:rFonts w:eastAsia="Times New Roman" w:cs="Times New Roman"/>
          <w:szCs w:val="22"/>
          <w:lang w:eastAsia="en-AU"/>
        </w:rPr>
      </w:pPr>
    </w:p>
    <w:p w14:paraId="783BF205" w14:textId="644E2C10" w:rsidR="00D216A2" w:rsidRPr="00B61AD3" w:rsidRDefault="00D216A2" w:rsidP="00C646C3">
      <w:pPr>
        <w:spacing w:line="240" w:lineRule="auto"/>
        <w:contextualSpacing/>
        <w:rPr>
          <w:rFonts w:eastAsia="Times New Roman" w:cs="Times New Roman"/>
          <w:szCs w:val="22"/>
          <w:lang w:eastAsia="en-AU"/>
        </w:rPr>
      </w:pPr>
      <w:r w:rsidRPr="00B61AD3">
        <w:rPr>
          <w:rFonts w:eastAsia="Times New Roman" w:cs="Times New Roman"/>
          <w:szCs w:val="22"/>
          <w:lang w:eastAsia="en-AU"/>
        </w:rPr>
        <w:t xml:space="preserve">The TGA, as part of the Australian Government Department of Health and Aged Care, is an APP entity for the purposes of the </w:t>
      </w:r>
      <w:r w:rsidRPr="00B61AD3">
        <w:rPr>
          <w:rFonts w:eastAsia="Times New Roman" w:cs="Times New Roman"/>
          <w:i/>
          <w:iCs/>
          <w:szCs w:val="22"/>
          <w:lang w:eastAsia="en-AU"/>
        </w:rPr>
        <w:t>Privacy Act 1988</w:t>
      </w:r>
      <w:r w:rsidRPr="00B61AD3">
        <w:rPr>
          <w:rFonts w:eastAsia="Times New Roman" w:cs="Times New Roman"/>
          <w:szCs w:val="22"/>
          <w:lang w:eastAsia="en-AU"/>
        </w:rPr>
        <w:t xml:space="preserve"> (the Privacy Act). </w:t>
      </w:r>
      <w:r w:rsidR="002E3982" w:rsidRPr="00B61AD3">
        <w:rPr>
          <w:rFonts w:eastAsia="Times New Roman" w:cs="Times New Roman"/>
          <w:szCs w:val="22"/>
          <w:lang w:eastAsia="en-AU"/>
        </w:rPr>
        <w:t>Consequently, a</w:t>
      </w:r>
      <w:r w:rsidRPr="00B61AD3">
        <w:rPr>
          <w:rFonts w:eastAsia="Times New Roman" w:cs="Times New Roman"/>
          <w:szCs w:val="22"/>
          <w:lang w:eastAsia="en-AU"/>
        </w:rPr>
        <w:t>ny collection</w:t>
      </w:r>
      <w:r w:rsidR="007F2E7A" w:rsidRPr="00B61AD3">
        <w:rPr>
          <w:rFonts w:eastAsia="Times New Roman" w:cs="Times New Roman"/>
          <w:szCs w:val="22"/>
          <w:lang w:eastAsia="en-AU"/>
        </w:rPr>
        <w:t>,</w:t>
      </w:r>
      <w:r w:rsidRPr="00B61AD3">
        <w:rPr>
          <w:rFonts w:eastAsia="Times New Roman" w:cs="Times New Roman"/>
          <w:szCs w:val="22"/>
          <w:lang w:eastAsia="en-AU"/>
        </w:rPr>
        <w:t xml:space="preserve"> use</w:t>
      </w:r>
      <w:r w:rsidR="007F2E7A" w:rsidRPr="00B61AD3">
        <w:rPr>
          <w:rFonts w:eastAsia="Times New Roman" w:cs="Times New Roman"/>
          <w:szCs w:val="22"/>
          <w:lang w:eastAsia="en-AU"/>
        </w:rPr>
        <w:t xml:space="preserve"> or disclosure</w:t>
      </w:r>
      <w:r w:rsidRPr="00B61AD3">
        <w:rPr>
          <w:rFonts w:eastAsia="Times New Roman" w:cs="Times New Roman"/>
          <w:szCs w:val="22"/>
          <w:lang w:eastAsia="en-AU"/>
        </w:rPr>
        <w:t xml:space="preserve"> of personal information </w:t>
      </w:r>
      <w:r w:rsidR="002E3982" w:rsidRPr="00B61AD3">
        <w:rPr>
          <w:rFonts w:eastAsia="Times New Roman" w:cs="Times New Roman"/>
          <w:szCs w:val="22"/>
          <w:lang w:eastAsia="en-AU"/>
        </w:rPr>
        <w:t xml:space="preserve">must </w:t>
      </w:r>
      <w:r w:rsidRPr="00B61AD3">
        <w:rPr>
          <w:rFonts w:eastAsia="Times New Roman" w:cs="Times New Roman"/>
          <w:szCs w:val="22"/>
          <w:lang w:eastAsia="en-AU"/>
        </w:rPr>
        <w:t>be consistent with the Privacy Act.</w:t>
      </w:r>
    </w:p>
    <w:p w14:paraId="1E031337" w14:textId="77777777" w:rsidR="00D216A2" w:rsidRPr="00B61AD3" w:rsidRDefault="00D216A2" w:rsidP="00C646C3">
      <w:pPr>
        <w:spacing w:line="240" w:lineRule="auto"/>
        <w:contextualSpacing/>
        <w:rPr>
          <w:rFonts w:eastAsia="Times New Roman" w:cs="Times New Roman"/>
          <w:szCs w:val="22"/>
          <w:lang w:eastAsia="en-AU"/>
        </w:rPr>
      </w:pPr>
    </w:p>
    <w:p w14:paraId="131B6DB5" w14:textId="0090EA30" w:rsidR="00D216A2" w:rsidRPr="00B61AD3" w:rsidRDefault="00D216A2" w:rsidP="00C646C3">
      <w:pPr>
        <w:spacing w:line="240" w:lineRule="auto"/>
        <w:contextualSpacing/>
        <w:rPr>
          <w:rFonts w:cs="Times New Roman"/>
          <w:szCs w:val="22"/>
        </w:rPr>
      </w:pPr>
      <w:r w:rsidRPr="00B61AD3">
        <w:rPr>
          <w:rFonts w:eastAsia="Times New Roman" w:cs="Times New Roman"/>
          <w:szCs w:val="22"/>
          <w:lang w:eastAsia="en-AU"/>
        </w:rPr>
        <w:t xml:space="preserve">The requirement for sponsors to provide information about the supply of </w:t>
      </w:r>
      <w:r w:rsidR="00A42F0F" w:rsidRPr="00B61AD3">
        <w:rPr>
          <w:rFonts w:eastAsia="Times New Roman" w:cs="Times New Roman"/>
          <w:szCs w:val="22"/>
          <w:lang w:eastAsia="en-AU"/>
        </w:rPr>
        <w:t xml:space="preserve">unregistered vaping </w:t>
      </w:r>
      <w:r w:rsidRPr="00B61AD3">
        <w:rPr>
          <w:rFonts w:eastAsia="Times New Roman" w:cs="Times New Roman"/>
          <w:szCs w:val="22"/>
          <w:lang w:eastAsia="en-AU"/>
        </w:rPr>
        <w:t>goods</w:t>
      </w:r>
      <w:r w:rsidR="001F3CF8" w:rsidRPr="00B61AD3">
        <w:rPr>
          <w:rFonts w:eastAsia="Times New Roman" w:cs="Times New Roman"/>
          <w:szCs w:val="22"/>
          <w:lang w:eastAsia="en-AU"/>
        </w:rPr>
        <w:t xml:space="preserve"> </w:t>
      </w:r>
      <w:r w:rsidR="009422B2" w:rsidRPr="00B61AD3">
        <w:rPr>
          <w:rFonts w:eastAsia="Times New Roman" w:cs="Times New Roman"/>
          <w:szCs w:val="22"/>
          <w:lang w:eastAsia="en-AU"/>
        </w:rPr>
        <w:t>‘</w:t>
      </w:r>
      <w:r w:rsidR="001F3CF8" w:rsidRPr="00B61AD3">
        <w:rPr>
          <w:rFonts w:eastAsia="Times New Roman" w:cs="Times New Roman"/>
          <w:szCs w:val="22"/>
          <w:lang w:eastAsia="en-AU"/>
        </w:rPr>
        <w:t>during a relevant period</w:t>
      </w:r>
      <w:r w:rsidR="00552CDB" w:rsidRPr="00B61AD3">
        <w:rPr>
          <w:rFonts w:eastAsia="Times New Roman" w:cs="Times New Roman"/>
          <w:szCs w:val="22"/>
          <w:lang w:eastAsia="en-AU"/>
        </w:rPr>
        <w:t xml:space="preserve"> in a form approved by the Secretary</w:t>
      </w:r>
      <w:r w:rsidR="009422B2" w:rsidRPr="00B61AD3">
        <w:rPr>
          <w:rFonts w:eastAsia="Times New Roman" w:cs="Times New Roman"/>
          <w:szCs w:val="22"/>
          <w:lang w:eastAsia="en-AU"/>
        </w:rPr>
        <w:t>’</w:t>
      </w:r>
      <w:r w:rsidRPr="00B61AD3">
        <w:rPr>
          <w:rFonts w:eastAsia="Times New Roman" w:cs="Times New Roman"/>
          <w:szCs w:val="22"/>
          <w:lang w:eastAsia="en-AU"/>
        </w:rPr>
        <w:t xml:space="preserve"> is necessary, targeted and proportionate to the need for</w:t>
      </w:r>
      <w:r w:rsidRPr="00B61AD3">
        <w:rPr>
          <w:rFonts w:cs="Times New Roman"/>
          <w:szCs w:val="22"/>
        </w:rPr>
        <w:t xml:space="preserve"> the Secretary to have oversight of sponsors’ activities </w:t>
      </w:r>
      <w:r w:rsidR="001F3CF8" w:rsidRPr="00B61AD3">
        <w:rPr>
          <w:rFonts w:cs="Times New Roman"/>
          <w:szCs w:val="22"/>
        </w:rPr>
        <w:t>during that period</w:t>
      </w:r>
      <w:r w:rsidR="00A42F0F" w:rsidRPr="00B61AD3">
        <w:rPr>
          <w:rFonts w:cs="Times New Roman"/>
          <w:szCs w:val="22"/>
        </w:rPr>
        <w:t xml:space="preserve"> for </w:t>
      </w:r>
      <w:r w:rsidR="002E3982" w:rsidRPr="00B61AD3">
        <w:rPr>
          <w:rFonts w:cs="Times New Roman"/>
          <w:szCs w:val="22"/>
        </w:rPr>
        <w:t xml:space="preserve">goods </w:t>
      </w:r>
      <w:r w:rsidR="00A42F0F" w:rsidRPr="00B61AD3">
        <w:rPr>
          <w:rFonts w:cs="Times New Roman"/>
          <w:szCs w:val="22"/>
        </w:rPr>
        <w:t xml:space="preserve">that have not been </w:t>
      </w:r>
      <w:r w:rsidR="00220AF6" w:rsidRPr="00B61AD3">
        <w:rPr>
          <w:rFonts w:cs="Times New Roman"/>
          <w:szCs w:val="22"/>
        </w:rPr>
        <w:t>evaluated</w:t>
      </w:r>
      <w:r w:rsidR="001441A8" w:rsidRPr="00B61AD3">
        <w:rPr>
          <w:rFonts w:cs="Times New Roman"/>
          <w:szCs w:val="22"/>
        </w:rPr>
        <w:t xml:space="preserve"> </w:t>
      </w:r>
      <w:r w:rsidR="00A42F0F" w:rsidRPr="00B61AD3">
        <w:rPr>
          <w:rFonts w:cs="Times New Roman"/>
          <w:szCs w:val="22"/>
        </w:rPr>
        <w:t xml:space="preserve">by the </w:t>
      </w:r>
      <w:r w:rsidR="002E3982" w:rsidRPr="00B61AD3">
        <w:rPr>
          <w:rFonts w:cs="Times New Roman"/>
          <w:szCs w:val="22"/>
        </w:rPr>
        <w:t xml:space="preserve">Secretary </w:t>
      </w:r>
      <w:r w:rsidR="00A42F0F" w:rsidRPr="00B61AD3">
        <w:rPr>
          <w:rFonts w:cs="Times New Roman"/>
          <w:szCs w:val="22"/>
        </w:rPr>
        <w:t>for safety, quality</w:t>
      </w:r>
      <w:r w:rsidR="006C2FB4" w:rsidRPr="00B61AD3">
        <w:rPr>
          <w:rFonts w:cs="Times New Roman"/>
          <w:szCs w:val="22"/>
        </w:rPr>
        <w:t>,</w:t>
      </w:r>
      <w:r w:rsidR="00A42F0F" w:rsidRPr="00B61AD3">
        <w:rPr>
          <w:rFonts w:cs="Times New Roman"/>
          <w:szCs w:val="22"/>
        </w:rPr>
        <w:t xml:space="preserve"> efficacy</w:t>
      </w:r>
      <w:r w:rsidR="00353FC7" w:rsidRPr="00B61AD3">
        <w:rPr>
          <w:rFonts w:cs="Times New Roman"/>
          <w:szCs w:val="22"/>
        </w:rPr>
        <w:t xml:space="preserve"> </w:t>
      </w:r>
      <w:r w:rsidR="006C2FB4" w:rsidRPr="00B61AD3">
        <w:rPr>
          <w:rFonts w:cs="Times New Roman"/>
          <w:szCs w:val="22"/>
        </w:rPr>
        <w:t xml:space="preserve">and performance </w:t>
      </w:r>
      <w:r w:rsidR="00353FC7" w:rsidRPr="00B61AD3">
        <w:rPr>
          <w:rFonts w:cs="Times New Roman"/>
          <w:szCs w:val="22"/>
        </w:rPr>
        <w:t>and</w:t>
      </w:r>
      <w:r w:rsidR="006C2FB4" w:rsidRPr="00B61AD3">
        <w:rPr>
          <w:rFonts w:cs="Times New Roman"/>
          <w:szCs w:val="22"/>
        </w:rPr>
        <w:t xml:space="preserve"> are not</w:t>
      </w:r>
      <w:r w:rsidR="00353FC7" w:rsidRPr="00B61AD3">
        <w:rPr>
          <w:rFonts w:cs="Times New Roman"/>
          <w:szCs w:val="22"/>
        </w:rPr>
        <w:t xml:space="preserve"> included </w:t>
      </w:r>
      <w:r w:rsidR="00F9528F" w:rsidRPr="00B61AD3">
        <w:rPr>
          <w:rFonts w:cs="Times New Roman"/>
          <w:szCs w:val="22"/>
        </w:rPr>
        <w:t>i</w:t>
      </w:r>
      <w:r w:rsidR="00353FC7" w:rsidRPr="00B61AD3">
        <w:rPr>
          <w:rFonts w:cs="Times New Roman"/>
          <w:szCs w:val="22"/>
        </w:rPr>
        <w:t>n the Register</w:t>
      </w:r>
      <w:r w:rsidR="001441A8" w:rsidRPr="00B61AD3">
        <w:rPr>
          <w:rFonts w:cs="Times New Roman"/>
          <w:szCs w:val="22"/>
        </w:rPr>
        <w:t>.</w:t>
      </w:r>
    </w:p>
    <w:p w14:paraId="7F598406" w14:textId="77777777" w:rsidR="00D216A2" w:rsidRPr="00B61AD3" w:rsidRDefault="00D216A2" w:rsidP="00C646C3">
      <w:pPr>
        <w:spacing w:line="240" w:lineRule="auto"/>
        <w:contextualSpacing/>
        <w:rPr>
          <w:rFonts w:cs="Times New Roman"/>
          <w:szCs w:val="22"/>
        </w:rPr>
      </w:pPr>
    </w:p>
    <w:p w14:paraId="0E33FCEC" w14:textId="6B18F176" w:rsidR="00D216A2" w:rsidRPr="00B61AD3" w:rsidRDefault="00D216A2" w:rsidP="00C646C3">
      <w:pPr>
        <w:spacing w:line="240" w:lineRule="auto"/>
        <w:contextualSpacing/>
        <w:rPr>
          <w:rFonts w:eastAsia="Times New Roman" w:cs="Times New Roman"/>
          <w:szCs w:val="22"/>
          <w:lang w:eastAsia="en-AU"/>
        </w:rPr>
      </w:pPr>
      <w:r w:rsidRPr="00B61AD3">
        <w:rPr>
          <w:rFonts w:cs="Times New Roman"/>
          <w:szCs w:val="22"/>
        </w:rPr>
        <w:t xml:space="preserve">As such, the collection or use of the information would not be an arbitrary or unlawful interference with a person’s privacy under Article 17 of the ICCPR, as the collection would be reasonable </w:t>
      </w:r>
      <w:r w:rsidR="00C1583B" w:rsidRPr="00B61AD3">
        <w:rPr>
          <w:rFonts w:cs="Times New Roman"/>
          <w:szCs w:val="22"/>
        </w:rPr>
        <w:t>to ensure</w:t>
      </w:r>
      <w:r w:rsidRPr="00B61AD3">
        <w:rPr>
          <w:rFonts w:cs="Times New Roman"/>
          <w:szCs w:val="22"/>
        </w:rPr>
        <w:t xml:space="preserve"> the Secretary </w:t>
      </w:r>
      <w:r w:rsidR="00C1583B" w:rsidRPr="00B61AD3">
        <w:rPr>
          <w:rFonts w:cs="Times New Roman"/>
          <w:szCs w:val="22"/>
        </w:rPr>
        <w:t>has information</w:t>
      </w:r>
      <w:r w:rsidR="00367797" w:rsidRPr="00B61AD3">
        <w:rPr>
          <w:rFonts w:cs="Times New Roman"/>
          <w:szCs w:val="22"/>
        </w:rPr>
        <w:t>, in the form prescribed,</w:t>
      </w:r>
      <w:r w:rsidR="00C1583B" w:rsidRPr="00B61AD3">
        <w:rPr>
          <w:rFonts w:cs="Times New Roman"/>
          <w:szCs w:val="22"/>
        </w:rPr>
        <w:t xml:space="preserve"> on the supply of </w:t>
      </w:r>
      <w:r w:rsidR="002E3982" w:rsidRPr="00B61AD3">
        <w:rPr>
          <w:rFonts w:cs="Times New Roman"/>
          <w:szCs w:val="22"/>
        </w:rPr>
        <w:t>notified vaping goods</w:t>
      </w:r>
      <w:r w:rsidRPr="00B61AD3">
        <w:rPr>
          <w:rFonts w:cs="Times New Roman"/>
          <w:szCs w:val="22"/>
        </w:rPr>
        <w:t xml:space="preserve">, </w:t>
      </w:r>
      <w:r w:rsidRPr="00B61AD3">
        <w:rPr>
          <w:rFonts w:cs="Times New Roman"/>
          <w:szCs w:val="22"/>
        </w:rPr>
        <w:lastRenderedPageBreak/>
        <w:t>even if that person is an individual, and any use of the information would be necessary and proportionate to the objective of protecting the legitimate and lawful pharmaceutical supply chain</w:t>
      </w:r>
      <w:r w:rsidR="0001173F" w:rsidRPr="00B61AD3">
        <w:rPr>
          <w:rFonts w:cs="Times New Roman"/>
          <w:szCs w:val="22"/>
        </w:rPr>
        <w:t xml:space="preserve"> and public health</w:t>
      </w:r>
      <w:r w:rsidRPr="00B61AD3">
        <w:rPr>
          <w:rFonts w:cs="Times New Roman"/>
          <w:szCs w:val="22"/>
        </w:rPr>
        <w:t>.</w:t>
      </w:r>
    </w:p>
    <w:p w14:paraId="040B7B3A" w14:textId="77777777" w:rsidR="00D216A2" w:rsidRPr="00B61AD3" w:rsidRDefault="00D216A2" w:rsidP="00C646C3">
      <w:pPr>
        <w:spacing w:line="240" w:lineRule="auto"/>
        <w:contextualSpacing/>
        <w:rPr>
          <w:rFonts w:eastAsia="Times New Roman" w:cs="Times New Roman"/>
          <w:szCs w:val="22"/>
          <w:lang w:eastAsia="en-AU"/>
        </w:rPr>
      </w:pPr>
    </w:p>
    <w:p w14:paraId="01B53296" w14:textId="77777777" w:rsidR="00384135" w:rsidRPr="00B61AD3" w:rsidRDefault="00384135" w:rsidP="00C646C3">
      <w:pPr>
        <w:spacing w:line="240" w:lineRule="auto"/>
        <w:contextualSpacing/>
        <w:rPr>
          <w:rFonts w:cs="Times New Roman"/>
          <w:b/>
          <w:szCs w:val="22"/>
        </w:rPr>
      </w:pPr>
      <w:r w:rsidRPr="00B61AD3">
        <w:rPr>
          <w:rFonts w:cs="Times New Roman"/>
          <w:b/>
          <w:szCs w:val="22"/>
        </w:rPr>
        <w:t>Conclusion</w:t>
      </w:r>
    </w:p>
    <w:p w14:paraId="428F9195" w14:textId="77777777" w:rsidR="00805C91" w:rsidRPr="00B61AD3" w:rsidRDefault="00805C91" w:rsidP="00C646C3">
      <w:pPr>
        <w:spacing w:line="240" w:lineRule="auto"/>
        <w:contextualSpacing/>
        <w:rPr>
          <w:rFonts w:cs="Times New Roman"/>
          <w:bCs/>
          <w:szCs w:val="22"/>
        </w:rPr>
      </w:pPr>
    </w:p>
    <w:p w14:paraId="47FCD4FA" w14:textId="6A1F6165" w:rsidR="0017618A" w:rsidRPr="00B61AD3" w:rsidRDefault="0017618A" w:rsidP="00C646C3">
      <w:pPr>
        <w:spacing w:line="240" w:lineRule="auto"/>
        <w:contextualSpacing/>
        <w:rPr>
          <w:rFonts w:cs="Times New Roman"/>
          <w:szCs w:val="22"/>
        </w:rPr>
      </w:pPr>
      <w:r w:rsidRPr="00B61AD3">
        <w:rPr>
          <w:rFonts w:cs="Times New Roman"/>
          <w:szCs w:val="22"/>
        </w:rPr>
        <w:t>The Regulations are compatible with human rights because they support the right to health in Article</w:t>
      </w:r>
      <w:r w:rsidR="00075F56" w:rsidRPr="00B61AD3">
        <w:rPr>
          <w:rFonts w:cs="Times New Roman"/>
          <w:szCs w:val="22"/>
        </w:rPr>
        <w:t> </w:t>
      </w:r>
      <w:r w:rsidRPr="00B61AD3">
        <w:rPr>
          <w:rFonts w:cs="Times New Roman"/>
          <w:szCs w:val="22"/>
        </w:rPr>
        <w:t xml:space="preserve">12 of the ICESCR, </w:t>
      </w:r>
      <w:r w:rsidR="00D216A2" w:rsidRPr="00B61AD3">
        <w:rPr>
          <w:rFonts w:cs="Times New Roman"/>
          <w:szCs w:val="22"/>
        </w:rPr>
        <w:t xml:space="preserve">engages the right to privacy in Article 17 of the ICESCR in a measured and proportionate way, as outlined above </w:t>
      </w:r>
      <w:r w:rsidRPr="00B61AD3">
        <w:rPr>
          <w:rFonts w:cs="Times New Roman"/>
          <w:szCs w:val="22"/>
        </w:rPr>
        <w:t>and</w:t>
      </w:r>
      <w:r w:rsidR="00D216A2" w:rsidRPr="00B61AD3">
        <w:rPr>
          <w:rFonts w:cs="Times New Roman"/>
          <w:szCs w:val="22"/>
        </w:rPr>
        <w:t xml:space="preserve"> otherwise</w:t>
      </w:r>
      <w:r w:rsidRPr="00B61AD3">
        <w:rPr>
          <w:rFonts w:cs="Times New Roman"/>
          <w:szCs w:val="22"/>
        </w:rPr>
        <w:t xml:space="preserve"> do</w:t>
      </w:r>
      <w:r w:rsidR="00D216A2" w:rsidRPr="00B61AD3">
        <w:rPr>
          <w:rFonts w:cs="Times New Roman"/>
          <w:szCs w:val="22"/>
        </w:rPr>
        <w:t>es</w:t>
      </w:r>
      <w:r w:rsidRPr="00B61AD3">
        <w:rPr>
          <w:rFonts w:cs="Times New Roman"/>
          <w:szCs w:val="22"/>
        </w:rPr>
        <w:t xml:space="preserve"> not raise any other human rights issues.</w:t>
      </w:r>
    </w:p>
    <w:p w14:paraId="1D1A3CA6" w14:textId="77777777" w:rsidR="00384135" w:rsidRPr="00B61AD3" w:rsidRDefault="00384135" w:rsidP="00C646C3">
      <w:pPr>
        <w:spacing w:line="240" w:lineRule="auto"/>
        <w:contextualSpacing/>
        <w:rPr>
          <w:rFonts w:cs="Times New Roman"/>
          <w:szCs w:val="22"/>
        </w:rPr>
      </w:pPr>
    </w:p>
    <w:p w14:paraId="1B08126A" w14:textId="091FDDAF" w:rsidR="00384135" w:rsidRPr="00C646C3" w:rsidRDefault="00384135" w:rsidP="00C646C3">
      <w:pPr>
        <w:spacing w:line="240" w:lineRule="auto"/>
        <w:contextualSpacing/>
        <w:jc w:val="center"/>
        <w:rPr>
          <w:rFonts w:cs="Times New Roman"/>
          <w:szCs w:val="22"/>
        </w:rPr>
      </w:pPr>
      <w:r w:rsidRPr="00B61AD3">
        <w:rPr>
          <w:rFonts w:cs="Times New Roman"/>
          <w:b/>
          <w:bCs/>
          <w:color w:val="000000"/>
          <w:szCs w:val="22"/>
        </w:rPr>
        <w:t>Mark Butler, Minister for Health and Aged Care</w:t>
      </w:r>
    </w:p>
    <w:sectPr w:rsidR="00384135" w:rsidRPr="00C646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F163C" w14:textId="77777777" w:rsidR="002459A9" w:rsidRDefault="002459A9" w:rsidP="0034493F">
      <w:pPr>
        <w:spacing w:line="240" w:lineRule="auto"/>
      </w:pPr>
      <w:r>
        <w:separator/>
      </w:r>
    </w:p>
  </w:endnote>
  <w:endnote w:type="continuationSeparator" w:id="0">
    <w:p w14:paraId="1759E967" w14:textId="77777777" w:rsidR="002459A9" w:rsidRDefault="002459A9" w:rsidP="0034493F">
      <w:pPr>
        <w:spacing w:line="240" w:lineRule="auto"/>
      </w:pPr>
      <w:r>
        <w:continuationSeparator/>
      </w:r>
    </w:p>
  </w:endnote>
  <w:endnote w:type="continuationNotice" w:id="1">
    <w:p w14:paraId="31C52EB2" w14:textId="77777777" w:rsidR="002459A9" w:rsidRDefault="002459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097319"/>
      <w:docPartObj>
        <w:docPartGallery w:val="Page Numbers (Bottom of Page)"/>
        <w:docPartUnique/>
      </w:docPartObj>
    </w:sdtPr>
    <w:sdtEndPr>
      <w:rPr>
        <w:noProof/>
      </w:rPr>
    </w:sdtEndPr>
    <w:sdtContent>
      <w:p w14:paraId="139DDCD3" w14:textId="329EAAE0" w:rsidR="0034493F" w:rsidRDefault="003449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FD27E1" w14:textId="77777777" w:rsidR="0034493F" w:rsidRDefault="0034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8EAD" w14:textId="77777777" w:rsidR="002459A9" w:rsidRDefault="002459A9" w:rsidP="0034493F">
      <w:pPr>
        <w:spacing w:line="240" w:lineRule="auto"/>
      </w:pPr>
      <w:r>
        <w:separator/>
      </w:r>
    </w:p>
  </w:footnote>
  <w:footnote w:type="continuationSeparator" w:id="0">
    <w:p w14:paraId="462A87C5" w14:textId="77777777" w:rsidR="002459A9" w:rsidRDefault="002459A9" w:rsidP="0034493F">
      <w:pPr>
        <w:spacing w:line="240" w:lineRule="auto"/>
      </w:pPr>
      <w:r>
        <w:continuationSeparator/>
      </w:r>
    </w:p>
  </w:footnote>
  <w:footnote w:type="continuationNotice" w:id="1">
    <w:p w14:paraId="7BCC10E1" w14:textId="77777777" w:rsidR="002459A9" w:rsidRDefault="002459A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6C0"/>
    <w:multiLevelType w:val="hybridMultilevel"/>
    <w:tmpl w:val="2758B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07729"/>
    <w:multiLevelType w:val="hybridMultilevel"/>
    <w:tmpl w:val="4AA2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87525"/>
    <w:multiLevelType w:val="hybridMultilevel"/>
    <w:tmpl w:val="E132D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04DFA"/>
    <w:multiLevelType w:val="hybridMultilevel"/>
    <w:tmpl w:val="6A0C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B2401"/>
    <w:multiLevelType w:val="hybridMultilevel"/>
    <w:tmpl w:val="0CC8C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D49B6"/>
    <w:multiLevelType w:val="hybridMultilevel"/>
    <w:tmpl w:val="FFFFFFFF"/>
    <w:lvl w:ilvl="0" w:tplc="87A40C28">
      <w:start w:val="1"/>
      <w:numFmt w:val="bullet"/>
      <w:lvlText w:val=""/>
      <w:lvlJc w:val="left"/>
      <w:pPr>
        <w:ind w:left="720" w:hanging="360"/>
      </w:pPr>
      <w:rPr>
        <w:rFonts w:ascii="Symbol" w:hAnsi="Symbol" w:hint="default"/>
      </w:rPr>
    </w:lvl>
    <w:lvl w:ilvl="1" w:tplc="B3380E28">
      <w:start w:val="1"/>
      <w:numFmt w:val="bullet"/>
      <w:lvlText w:val="o"/>
      <w:lvlJc w:val="left"/>
      <w:pPr>
        <w:ind w:left="1440" w:hanging="360"/>
      </w:pPr>
      <w:rPr>
        <w:rFonts w:ascii="Courier New" w:hAnsi="Courier New" w:hint="default"/>
      </w:rPr>
    </w:lvl>
    <w:lvl w:ilvl="2" w:tplc="58E82776">
      <w:start w:val="1"/>
      <w:numFmt w:val="bullet"/>
      <w:lvlText w:val=""/>
      <w:lvlJc w:val="left"/>
      <w:pPr>
        <w:ind w:left="2160" w:hanging="360"/>
      </w:pPr>
      <w:rPr>
        <w:rFonts w:ascii="Wingdings" w:hAnsi="Wingdings" w:hint="default"/>
      </w:rPr>
    </w:lvl>
    <w:lvl w:ilvl="3" w:tplc="4B72E976">
      <w:start w:val="1"/>
      <w:numFmt w:val="bullet"/>
      <w:lvlText w:val=""/>
      <w:lvlJc w:val="left"/>
      <w:pPr>
        <w:ind w:left="2880" w:hanging="360"/>
      </w:pPr>
      <w:rPr>
        <w:rFonts w:ascii="Symbol" w:hAnsi="Symbol" w:hint="default"/>
      </w:rPr>
    </w:lvl>
    <w:lvl w:ilvl="4" w:tplc="D4BCB5C8">
      <w:start w:val="1"/>
      <w:numFmt w:val="bullet"/>
      <w:lvlText w:val="o"/>
      <w:lvlJc w:val="left"/>
      <w:pPr>
        <w:ind w:left="3600" w:hanging="360"/>
      </w:pPr>
      <w:rPr>
        <w:rFonts w:ascii="Courier New" w:hAnsi="Courier New" w:hint="default"/>
      </w:rPr>
    </w:lvl>
    <w:lvl w:ilvl="5" w:tplc="53A69F64">
      <w:start w:val="1"/>
      <w:numFmt w:val="bullet"/>
      <w:lvlText w:val=""/>
      <w:lvlJc w:val="left"/>
      <w:pPr>
        <w:ind w:left="4320" w:hanging="360"/>
      </w:pPr>
      <w:rPr>
        <w:rFonts w:ascii="Wingdings" w:hAnsi="Wingdings" w:hint="default"/>
      </w:rPr>
    </w:lvl>
    <w:lvl w:ilvl="6" w:tplc="5210939E">
      <w:start w:val="1"/>
      <w:numFmt w:val="bullet"/>
      <w:lvlText w:val=""/>
      <w:lvlJc w:val="left"/>
      <w:pPr>
        <w:ind w:left="5040" w:hanging="360"/>
      </w:pPr>
      <w:rPr>
        <w:rFonts w:ascii="Symbol" w:hAnsi="Symbol" w:hint="default"/>
      </w:rPr>
    </w:lvl>
    <w:lvl w:ilvl="7" w:tplc="773EF7BE">
      <w:start w:val="1"/>
      <w:numFmt w:val="bullet"/>
      <w:lvlText w:val="o"/>
      <w:lvlJc w:val="left"/>
      <w:pPr>
        <w:ind w:left="5760" w:hanging="360"/>
      </w:pPr>
      <w:rPr>
        <w:rFonts w:ascii="Courier New" w:hAnsi="Courier New" w:hint="default"/>
      </w:rPr>
    </w:lvl>
    <w:lvl w:ilvl="8" w:tplc="D2780088">
      <w:start w:val="1"/>
      <w:numFmt w:val="bullet"/>
      <w:lvlText w:val=""/>
      <w:lvlJc w:val="left"/>
      <w:pPr>
        <w:ind w:left="6480" w:hanging="360"/>
      </w:pPr>
      <w:rPr>
        <w:rFonts w:ascii="Wingdings" w:hAnsi="Wingdings" w:hint="default"/>
      </w:r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B613E5"/>
    <w:multiLevelType w:val="hybridMultilevel"/>
    <w:tmpl w:val="D5D4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9FCF0"/>
    <w:multiLevelType w:val="hybridMultilevel"/>
    <w:tmpl w:val="FFFFFFFF"/>
    <w:lvl w:ilvl="0" w:tplc="A508D764">
      <w:start w:val="1"/>
      <w:numFmt w:val="bullet"/>
      <w:lvlText w:val="·"/>
      <w:lvlJc w:val="left"/>
      <w:pPr>
        <w:ind w:left="720" w:hanging="360"/>
      </w:pPr>
      <w:rPr>
        <w:rFonts w:ascii="Symbol" w:hAnsi="Symbol" w:hint="default"/>
      </w:rPr>
    </w:lvl>
    <w:lvl w:ilvl="1" w:tplc="D186BF5E">
      <w:start w:val="1"/>
      <w:numFmt w:val="bullet"/>
      <w:lvlText w:val="o"/>
      <w:lvlJc w:val="left"/>
      <w:pPr>
        <w:ind w:left="1440" w:hanging="360"/>
      </w:pPr>
      <w:rPr>
        <w:rFonts w:ascii="Courier New" w:hAnsi="Courier New" w:hint="default"/>
      </w:rPr>
    </w:lvl>
    <w:lvl w:ilvl="2" w:tplc="0A1ACA9C">
      <w:start w:val="1"/>
      <w:numFmt w:val="bullet"/>
      <w:lvlText w:val=""/>
      <w:lvlJc w:val="left"/>
      <w:pPr>
        <w:ind w:left="2160" w:hanging="360"/>
      </w:pPr>
      <w:rPr>
        <w:rFonts w:ascii="Wingdings" w:hAnsi="Wingdings" w:hint="default"/>
      </w:rPr>
    </w:lvl>
    <w:lvl w:ilvl="3" w:tplc="73169596">
      <w:start w:val="1"/>
      <w:numFmt w:val="bullet"/>
      <w:lvlText w:val=""/>
      <w:lvlJc w:val="left"/>
      <w:pPr>
        <w:ind w:left="2880" w:hanging="360"/>
      </w:pPr>
      <w:rPr>
        <w:rFonts w:ascii="Symbol" w:hAnsi="Symbol" w:hint="default"/>
      </w:rPr>
    </w:lvl>
    <w:lvl w:ilvl="4" w:tplc="37F64EE6">
      <w:start w:val="1"/>
      <w:numFmt w:val="bullet"/>
      <w:lvlText w:val="o"/>
      <w:lvlJc w:val="left"/>
      <w:pPr>
        <w:ind w:left="3600" w:hanging="360"/>
      </w:pPr>
      <w:rPr>
        <w:rFonts w:ascii="Courier New" w:hAnsi="Courier New" w:hint="default"/>
      </w:rPr>
    </w:lvl>
    <w:lvl w:ilvl="5" w:tplc="42B44908">
      <w:start w:val="1"/>
      <w:numFmt w:val="bullet"/>
      <w:lvlText w:val=""/>
      <w:lvlJc w:val="left"/>
      <w:pPr>
        <w:ind w:left="4320" w:hanging="360"/>
      </w:pPr>
      <w:rPr>
        <w:rFonts w:ascii="Wingdings" w:hAnsi="Wingdings" w:hint="default"/>
      </w:rPr>
    </w:lvl>
    <w:lvl w:ilvl="6" w:tplc="4D9A85BC">
      <w:start w:val="1"/>
      <w:numFmt w:val="bullet"/>
      <w:lvlText w:val=""/>
      <w:lvlJc w:val="left"/>
      <w:pPr>
        <w:ind w:left="5040" w:hanging="360"/>
      </w:pPr>
      <w:rPr>
        <w:rFonts w:ascii="Symbol" w:hAnsi="Symbol" w:hint="default"/>
      </w:rPr>
    </w:lvl>
    <w:lvl w:ilvl="7" w:tplc="E9C836FC">
      <w:start w:val="1"/>
      <w:numFmt w:val="bullet"/>
      <w:lvlText w:val="o"/>
      <w:lvlJc w:val="left"/>
      <w:pPr>
        <w:ind w:left="5760" w:hanging="360"/>
      </w:pPr>
      <w:rPr>
        <w:rFonts w:ascii="Courier New" w:hAnsi="Courier New" w:hint="default"/>
      </w:rPr>
    </w:lvl>
    <w:lvl w:ilvl="8" w:tplc="B2ACEAC2">
      <w:start w:val="1"/>
      <w:numFmt w:val="bullet"/>
      <w:lvlText w:val=""/>
      <w:lvlJc w:val="left"/>
      <w:pPr>
        <w:ind w:left="6480" w:hanging="360"/>
      </w:pPr>
      <w:rPr>
        <w:rFonts w:ascii="Wingdings" w:hAnsi="Wingdings" w:hint="default"/>
      </w:rPr>
    </w:lvl>
  </w:abstractNum>
  <w:abstractNum w:abstractNumId="9" w15:restartNumberingAfterBreak="0">
    <w:nsid w:val="264DCF35"/>
    <w:multiLevelType w:val="hybridMultilevel"/>
    <w:tmpl w:val="FFFFFFFF"/>
    <w:lvl w:ilvl="0" w:tplc="17AEF238">
      <w:start w:val="1"/>
      <w:numFmt w:val="bullet"/>
      <w:lvlText w:val=""/>
      <w:lvlJc w:val="left"/>
      <w:pPr>
        <w:ind w:left="720" w:hanging="360"/>
      </w:pPr>
      <w:rPr>
        <w:rFonts w:ascii="Symbol" w:hAnsi="Symbol" w:hint="default"/>
      </w:rPr>
    </w:lvl>
    <w:lvl w:ilvl="1" w:tplc="13F061BE">
      <w:start w:val="1"/>
      <w:numFmt w:val="bullet"/>
      <w:lvlText w:val="o"/>
      <w:lvlJc w:val="left"/>
      <w:pPr>
        <w:ind w:left="1440" w:hanging="360"/>
      </w:pPr>
      <w:rPr>
        <w:rFonts w:ascii="Courier New" w:hAnsi="Courier New" w:hint="default"/>
      </w:rPr>
    </w:lvl>
    <w:lvl w:ilvl="2" w:tplc="0A024548">
      <w:start w:val="1"/>
      <w:numFmt w:val="bullet"/>
      <w:lvlText w:val=""/>
      <w:lvlJc w:val="left"/>
      <w:pPr>
        <w:ind w:left="2160" w:hanging="360"/>
      </w:pPr>
      <w:rPr>
        <w:rFonts w:ascii="Wingdings" w:hAnsi="Wingdings" w:hint="default"/>
      </w:rPr>
    </w:lvl>
    <w:lvl w:ilvl="3" w:tplc="3D6CBB32">
      <w:start w:val="1"/>
      <w:numFmt w:val="bullet"/>
      <w:lvlText w:val=""/>
      <w:lvlJc w:val="left"/>
      <w:pPr>
        <w:ind w:left="2880" w:hanging="360"/>
      </w:pPr>
      <w:rPr>
        <w:rFonts w:ascii="Symbol" w:hAnsi="Symbol" w:hint="default"/>
      </w:rPr>
    </w:lvl>
    <w:lvl w:ilvl="4" w:tplc="EA627576">
      <w:start w:val="1"/>
      <w:numFmt w:val="bullet"/>
      <w:lvlText w:val="o"/>
      <w:lvlJc w:val="left"/>
      <w:pPr>
        <w:ind w:left="3600" w:hanging="360"/>
      </w:pPr>
      <w:rPr>
        <w:rFonts w:ascii="Courier New" w:hAnsi="Courier New" w:hint="default"/>
      </w:rPr>
    </w:lvl>
    <w:lvl w:ilvl="5" w:tplc="A4608EBA">
      <w:start w:val="1"/>
      <w:numFmt w:val="bullet"/>
      <w:lvlText w:val=""/>
      <w:lvlJc w:val="left"/>
      <w:pPr>
        <w:ind w:left="4320" w:hanging="360"/>
      </w:pPr>
      <w:rPr>
        <w:rFonts w:ascii="Wingdings" w:hAnsi="Wingdings" w:hint="default"/>
      </w:rPr>
    </w:lvl>
    <w:lvl w:ilvl="6" w:tplc="F1BA2992">
      <w:start w:val="1"/>
      <w:numFmt w:val="bullet"/>
      <w:lvlText w:val=""/>
      <w:lvlJc w:val="left"/>
      <w:pPr>
        <w:ind w:left="5040" w:hanging="360"/>
      </w:pPr>
      <w:rPr>
        <w:rFonts w:ascii="Symbol" w:hAnsi="Symbol" w:hint="default"/>
      </w:rPr>
    </w:lvl>
    <w:lvl w:ilvl="7" w:tplc="4EDA8CF6">
      <w:start w:val="1"/>
      <w:numFmt w:val="bullet"/>
      <w:lvlText w:val="o"/>
      <w:lvlJc w:val="left"/>
      <w:pPr>
        <w:ind w:left="5760" w:hanging="360"/>
      </w:pPr>
      <w:rPr>
        <w:rFonts w:ascii="Courier New" w:hAnsi="Courier New" w:hint="default"/>
      </w:rPr>
    </w:lvl>
    <w:lvl w:ilvl="8" w:tplc="1B749DB0">
      <w:start w:val="1"/>
      <w:numFmt w:val="bullet"/>
      <w:lvlText w:val=""/>
      <w:lvlJc w:val="left"/>
      <w:pPr>
        <w:ind w:left="6480" w:hanging="360"/>
      </w:pPr>
      <w:rPr>
        <w:rFonts w:ascii="Wingdings" w:hAnsi="Wingdings" w:hint="default"/>
      </w:rPr>
    </w:lvl>
  </w:abstractNum>
  <w:abstractNum w:abstractNumId="10" w15:restartNumberingAfterBreak="0">
    <w:nsid w:val="28F8731D"/>
    <w:multiLevelType w:val="hybridMultilevel"/>
    <w:tmpl w:val="FF921FCA"/>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 w15:restartNumberingAfterBreak="0">
    <w:nsid w:val="32129F34"/>
    <w:multiLevelType w:val="hybridMultilevel"/>
    <w:tmpl w:val="FFFFFFFF"/>
    <w:lvl w:ilvl="0" w:tplc="7C7630C4">
      <w:start w:val="1"/>
      <w:numFmt w:val="bullet"/>
      <w:lvlText w:val=""/>
      <w:lvlJc w:val="left"/>
      <w:pPr>
        <w:ind w:left="720" w:hanging="360"/>
      </w:pPr>
      <w:rPr>
        <w:rFonts w:ascii="Symbol" w:hAnsi="Symbol" w:hint="default"/>
      </w:rPr>
    </w:lvl>
    <w:lvl w:ilvl="1" w:tplc="35A2EEE0">
      <w:start w:val="1"/>
      <w:numFmt w:val="bullet"/>
      <w:lvlText w:val="o"/>
      <w:lvlJc w:val="left"/>
      <w:pPr>
        <w:ind w:left="1440" w:hanging="360"/>
      </w:pPr>
      <w:rPr>
        <w:rFonts w:ascii="Courier New" w:hAnsi="Courier New" w:hint="default"/>
      </w:rPr>
    </w:lvl>
    <w:lvl w:ilvl="2" w:tplc="9DC61C0C">
      <w:start w:val="1"/>
      <w:numFmt w:val="bullet"/>
      <w:lvlText w:val=""/>
      <w:lvlJc w:val="left"/>
      <w:pPr>
        <w:ind w:left="2160" w:hanging="360"/>
      </w:pPr>
      <w:rPr>
        <w:rFonts w:ascii="Wingdings" w:hAnsi="Wingdings" w:hint="default"/>
      </w:rPr>
    </w:lvl>
    <w:lvl w:ilvl="3" w:tplc="4C8C1CDA">
      <w:start w:val="1"/>
      <w:numFmt w:val="bullet"/>
      <w:lvlText w:val=""/>
      <w:lvlJc w:val="left"/>
      <w:pPr>
        <w:ind w:left="2880" w:hanging="360"/>
      </w:pPr>
      <w:rPr>
        <w:rFonts w:ascii="Symbol" w:hAnsi="Symbol" w:hint="default"/>
      </w:rPr>
    </w:lvl>
    <w:lvl w:ilvl="4" w:tplc="3DD68378">
      <w:start w:val="1"/>
      <w:numFmt w:val="bullet"/>
      <w:lvlText w:val="o"/>
      <w:lvlJc w:val="left"/>
      <w:pPr>
        <w:ind w:left="3600" w:hanging="360"/>
      </w:pPr>
      <w:rPr>
        <w:rFonts w:ascii="Courier New" w:hAnsi="Courier New" w:hint="default"/>
      </w:rPr>
    </w:lvl>
    <w:lvl w:ilvl="5" w:tplc="1256D7C4">
      <w:start w:val="1"/>
      <w:numFmt w:val="bullet"/>
      <w:lvlText w:val=""/>
      <w:lvlJc w:val="left"/>
      <w:pPr>
        <w:ind w:left="4320" w:hanging="360"/>
      </w:pPr>
      <w:rPr>
        <w:rFonts w:ascii="Wingdings" w:hAnsi="Wingdings" w:hint="default"/>
      </w:rPr>
    </w:lvl>
    <w:lvl w:ilvl="6" w:tplc="16168B30">
      <w:start w:val="1"/>
      <w:numFmt w:val="bullet"/>
      <w:lvlText w:val=""/>
      <w:lvlJc w:val="left"/>
      <w:pPr>
        <w:ind w:left="5040" w:hanging="360"/>
      </w:pPr>
      <w:rPr>
        <w:rFonts w:ascii="Symbol" w:hAnsi="Symbol" w:hint="default"/>
      </w:rPr>
    </w:lvl>
    <w:lvl w:ilvl="7" w:tplc="310C1DF8">
      <w:start w:val="1"/>
      <w:numFmt w:val="bullet"/>
      <w:lvlText w:val="o"/>
      <w:lvlJc w:val="left"/>
      <w:pPr>
        <w:ind w:left="5760" w:hanging="360"/>
      </w:pPr>
      <w:rPr>
        <w:rFonts w:ascii="Courier New" w:hAnsi="Courier New" w:hint="default"/>
      </w:rPr>
    </w:lvl>
    <w:lvl w:ilvl="8" w:tplc="1B66845C">
      <w:start w:val="1"/>
      <w:numFmt w:val="bullet"/>
      <w:lvlText w:val=""/>
      <w:lvlJc w:val="left"/>
      <w:pPr>
        <w:ind w:left="6480" w:hanging="360"/>
      </w:pPr>
      <w:rPr>
        <w:rFonts w:ascii="Wingdings" w:hAnsi="Wingdings" w:hint="default"/>
      </w:rPr>
    </w:lvl>
  </w:abstractNum>
  <w:abstractNum w:abstractNumId="12" w15:restartNumberingAfterBreak="0">
    <w:nsid w:val="34B37700"/>
    <w:multiLevelType w:val="hybridMultilevel"/>
    <w:tmpl w:val="0114B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8F51288"/>
    <w:multiLevelType w:val="hybridMultilevel"/>
    <w:tmpl w:val="1B92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D478CF"/>
    <w:multiLevelType w:val="hybridMultilevel"/>
    <w:tmpl w:val="FFFFFFFF"/>
    <w:lvl w:ilvl="0" w:tplc="E10C1C76">
      <w:start w:val="1"/>
      <w:numFmt w:val="bullet"/>
      <w:lvlText w:val=""/>
      <w:lvlJc w:val="left"/>
      <w:pPr>
        <w:ind w:left="720" w:hanging="360"/>
      </w:pPr>
      <w:rPr>
        <w:rFonts w:ascii="Symbol" w:hAnsi="Symbol" w:hint="default"/>
      </w:rPr>
    </w:lvl>
    <w:lvl w:ilvl="1" w:tplc="594C440E">
      <w:start w:val="1"/>
      <w:numFmt w:val="bullet"/>
      <w:lvlText w:val="o"/>
      <w:lvlJc w:val="left"/>
      <w:pPr>
        <w:ind w:left="1440" w:hanging="360"/>
      </w:pPr>
      <w:rPr>
        <w:rFonts w:ascii="Courier New" w:hAnsi="Courier New" w:hint="default"/>
      </w:rPr>
    </w:lvl>
    <w:lvl w:ilvl="2" w:tplc="4A68C9B8">
      <w:start w:val="1"/>
      <w:numFmt w:val="bullet"/>
      <w:lvlText w:val=""/>
      <w:lvlJc w:val="left"/>
      <w:pPr>
        <w:ind w:left="2160" w:hanging="360"/>
      </w:pPr>
      <w:rPr>
        <w:rFonts w:ascii="Wingdings" w:hAnsi="Wingdings" w:hint="default"/>
      </w:rPr>
    </w:lvl>
    <w:lvl w:ilvl="3" w:tplc="1F848884">
      <w:start w:val="1"/>
      <w:numFmt w:val="bullet"/>
      <w:lvlText w:val=""/>
      <w:lvlJc w:val="left"/>
      <w:pPr>
        <w:ind w:left="2880" w:hanging="360"/>
      </w:pPr>
      <w:rPr>
        <w:rFonts w:ascii="Symbol" w:hAnsi="Symbol" w:hint="default"/>
      </w:rPr>
    </w:lvl>
    <w:lvl w:ilvl="4" w:tplc="AA30783E">
      <w:start w:val="1"/>
      <w:numFmt w:val="bullet"/>
      <w:lvlText w:val="o"/>
      <w:lvlJc w:val="left"/>
      <w:pPr>
        <w:ind w:left="3600" w:hanging="360"/>
      </w:pPr>
      <w:rPr>
        <w:rFonts w:ascii="Courier New" w:hAnsi="Courier New" w:hint="default"/>
      </w:rPr>
    </w:lvl>
    <w:lvl w:ilvl="5" w:tplc="73B20A9A">
      <w:start w:val="1"/>
      <w:numFmt w:val="bullet"/>
      <w:lvlText w:val=""/>
      <w:lvlJc w:val="left"/>
      <w:pPr>
        <w:ind w:left="4320" w:hanging="360"/>
      </w:pPr>
      <w:rPr>
        <w:rFonts w:ascii="Wingdings" w:hAnsi="Wingdings" w:hint="default"/>
      </w:rPr>
    </w:lvl>
    <w:lvl w:ilvl="6" w:tplc="394EB186">
      <w:start w:val="1"/>
      <w:numFmt w:val="bullet"/>
      <w:lvlText w:val=""/>
      <w:lvlJc w:val="left"/>
      <w:pPr>
        <w:ind w:left="5040" w:hanging="360"/>
      </w:pPr>
      <w:rPr>
        <w:rFonts w:ascii="Symbol" w:hAnsi="Symbol" w:hint="default"/>
      </w:rPr>
    </w:lvl>
    <w:lvl w:ilvl="7" w:tplc="E45C3D1C">
      <w:start w:val="1"/>
      <w:numFmt w:val="bullet"/>
      <w:lvlText w:val="o"/>
      <w:lvlJc w:val="left"/>
      <w:pPr>
        <w:ind w:left="5760" w:hanging="360"/>
      </w:pPr>
      <w:rPr>
        <w:rFonts w:ascii="Courier New" w:hAnsi="Courier New" w:hint="default"/>
      </w:rPr>
    </w:lvl>
    <w:lvl w:ilvl="8" w:tplc="E0665C56">
      <w:start w:val="1"/>
      <w:numFmt w:val="bullet"/>
      <w:lvlText w:val=""/>
      <w:lvlJc w:val="left"/>
      <w:pPr>
        <w:ind w:left="6480" w:hanging="360"/>
      </w:pPr>
      <w:rPr>
        <w:rFonts w:ascii="Wingdings" w:hAnsi="Wingdings" w:hint="default"/>
      </w:rPr>
    </w:lvl>
  </w:abstractNum>
  <w:abstractNum w:abstractNumId="16" w15:restartNumberingAfterBreak="0">
    <w:nsid w:val="5CC82CDB"/>
    <w:multiLevelType w:val="hybridMultilevel"/>
    <w:tmpl w:val="1F5C7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2527E"/>
    <w:multiLevelType w:val="hybridMultilevel"/>
    <w:tmpl w:val="FFFFFFFF"/>
    <w:lvl w:ilvl="0" w:tplc="0072778E">
      <w:start w:val="1"/>
      <w:numFmt w:val="decimal"/>
      <w:lvlText w:val="%1."/>
      <w:lvlJc w:val="left"/>
      <w:pPr>
        <w:ind w:left="720" w:hanging="360"/>
      </w:pPr>
    </w:lvl>
    <w:lvl w:ilvl="1" w:tplc="FFCA712A">
      <w:start w:val="1"/>
      <w:numFmt w:val="lowerLetter"/>
      <w:lvlText w:val="%2."/>
      <w:lvlJc w:val="left"/>
      <w:pPr>
        <w:ind w:left="1440" w:hanging="360"/>
      </w:pPr>
    </w:lvl>
    <w:lvl w:ilvl="2" w:tplc="C046E90A">
      <w:start w:val="1"/>
      <w:numFmt w:val="lowerRoman"/>
      <w:lvlText w:val="%3."/>
      <w:lvlJc w:val="right"/>
      <w:pPr>
        <w:ind w:left="2160" w:hanging="180"/>
      </w:pPr>
    </w:lvl>
    <w:lvl w:ilvl="3" w:tplc="C12C36DE">
      <w:start w:val="1"/>
      <w:numFmt w:val="decimal"/>
      <w:lvlText w:val="%4."/>
      <w:lvlJc w:val="left"/>
      <w:pPr>
        <w:ind w:left="2880" w:hanging="360"/>
      </w:pPr>
    </w:lvl>
    <w:lvl w:ilvl="4" w:tplc="71924772">
      <w:start w:val="1"/>
      <w:numFmt w:val="lowerLetter"/>
      <w:lvlText w:val="%5."/>
      <w:lvlJc w:val="left"/>
      <w:pPr>
        <w:ind w:left="3600" w:hanging="360"/>
      </w:pPr>
    </w:lvl>
    <w:lvl w:ilvl="5" w:tplc="44C47376">
      <w:start w:val="1"/>
      <w:numFmt w:val="lowerRoman"/>
      <w:lvlText w:val="%6."/>
      <w:lvlJc w:val="right"/>
      <w:pPr>
        <w:ind w:left="4320" w:hanging="180"/>
      </w:pPr>
    </w:lvl>
    <w:lvl w:ilvl="6" w:tplc="03FAF6BA">
      <w:start w:val="1"/>
      <w:numFmt w:val="decimal"/>
      <w:lvlText w:val="%7."/>
      <w:lvlJc w:val="left"/>
      <w:pPr>
        <w:ind w:left="5040" w:hanging="360"/>
      </w:pPr>
    </w:lvl>
    <w:lvl w:ilvl="7" w:tplc="D426626E">
      <w:start w:val="1"/>
      <w:numFmt w:val="lowerLetter"/>
      <w:lvlText w:val="%8."/>
      <w:lvlJc w:val="left"/>
      <w:pPr>
        <w:ind w:left="5760" w:hanging="360"/>
      </w:pPr>
    </w:lvl>
    <w:lvl w:ilvl="8" w:tplc="79C03E58">
      <w:start w:val="1"/>
      <w:numFmt w:val="lowerRoman"/>
      <w:lvlText w:val="%9."/>
      <w:lvlJc w:val="right"/>
      <w:pPr>
        <w:ind w:left="6480" w:hanging="180"/>
      </w:pPr>
    </w:lvl>
  </w:abstractNum>
  <w:abstractNum w:abstractNumId="18" w15:restartNumberingAfterBreak="0">
    <w:nsid w:val="64C22C90"/>
    <w:multiLevelType w:val="hybridMultilevel"/>
    <w:tmpl w:val="790C4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13C29"/>
    <w:multiLevelType w:val="hybridMultilevel"/>
    <w:tmpl w:val="74BCB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A29C9"/>
    <w:multiLevelType w:val="hybridMultilevel"/>
    <w:tmpl w:val="9B1E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CB3F28"/>
    <w:multiLevelType w:val="hybridMultilevel"/>
    <w:tmpl w:val="68B0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547E01"/>
    <w:multiLevelType w:val="hybridMultilevel"/>
    <w:tmpl w:val="97B0B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4772D0"/>
    <w:multiLevelType w:val="hybridMultilevel"/>
    <w:tmpl w:val="C24C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EA047C"/>
    <w:multiLevelType w:val="hybridMultilevel"/>
    <w:tmpl w:val="E8C2F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0141324">
    <w:abstractNumId w:val="6"/>
  </w:num>
  <w:num w:numId="2" w16cid:durableId="1301033528">
    <w:abstractNumId w:val="6"/>
  </w:num>
  <w:num w:numId="3" w16cid:durableId="1435520483">
    <w:abstractNumId w:val="6"/>
  </w:num>
  <w:num w:numId="4" w16cid:durableId="984579975">
    <w:abstractNumId w:val="13"/>
  </w:num>
  <w:num w:numId="5" w16cid:durableId="2043746651">
    <w:abstractNumId w:val="6"/>
  </w:num>
  <w:num w:numId="6" w16cid:durableId="2040542007">
    <w:abstractNumId w:val="6"/>
  </w:num>
  <w:num w:numId="7" w16cid:durableId="76680782">
    <w:abstractNumId w:val="6"/>
  </w:num>
  <w:num w:numId="8" w16cid:durableId="1822575186">
    <w:abstractNumId w:val="13"/>
  </w:num>
  <w:num w:numId="9" w16cid:durableId="894313576">
    <w:abstractNumId w:val="6"/>
  </w:num>
  <w:num w:numId="10" w16cid:durableId="1812819540">
    <w:abstractNumId w:val="6"/>
  </w:num>
  <w:num w:numId="11" w16cid:durableId="1854418469">
    <w:abstractNumId w:val="6"/>
  </w:num>
  <w:num w:numId="12" w16cid:durableId="222101588">
    <w:abstractNumId w:val="13"/>
  </w:num>
  <w:num w:numId="13" w16cid:durableId="2083064016">
    <w:abstractNumId w:val="23"/>
  </w:num>
  <w:num w:numId="14" w16cid:durableId="939071752">
    <w:abstractNumId w:val="9"/>
  </w:num>
  <w:num w:numId="15" w16cid:durableId="1036542536">
    <w:abstractNumId w:val="8"/>
  </w:num>
  <w:num w:numId="16" w16cid:durableId="1125582690">
    <w:abstractNumId w:val="20"/>
  </w:num>
  <w:num w:numId="17" w16cid:durableId="256333372">
    <w:abstractNumId w:val="24"/>
  </w:num>
  <w:num w:numId="18" w16cid:durableId="201554669">
    <w:abstractNumId w:val="15"/>
  </w:num>
  <w:num w:numId="19" w16cid:durableId="1721904377">
    <w:abstractNumId w:val="11"/>
  </w:num>
  <w:num w:numId="20" w16cid:durableId="1688173554">
    <w:abstractNumId w:val="12"/>
  </w:num>
  <w:num w:numId="21" w16cid:durableId="170950260">
    <w:abstractNumId w:val="21"/>
  </w:num>
  <w:num w:numId="22" w16cid:durableId="2087069471">
    <w:abstractNumId w:val="3"/>
  </w:num>
  <w:num w:numId="23" w16cid:durableId="628584335">
    <w:abstractNumId w:val="1"/>
  </w:num>
  <w:num w:numId="24" w16cid:durableId="1185904798">
    <w:abstractNumId w:val="4"/>
  </w:num>
  <w:num w:numId="25" w16cid:durableId="1312833594">
    <w:abstractNumId w:val="10"/>
  </w:num>
  <w:num w:numId="26" w16cid:durableId="1490755810">
    <w:abstractNumId w:val="5"/>
  </w:num>
  <w:num w:numId="27" w16cid:durableId="189346135">
    <w:abstractNumId w:val="0"/>
  </w:num>
  <w:num w:numId="28" w16cid:durableId="1230768335">
    <w:abstractNumId w:val="7"/>
  </w:num>
  <w:num w:numId="29" w16cid:durableId="221212704">
    <w:abstractNumId w:val="16"/>
  </w:num>
  <w:num w:numId="30" w16cid:durableId="1178539799">
    <w:abstractNumId w:val="2"/>
  </w:num>
  <w:num w:numId="31" w16cid:durableId="1782720429">
    <w:abstractNumId w:val="18"/>
  </w:num>
  <w:num w:numId="32" w16cid:durableId="224341309">
    <w:abstractNumId w:val="14"/>
  </w:num>
  <w:num w:numId="33" w16cid:durableId="1244682492">
    <w:abstractNumId w:val="22"/>
  </w:num>
  <w:num w:numId="34" w16cid:durableId="599029650">
    <w:abstractNumId w:val="19"/>
  </w:num>
  <w:num w:numId="35" w16cid:durableId="11991264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C"/>
    <w:rsid w:val="000021DA"/>
    <w:rsid w:val="000102E1"/>
    <w:rsid w:val="0001173F"/>
    <w:rsid w:val="000171D2"/>
    <w:rsid w:val="000219F8"/>
    <w:rsid w:val="000231AE"/>
    <w:rsid w:val="00037E4D"/>
    <w:rsid w:val="00041F09"/>
    <w:rsid w:val="000543A1"/>
    <w:rsid w:val="00056AE6"/>
    <w:rsid w:val="000605AF"/>
    <w:rsid w:val="00061C0A"/>
    <w:rsid w:val="00074C3D"/>
    <w:rsid w:val="00075F56"/>
    <w:rsid w:val="00076727"/>
    <w:rsid w:val="000779E3"/>
    <w:rsid w:val="00080A9E"/>
    <w:rsid w:val="00080B3F"/>
    <w:rsid w:val="000817DC"/>
    <w:rsid w:val="000866EA"/>
    <w:rsid w:val="00092E72"/>
    <w:rsid w:val="000A48DB"/>
    <w:rsid w:val="000A6014"/>
    <w:rsid w:val="000A7F89"/>
    <w:rsid w:val="000A7FC4"/>
    <w:rsid w:val="000B13AF"/>
    <w:rsid w:val="000B34DC"/>
    <w:rsid w:val="000B5282"/>
    <w:rsid w:val="000B6EF9"/>
    <w:rsid w:val="000C071D"/>
    <w:rsid w:val="000C2960"/>
    <w:rsid w:val="000D1268"/>
    <w:rsid w:val="000E08C8"/>
    <w:rsid w:val="000E3F06"/>
    <w:rsid w:val="000E7F1C"/>
    <w:rsid w:val="000F2936"/>
    <w:rsid w:val="001038F6"/>
    <w:rsid w:val="00105492"/>
    <w:rsid w:val="001113D0"/>
    <w:rsid w:val="001167BD"/>
    <w:rsid w:val="001217AF"/>
    <w:rsid w:val="00124927"/>
    <w:rsid w:val="00130370"/>
    <w:rsid w:val="00131A3A"/>
    <w:rsid w:val="00131D97"/>
    <w:rsid w:val="00140C6B"/>
    <w:rsid w:val="00140FD4"/>
    <w:rsid w:val="001428D0"/>
    <w:rsid w:val="00142AC4"/>
    <w:rsid w:val="001441A8"/>
    <w:rsid w:val="0014673C"/>
    <w:rsid w:val="00153645"/>
    <w:rsid w:val="00154DE3"/>
    <w:rsid w:val="001659DF"/>
    <w:rsid w:val="001668EE"/>
    <w:rsid w:val="001712CC"/>
    <w:rsid w:val="0017164B"/>
    <w:rsid w:val="00171693"/>
    <w:rsid w:val="0017618A"/>
    <w:rsid w:val="00185EAC"/>
    <w:rsid w:val="00190523"/>
    <w:rsid w:val="0019193F"/>
    <w:rsid w:val="00191A1E"/>
    <w:rsid w:val="00192101"/>
    <w:rsid w:val="00192C86"/>
    <w:rsid w:val="001B2D4F"/>
    <w:rsid w:val="001B65AE"/>
    <w:rsid w:val="001B7732"/>
    <w:rsid w:val="001C2C9D"/>
    <w:rsid w:val="001C3179"/>
    <w:rsid w:val="001D550B"/>
    <w:rsid w:val="001D7CE4"/>
    <w:rsid w:val="001E351C"/>
    <w:rsid w:val="001E5B59"/>
    <w:rsid w:val="001E66DF"/>
    <w:rsid w:val="001F3879"/>
    <w:rsid w:val="001F3CF8"/>
    <w:rsid w:val="001F7180"/>
    <w:rsid w:val="002043C5"/>
    <w:rsid w:val="00204E8C"/>
    <w:rsid w:val="002144EB"/>
    <w:rsid w:val="00220064"/>
    <w:rsid w:val="00220AF6"/>
    <w:rsid w:val="0022392F"/>
    <w:rsid w:val="002244ED"/>
    <w:rsid w:val="00225520"/>
    <w:rsid w:val="0022651B"/>
    <w:rsid w:val="0023102A"/>
    <w:rsid w:val="00234ADB"/>
    <w:rsid w:val="00241BFC"/>
    <w:rsid w:val="0024350D"/>
    <w:rsid w:val="002449C6"/>
    <w:rsid w:val="00244B41"/>
    <w:rsid w:val="002459A9"/>
    <w:rsid w:val="00246156"/>
    <w:rsid w:val="00250961"/>
    <w:rsid w:val="002510D2"/>
    <w:rsid w:val="00252121"/>
    <w:rsid w:val="00252538"/>
    <w:rsid w:val="00253152"/>
    <w:rsid w:val="0025387B"/>
    <w:rsid w:val="00254258"/>
    <w:rsid w:val="0025799A"/>
    <w:rsid w:val="00261809"/>
    <w:rsid w:val="00263F66"/>
    <w:rsid w:val="00267025"/>
    <w:rsid w:val="00285DF1"/>
    <w:rsid w:val="002958B5"/>
    <w:rsid w:val="002A3D8C"/>
    <w:rsid w:val="002A482F"/>
    <w:rsid w:val="002B1BAD"/>
    <w:rsid w:val="002B327B"/>
    <w:rsid w:val="002B32A7"/>
    <w:rsid w:val="002C15F9"/>
    <w:rsid w:val="002C182F"/>
    <w:rsid w:val="002C230C"/>
    <w:rsid w:val="002C31E2"/>
    <w:rsid w:val="002D161B"/>
    <w:rsid w:val="002D4771"/>
    <w:rsid w:val="002D569B"/>
    <w:rsid w:val="002D5A51"/>
    <w:rsid w:val="002E38FE"/>
    <w:rsid w:val="002E3982"/>
    <w:rsid w:val="002E3ED7"/>
    <w:rsid w:val="002E65A0"/>
    <w:rsid w:val="002E7447"/>
    <w:rsid w:val="002F3437"/>
    <w:rsid w:val="00300C69"/>
    <w:rsid w:val="00301094"/>
    <w:rsid w:val="00303B57"/>
    <w:rsid w:val="00303FE0"/>
    <w:rsid w:val="0030465A"/>
    <w:rsid w:val="00304BE8"/>
    <w:rsid w:val="00306AD4"/>
    <w:rsid w:val="00307C45"/>
    <w:rsid w:val="00307FC3"/>
    <w:rsid w:val="00310310"/>
    <w:rsid w:val="00315DA3"/>
    <w:rsid w:val="00315E11"/>
    <w:rsid w:val="003161EE"/>
    <w:rsid w:val="003204C6"/>
    <w:rsid w:val="00320A01"/>
    <w:rsid w:val="00322352"/>
    <w:rsid w:val="0032349E"/>
    <w:rsid w:val="003237FE"/>
    <w:rsid w:val="00324946"/>
    <w:rsid w:val="00341BC3"/>
    <w:rsid w:val="00343471"/>
    <w:rsid w:val="0034493F"/>
    <w:rsid w:val="00345B3B"/>
    <w:rsid w:val="00353CF4"/>
    <w:rsid w:val="00353FC7"/>
    <w:rsid w:val="00354C1F"/>
    <w:rsid w:val="00357AFC"/>
    <w:rsid w:val="00366EF4"/>
    <w:rsid w:val="00367797"/>
    <w:rsid w:val="003758A1"/>
    <w:rsid w:val="00384135"/>
    <w:rsid w:val="00390CC4"/>
    <w:rsid w:val="00391EF1"/>
    <w:rsid w:val="00397353"/>
    <w:rsid w:val="003974CA"/>
    <w:rsid w:val="003C0B94"/>
    <w:rsid w:val="003C1365"/>
    <w:rsid w:val="003C3949"/>
    <w:rsid w:val="003D1179"/>
    <w:rsid w:val="003D194E"/>
    <w:rsid w:val="003D561D"/>
    <w:rsid w:val="003E07F3"/>
    <w:rsid w:val="003E11F9"/>
    <w:rsid w:val="003E49D8"/>
    <w:rsid w:val="003E580D"/>
    <w:rsid w:val="003E669E"/>
    <w:rsid w:val="003F1470"/>
    <w:rsid w:val="003F269F"/>
    <w:rsid w:val="003F37C8"/>
    <w:rsid w:val="003F6967"/>
    <w:rsid w:val="00403D04"/>
    <w:rsid w:val="00413088"/>
    <w:rsid w:val="00413112"/>
    <w:rsid w:val="00420478"/>
    <w:rsid w:val="00420EFE"/>
    <w:rsid w:val="004244DF"/>
    <w:rsid w:val="00425C15"/>
    <w:rsid w:val="00432F15"/>
    <w:rsid w:val="00433FED"/>
    <w:rsid w:val="00435D8A"/>
    <w:rsid w:val="00436415"/>
    <w:rsid w:val="004412F3"/>
    <w:rsid w:val="00455BE1"/>
    <w:rsid w:val="004575D1"/>
    <w:rsid w:val="00457B10"/>
    <w:rsid w:val="00457F24"/>
    <w:rsid w:val="00461206"/>
    <w:rsid w:val="00463530"/>
    <w:rsid w:val="00466B3F"/>
    <w:rsid w:val="00467757"/>
    <w:rsid w:val="00474047"/>
    <w:rsid w:val="00477A4F"/>
    <w:rsid w:val="00477FAE"/>
    <w:rsid w:val="00482B95"/>
    <w:rsid w:val="00486A8D"/>
    <w:rsid w:val="00492B60"/>
    <w:rsid w:val="0049363A"/>
    <w:rsid w:val="00495189"/>
    <w:rsid w:val="004A055A"/>
    <w:rsid w:val="004A53E9"/>
    <w:rsid w:val="004A55FC"/>
    <w:rsid w:val="004B0A2E"/>
    <w:rsid w:val="004B0A88"/>
    <w:rsid w:val="004B73FB"/>
    <w:rsid w:val="004C2C88"/>
    <w:rsid w:val="004C75D4"/>
    <w:rsid w:val="004D38CF"/>
    <w:rsid w:val="004D4DEA"/>
    <w:rsid w:val="004E377C"/>
    <w:rsid w:val="004E4939"/>
    <w:rsid w:val="004E58B2"/>
    <w:rsid w:val="004E59CC"/>
    <w:rsid w:val="004F3153"/>
    <w:rsid w:val="00501F1B"/>
    <w:rsid w:val="00504359"/>
    <w:rsid w:val="005061B4"/>
    <w:rsid w:val="00506EDD"/>
    <w:rsid w:val="0051427B"/>
    <w:rsid w:val="00521D13"/>
    <w:rsid w:val="00525701"/>
    <w:rsid w:val="005279B8"/>
    <w:rsid w:val="005361D5"/>
    <w:rsid w:val="00536E16"/>
    <w:rsid w:val="005373B8"/>
    <w:rsid w:val="00542B6B"/>
    <w:rsid w:val="00544994"/>
    <w:rsid w:val="00547EBB"/>
    <w:rsid w:val="005510FF"/>
    <w:rsid w:val="00552CDB"/>
    <w:rsid w:val="005734A9"/>
    <w:rsid w:val="0057586B"/>
    <w:rsid w:val="00577D54"/>
    <w:rsid w:val="00577FA9"/>
    <w:rsid w:val="00581C89"/>
    <w:rsid w:val="00587ED6"/>
    <w:rsid w:val="005915C8"/>
    <w:rsid w:val="005A3CF1"/>
    <w:rsid w:val="005B0CCC"/>
    <w:rsid w:val="005B1AD7"/>
    <w:rsid w:val="005B1E2D"/>
    <w:rsid w:val="005B5DEC"/>
    <w:rsid w:val="005C1203"/>
    <w:rsid w:val="005C2E1E"/>
    <w:rsid w:val="005C347B"/>
    <w:rsid w:val="005C3A83"/>
    <w:rsid w:val="005C7A23"/>
    <w:rsid w:val="005D0FE5"/>
    <w:rsid w:val="005D23CA"/>
    <w:rsid w:val="005D5E11"/>
    <w:rsid w:val="005E023D"/>
    <w:rsid w:val="005E0A25"/>
    <w:rsid w:val="005E396E"/>
    <w:rsid w:val="005F01D0"/>
    <w:rsid w:val="005F0B4C"/>
    <w:rsid w:val="005F167D"/>
    <w:rsid w:val="005F5F64"/>
    <w:rsid w:val="0060260F"/>
    <w:rsid w:val="0060280C"/>
    <w:rsid w:val="00611B52"/>
    <w:rsid w:val="006143FE"/>
    <w:rsid w:val="00615918"/>
    <w:rsid w:val="00616D07"/>
    <w:rsid w:val="00617C80"/>
    <w:rsid w:val="00622843"/>
    <w:rsid w:val="00622C36"/>
    <w:rsid w:val="00625CFF"/>
    <w:rsid w:val="00631075"/>
    <w:rsid w:val="006340A1"/>
    <w:rsid w:val="00634B04"/>
    <w:rsid w:val="00635751"/>
    <w:rsid w:val="00635D44"/>
    <w:rsid w:val="0064157F"/>
    <w:rsid w:val="00644783"/>
    <w:rsid w:val="006523D1"/>
    <w:rsid w:val="00662E87"/>
    <w:rsid w:val="00663EC3"/>
    <w:rsid w:val="0066458F"/>
    <w:rsid w:val="006653D2"/>
    <w:rsid w:val="006755EC"/>
    <w:rsid w:val="00677964"/>
    <w:rsid w:val="00681765"/>
    <w:rsid w:val="00683340"/>
    <w:rsid w:val="00685914"/>
    <w:rsid w:val="00685BBF"/>
    <w:rsid w:val="006870F0"/>
    <w:rsid w:val="0069212E"/>
    <w:rsid w:val="006A0FDC"/>
    <w:rsid w:val="006C2FB4"/>
    <w:rsid w:val="006C31FF"/>
    <w:rsid w:val="006D28F6"/>
    <w:rsid w:val="006D298A"/>
    <w:rsid w:val="006D2E5B"/>
    <w:rsid w:val="006D4C6E"/>
    <w:rsid w:val="006E01F6"/>
    <w:rsid w:val="006E0323"/>
    <w:rsid w:val="006E0DD8"/>
    <w:rsid w:val="006E232B"/>
    <w:rsid w:val="006E4983"/>
    <w:rsid w:val="006F2DD3"/>
    <w:rsid w:val="006F4203"/>
    <w:rsid w:val="00700023"/>
    <w:rsid w:val="00702D91"/>
    <w:rsid w:val="007061A3"/>
    <w:rsid w:val="00710B0B"/>
    <w:rsid w:val="00713A6D"/>
    <w:rsid w:val="00713E88"/>
    <w:rsid w:val="007219B4"/>
    <w:rsid w:val="0073484D"/>
    <w:rsid w:val="00734B24"/>
    <w:rsid w:val="00741B8C"/>
    <w:rsid w:val="00750870"/>
    <w:rsid w:val="00754B50"/>
    <w:rsid w:val="00760700"/>
    <w:rsid w:val="00760EED"/>
    <w:rsid w:val="00766250"/>
    <w:rsid w:val="007671E1"/>
    <w:rsid w:val="00771E5E"/>
    <w:rsid w:val="00772041"/>
    <w:rsid w:val="00775A13"/>
    <w:rsid w:val="00780F25"/>
    <w:rsid w:val="00782B79"/>
    <w:rsid w:val="00783F19"/>
    <w:rsid w:val="007A0F2E"/>
    <w:rsid w:val="007B1F5D"/>
    <w:rsid w:val="007B77CC"/>
    <w:rsid w:val="007B79D0"/>
    <w:rsid w:val="007C5AB9"/>
    <w:rsid w:val="007D1F91"/>
    <w:rsid w:val="007D2ACD"/>
    <w:rsid w:val="007D6636"/>
    <w:rsid w:val="007E3867"/>
    <w:rsid w:val="007E479F"/>
    <w:rsid w:val="007E72CE"/>
    <w:rsid w:val="007F00FD"/>
    <w:rsid w:val="007F273F"/>
    <w:rsid w:val="007F2E7A"/>
    <w:rsid w:val="007F573A"/>
    <w:rsid w:val="007F61FC"/>
    <w:rsid w:val="00800AA5"/>
    <w:rsid w:val="00800FF3"/>
    <w:rsid w:val="00803E28"/>
    <w:rsid w:val="008041BA"/>
    <w:rsid w:val="00805C91"/>
    <w:rsid w:val="00807014"/>
    <w:rsid w:val="008107FC"/>
    <w:rsid w:val="00811660"/>
    <w:rsid w:val="0081183E"/>
    <w:rsid w:val="0081594C"/>
    <w:rsid w:val="00817AB4"/>
    <w:rsid w:val="0082015C"/>
    <w:rsid w:val="00824777"/>
    <w:rsid w:val="00833215"/>
    <w:rsid w:val="00833B9A"/>
    <w:rsid w:val="00833DB3"/>
    <w:rsid w:val="00834B7C"/>
    <w:rsid w:val="008373D6"/>
    <w:rsid w:val="00842EE9"/>
    <w:rsid w:val="008459C5"/>
    <w:rsid w:val="00850264"/>
    <w:rsid w:val="0085297B"/>
    <w:rsid w:val="008539F4"/>
    <w:rsid w:val="00860B7C"/>
    <w:rsid w:val="008648FD"/>
    <w:rsid w:val="00864D1A"/>
    <w:rsid w:val="00865120"/>
    <w:rsid w:val="00867367"/>
    <w:rsid w:val="00875D3F"/>
    <w:rsid w:val="00885E19"/>
    <w:rsid w:val="00886DBA"/>
    <w:rsid w:val="0088719A"/>
    <w:rsid w:val="008872B6"/>
    <w:rsid w:val="008934D2"/>
    <w:rsid w:val="008941D6"/>
    <w:rsid w:val="00896A50"/>
    <w:rsid w:val="008A25F1"/>
    <w:rsid w:val="008A58BA"/>
    <w:rsid w:val="008A66EE"/>
    <w:rsid w:val="008A6FAB"/>
    <w:rsid w:val="008B2D05"/>
    <w:rsid w:val="008C6805"/>
    <w:rsid w:val="008D1BC1"/>
    <w:rsid w:val="008D45EF"/>
    <w:rsid w:val="008D793C"/>
    <w:rsid w:val="008E07D9"/>
    <w:rsid w:val="008E0CA5"/>
    <w:rsid w:val="008E3B9B"/>
    <w:rsid w:val="008E3F7A"/>
    <w:rsid w:val="008F2260"/>
    <w:rsid w:val="008F47DB"/>
    <w:rsid w:val="00902787"/>
    <w:rsid w:val="00904854"/>
    <w:rsid w:val="00905871"/>
    <w:rsid w:val="00906C95"/>
    <w:rsid w:val="00911303"/>
    <w:rsid w:val="00912B22"/>
    <w:rsid w:val="00924AEA"/>
    <w:rsid w:val="00925E58"/>
    <w:rsid w:val="0092657B"/>
    <w:rsid w:val="00926725"/>
    <w:rsid w:val="00930301"/>
    <w:rsid w:val="00931AD1"/>
    <w:rsid w:val="009422B2"/>
    <w:rsid w:val="009453F8"/>
    <w:rsid w:val="009456F9"/>
    <w:rsid w:val="00946436"/>
    <w:rsid w:val="009530B3"/>
    <w:rsid w:val="00961485"/>
    <w:rsid w:val="00962D66"/>
    <w:rsid w:val="00965B8B"/>
    <w:rsid w:val="009724B0"/>
    <w:rsid w:val="00975E7E"/>
    <w:rsid w:val="0097777E"/>
    <w:rsid w:val="009816EF"/>
    <w:rsid w:val="009831A6"/>
    <w:rsid w:val="00984B1E"/>
    <w:rsid w:val="00987D16"/>
    <w:rsid w:val="00994EE5"/>
    <w:rsid w:val="00994F79"/>
    <w:rsid w:val="009965EA"/>
    <w:rsid w:val="00996616"/>
    <w:rsid w:val="009A04BE"/>
    <w:rsid w:val="009A2F45"/>
    <w:rsid w:val="009B134B"/>
    <w:rsid w:val="009D040D"/>
    <w:rsid w:val="009D1762"/>
    <w:rsid w:val="009E12E2"/>
    <w:rsid w:val="009E29EA"/>
    <w:rsid w:val="009E537A"/>
    <w:rsid w:val="00A11DA7"/>
    <w:rsid w:val="00A12F89"/>
    <w:rsid w:val="00A22B4C"/>
    <w:rsid w:val="00A26553"/>
    <w:rsid w:val="00A34E6C"/>
    <w:rsid w:val="00A35CD7"/>
    <w:rsid w:val="00A42A4D"/>
    <w:rsid w:val="00A42CDB"/>
    <w:rsid w:val="00A42F0F"/>
    <w:rsid w:val="00A47F59"/>
    <w:rsid w:val="00A51F9A"/>
    <w:rsid w:val="00A5555A"/>
    <w:rsid w:val="00A55AAD"/>
    <w:rsid w:val="00A56E80"/>
    <w:rsid w:val="00A5782F"/>
    <w:rsid w:val="00A652C9"/>
    <w:rsid w:val="00A752A4"/>
    <w:rsid w:val="00A81067"/>
    <w:rsid w:val="00A87D32"/>
    <w:rsid w:val="00A91271"/>
    <w:rsid w:val="00AA1EA2"/>
    <w:rsid w:val="00AA3EAD"/>
    <w:rsid w:val="00AA453F"/>
    <w:rsid w:val="00AA5A80"/>
    <w:rsid w:val="00AB3C70"/>
    <w:rsid w:val="00AB5016"/>
    <w:rsid w:val="00AB55D4"/>
    <w:rsid w:val="00AB6D1C"/>
    <w:rsid w:val="00AC102D"/>
    <w:rsid w:val="00AD167E"/>
    <w:rsid w:val="00AD33B9"/>
    <w:rsid w:val="00AE0889"/>
    <w:rsid w:val="00AE1834"/>
    <w:rsid w:val="00AE3C07"/>
    <w:rsid w:val="00AE5F65"/>
    <w:rsid w:val="00AF1093"/>
    <w:rsid w:val="00AF6502"/>
    <w:rsid w:val="00B003B3"/>
    <w:rsid w:val="00B02F54"/>
    <w:rsid w:val="00B10356"/>
    <w:rsid w:val="00B13B3C"/>
    <w:rsid w:val="00B13B89"/>
    <w:rsid w:val="00B16BA1"/>
    <w:rsid w:val="00B16F49"/>
    <w:rsid w:val="00B21A7D"/>
    <w:rsid w:val="00B22616"/>
    <w:rsid w:val="00B2787A"/>
    <w:rsid w:val="00B33A5A"/>
    <w:rsid w:val="00B33F62"/>
    <w:rsid w:val="00B50836"/>
    <w:rsid w:val="00B53CFD"/>
    <w:rsid w:val="00B545FC"/>
    <w:rsid w:val="00B54891"/>
    <w:rsid w:val="00B552E1"/>
    <w:rsid w:val="00B564A4"/>
    <w:rsid w:val="00B56BDD"/>
    <w:rsid w:val="00B618F5"/>
    <w:rsid w:val="00B61AD3"/>
    <w:rsid w:val="00B70B11"/>
    <w:rsid w:val="00B74CE9"/>
    <w:rsid w:val="00B801F8"/>
    <w:rsid w:val="00B81AA8"/>
    <w:rsid w:val="00B87EC0"/>
    <w:rsid w:val="00B938C4"/>
    <w:rsid w:val="00BA30ED"/>
    <w:rsid w:val="00BA5DD4"/>
    <w:rsid w:val="00BB0451"/>
    <w:rsid w:val="00BB543C"/>
    <w:rsid w:val="00BB730D"/>
    <w:rsid w:val="00BB7491"/>
    <w:rsid w:val="00BC3DEA"/>
    <w:rsid w:val="00BC66DD"/>
    <w:rsid w:val="00BD16F5"/>
    <w:rsid w:val="00BE0726"/>
    <w:rsid w:val="00BE1D97"/>
    <w:rsid w:val="00BE25A1"/>
    <w:rsid w:val="00BE5F24"/>
    <w:rsid w:val="00BE74BB"/>
    <w:rsid w:val="00BF63A6"/>
    <w:rsid w:val="00BF77D9"/>
    <w:rsid w:val="00C020C0"/>
    <w:rsid w:val="00C04F13"/>
    <w:rsid w:val="00C1583B"/>
    <w:rsid w:val="00C15BEE"/>
    <w:rsid w:val="00C167A3"/>
    <w:rsid w:val="00C2002D"/>
    <w:rsid w:val="00C2362F"/>
    <w:rsid w:val="00C240E2"/>
    <w:rsid w:val="00C25F52"/>
    <w:rsid w:val="00C26106"/>
    <w:rsid w:val="00C26799"/>
    <w:rsid w:val="00C33CD1"/>
    <w:rsid w:val="00C34708"/>
    <w:rsid w:val="00C368A3"/>
    <w:rsid w:val="00C45430"/>
    <w:rsid w:val="00C55DB4"/>
    <w:rsid w:val="00C57753"/>
    <w:rsid w:val="00C60947"/>
    <w:rsid w:val="00C61C5C"/>
    <w:rsid w:val="00C639BA"/>
    <w:rsid w:val="00C63FFB"/>
    <w:rsid w:val="00C646C3"/>
    <w:rsid w:val="00C64DA3"/>
    <w:rsid w:val="00C6639C"/>
    <w:rsid w:val="00C704C4"/>
    <w:rsid w:val="00C70717"/>
    <w:rsid w:val="00C7098A"/>
    <w:rsid w:val="00C71B2A"/>
    <w:rsid w:val="00C72968"/>
    <w:rsid w:val="00C756C7"/>
    <w:rsid w:val="00C84428"/>
    <w:rsid w:val="00C84D15"/>
    <w:rsid w:val="00C850F6"/>
    <w:rsid w:val="00C86C7A"/>
    <w:rsid w:val="00C8746F"/>
    <w:rsid w:val="00C92FB6"/>
    <w:rsid w:val="00C94389"/>
    <w:rsid w:val="00C9461A"/>
    <w:rsid w:val="00CA2D63"/>
    <w:rsid w:val="00CA4058"/>
    <w:rsid w:val="00CA42AB"/>
    <w:rsid w:val="00CA5787"/>
    <w:rsid w:val="00CB0364"/>
    <w:rsid w:val="00CB4119"/>
    <w:rsid w:val="00CB563A"/>
    <w:rsid w:val="00CB5825"/>
    <w:rsid w:val="00CB5D1E"/>
    <w:rsid w:val="00CB7B61"/>
    <w:rsid w:val="00CC1848"/>
    <w:rsid w:val="00CD5D54"/>
    <w:rsid w:val="00CD7347"/>
    <w:rsid w:val="00CE2039"/>
    <w:rsid w:val="00CE3ED2"/>
    <w:rsid w:val="00CE6055"/>
    <w:rsid w:val="00D127BC"/>
    <w:rsid w:val="00D216A2"/>
    <w:rsid w:val="00D2341B"/>
    <w:rsid w:val="00D26AAE"/>
    <w:rsid w:val="00D33A61"/>
    <w:rsid w:val="00D35535"/>
    <w:rsid w:val="00D362CE"/>
    <w:rsid w:val="00D438CE"/>
    <w:rsid w:val="00D5033C"/>
    <w:rsid w:val="00D503EE"/>
    <w:rsid w:val="00D67446"/>
    <w:rsid w:val="00D67FBE"/>
    <w:rsid w:val="00D7041F"/>
    <w:rsid w:val="00D82A78"/>
    <w:rsid w:val="00D87116"/>
    <w:rsid w:val="00D91146"/>
    <w:rsid w:val="00D91794"/>
    <w:rsid w:val="00D93B31"/>
    <w:rsid w:val="00D95B16"/>
    <w:rsid w:val="00DA0E9E"/>
    <w:rsid w:val="00DA2A0E"/>
    <w:rsid w:val="00DA317A"/>
    <w:rsid w:val="00DB427A"/>
    <w:rsid w:val="00DC0E37"/>
    <w:rsid w:val="00DC203E"/>
    <w:rsid w:val="00DC3741"/>
    <w:rsid w:val="00DC50C1"/>
    <w:rsid w:val="00DC5746"/>
    <w:rsid w:val="00DD0102"/>
    <w:rsid w:val="00DD4A26"/>
    <w:rsid w:val="00DD69AF"/>
    <w:rsid w:val="00DE2C1A"/>
    <w:rsid w:val="00DE4374"/>
    <w:rsid w:val="00DE7BBE"/>
    <w:rsid w:val="00DF233E"/>
    <w:rsid w:val="00DF2363"/>
    <w:rsid w:val="00DF7D3F"/>
    <w:rsid w:val="00E02340"/>
    <w:rsid w:val="00E062E1"/>
    <w:rsid w:val="00E10F1D"/>
    <w:rsid w:val="00E10F63"/>
    <w:rsid w:val="00E133B5"/>
    <w:rsid w:val="00E15463"/>
    <w:rsid w:val="00E20B29"/>
    <w:rsid w:val="00E234F6"/>
    <w:rsid w:val="00E256B3"/>
    <w:rsid w:val="00E258FD"/>
    <w:rsid w:val="00E318F9"/>
    <w:rsid w:val="00E33943"/>
    <w:rsid w:val="00E3651D"/>
    <w:rsid w:val="00E5081B"/>
    <w:rsid w:val="00E54310"/>
    <w:rsid w:val="00E54F3F"/>
    <w:rsid w:val="00E61355"/>
    <w:rsid w:val="00E628BB"/>
    <w:rsid w:val="00E71A25"/>
    <w:rsid w:val="00E71DBF"/>
    <w:rsid w:val="00E744D3"/>
    <w:rsid w:val="00E750DB"/>
    <w:rsid w:val="00E75F7A"/>
    <w:rsid w:val="00E8161D"/>
    <w:rsid w:val="00E82B72"/>
    <w:rsid w:val="00E8359B"/>
    <w:rsid w:val="00E83D4A"/>
    <w:rsid w:val="00E85D3C"/>
    <w:rsid w:val="00E8604E"/>
    <w:rsid w:val="00E94AEA"/>
    <w:rsid w:val="00EB20DB"/>
    <w:rsid w:val="00EB4552"/>
    <w:rsid w:val="00EC5ED0"/>
    <w:rsid w:val="00ED3F68"/>
    <w:rsid w:val="00EE2E2A"/>
    <w:rsid w:val="00EF058A"/>
    <w:rsid w:val="00EF0742"/>
    <w:rsid w:val="00EF0947"/>
    <w:rsid w:val="00EF3BBE"/>
    <w:rsid w:val="00F01120"/>
    <w:rsid w:val="00F03A46"/>
    <w:rsid w:val="00F04D2B"/>
    <w:rsid w:val="00F06005"/>
    <w:rsid w:val="00F14DDB"/>
    <w:rsid w:val="00F156FC"/>
    <w:rsid w:val="00F204E8"/>
    <w:rsid w:val="00F2402D"/>
    <w:rsid w:val="00F35579"/>
    <w:rsid w:val="00F43C4A"/>
    <w:rsid w:val="00F45B59"/>
    <w:rsid w:val="00F50067"/>
    <w:rsid w:val="00F5419D"/>
    <w:rsid w:val="00F57F5F"/>
    <w:rsid w:val="00F66B6D"/>
    <w:rsid w:val="00F70801"/>
    <w:rsid w:val="00F72C48"/>
    <w:rsid w:val="00F75CC8"/>
    <w:rsid w:val="00F804D5"/>
    <w:rsid w:val="00F81969"/>
    <w:rsid w:val="00F94CB7"/>
    <w:rsid w:val="00F9528F"/>
    <w:rsid w:val="00FA030A"/>
    <w:rsid w:val="00FA3D38"/>
    <w:rsid w:val="00FA3F31"/>
    <w:rsid w:val="00FA7AD7"/>
    <w:rsid w:val="00FB5F86"/>
    <w:rsid w:val="00FB6A34"/>
    <w:rsid w:val="00FB7C03"/>
    <w:rsid w:val="00FC0BEF"/>
    <w:rsid w:val="00FC48E8"/>
    <w:rsid w:val="00FC4AD9"/>
    <w:rsid w:val="00FD5AD8"/>
    <w:rsid w:val="00FD6062"/>
    <w:rsid w:val="00FE6D3E"/>
    <w:rsid w:val="00FF4C63"/>
    <w:rsid w:val="00FF539D"/>
    <w:rsid w:val="00FF5B2F"/>
    <w:rsid w:val="00FF78C9"/>
    <w:rsid w:val="0289A3C9"/>
    <w:rsid w:val="0E8D2598"/>
    <w:rsid w:val="12E559E2"/>
    <w:rsid w:val="154027D5"/>
    <w:rsid w:val="1BCC47A7"/>
    <w:rsid w:val="2E819933"/>
    <w:rsid w:val="3216854F"/>
    <w:rsid w:val="5467F7FB"/>
    <w:rsid w:val="62188CE4"/>
    <w:rsid w:val="6A210A36"/>
    <w:rsid w:val="6ADE1922"/>
    <w:rsid w:val="78D71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0BCF"/>
  <w15:chartTrackingRefBased/>
  <w15:docId w15:val="{F0B8EDC7-F39F-4E9A-A92C-C74CCA13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3FED"/>
    <w:pPr>
      <w:spacing w:after="0" w:line="260" w:lineRule="atLeast"/>
    </w:pPr>
    <w:rPr>
      <w:rFonts w:ascii="Times New Roman" w:hAnsi="Times New Roman"/>
      <w:kern w:val="0"/>
      <w:szCs w:val="20"/>
      <w14:ligatures w14:val="none"/>
    </w:rPr>
  </w:style>
  <w:style w:type="paragraph" w:styleId="Heading1">
    <w:name w:val="heading 1"/>
    <w:basedOn w:val="Normal"/>
    <w:next w:val="Normal"/>
    <w:link w:val="Heading1Char"/>
    <w:uiPriority w:val="9"/>
    <w:qFormat/>
    <w:rsid w:val="00433FED"/>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nhideWhenUsed/>
    <w:qFormat/>
    <w:rsid w:val="00433FED"/>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semiHidden/>
    <w:unhideWhenUsed/>
    <w:qFormat/>
    <w:rsid w:val="00433FED"/>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433FED"/>
    <w:pPr>
      <w:keepNext/>
      <w:keepLines/>
      <w:spacing w:before="20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433FED"/>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qFormat/>
    <w:rsid w:val="00433FED"/>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433F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3FE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33FE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CParaBase">
    <w:name w:val="OPCParaBase"/>
    <w:qFormat/>
    <w:rsid w:val="00433FED"/>
    <w:pPr>
      <w:spacing w:after="0" w:line="260" w:lineRule="atLeast"/>
    </w:pPr>
    <w:rPr>
      <w:rFonts w:ascii="Times New Roman" w:eastAsia="Times New Roman" w:hAnsi="Times New Roman" w:cs="Times New Roman"/>
      <w:kern w:val="0"/>
      <w:szCs w:val="20"/>
      <w:lang w:eastAsia="en-AU"/>
      <w14:ligatures w14:val="none"/>
    </w:rPr>
  </w:style>
  <w:style w:type="paragraph" w:customStyle="1" w:styleId="ActHead1">
    <w:name w:val="ActHead 1"/>
    <w:aliases w:val="c"/>
    <w:basedOn w:val="OPCParaBase"/>
    <w:next w:val="Normal"/>
    <w:qFormat/>
    <w:rsid w:val="00433F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3F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3F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3F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3F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3F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3F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3F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3FED"/>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433FED"/>
    <w:pPr>
      <w:spacing w:line="240" w:lineRule="auto"/>
    </w:pPr>
    <w:rPr>
      <w:b/>
      <w:sz w:val="40"/>
    </w:rPr>
  </w:style>
  <w:style w:type="paragraph" w:customStyle="1" w:styleId="Actno">
    <w:name w:val="Actno"/>
    <w:basedOn w:val="ShortT"/>
    <w:next w:val="Normal"/>
    <w:qFormat/>
    <w:rsid w:val="00433FED"/>
  </w:style>
  <w:style w:type="paragraph" w:styleId="BalloonText">
    <w:name w:val="Balloon Text"/>
    <w:basedOn w:val="Normal"/>
    <w:link w:val="BalloonTextChar"/>
    <w:uiPriority w:val="99"/>
    <w:semiHidden/>
    <w:unhideWhenUsed/>
    <w:rsid w:val="00433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FED"/>
    <w:rPr>
      <w:rFonts w:ascii="Tahoma" w:hAnsi="Tahoma" w:cs="Tahoma"/>
      <w:kern w:val="0"/>
      <w:sz w:val="16"/>
      <w:szCs w:val="16"/>
      <w14:ligatures w14:val="none"/>
    </w:rPr>
  </w:style>
  <w:style w:type="paragraph" w:customStyle="1" w:styleId="Blocks">
    <w:name w:val="Blocks"/>
    <w:aliases w:val="bb"/>
    <w:basedOn w:val="OPCParaBase"/>
    <w:qFormat/>
    <w:rsid w:val="00433FED"/>
    <w:pPr>
      <w:spacing w:line="240" w:lineRule="auto"/>
    </w:pPr>
    <w:rPr>
      <w:sz w:val="24"/>
    </w:rPr>
  </w:style>
  <w:style w:type="paragraph" w:customStyle="1" w:styleId="BodyNum">
    <w:name w:val="BodyNum"/>
    <w:aliases w:val="b1"/>
    <w:basedOn w:val="OPCParaBase"/>
    <w:rsid w:val="00433FED"/>
    <w:pPr>
      <w:numPr>
        <w:numId w:val="11"/>
      </w:numPr>
      <w:spacing w:before="240" w:line="240" w:lineRule="auto"/>
    </w:pPr>
    <w:rPr>
      <w:sz w:val="24"/>
    </w:rPr>
  </w:style>
  <w:style w:type="paragraph" w:customStyle="1" w:styleId="BodyPara">
    <w:name w:val="BodyPara"/>
    <w:aliases w:val="ba"/>
    <w:basedOn w:val="OPCParaBase"/>
    <w:rsid w:val="00433FED"/>
    <w:pPr>
      <w:numPr>
        <w:ilvl w:val="1"/>
        <w:numId w:val="11"/>
      </w:numPr>
      <w:spacing w:before="240" w:line="240" w:lineRule="auto"/>
    </w:pPr>
    <w:rPr>
      <w:sz w:val="24"/>
    </w:rPr>
  </w:style>
  <w:style w:type="paragraph" w:customStyle="1" w:styleId="BoxText">
    <w:name w:val="BoxText"/>
    <w:aliases w:val="bt"/>
    <w:basedOn w:val="OPCParaBase"/>
    <w:qFormat/>
    <w:rsid w:val="00433F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3FED"/>
    <w:rPr>
      <w:b/>
    </w:rPr>
  </w:style>
  <w:style w:type="paragraph" w:customStyle="1" w:styleId="BoxHeadItalic">
    <w:name w:val="BoxHeadItalic"/>
    <w:aliases w:val="bhi"/>
    <w:basedOn w:val="BoxText"/>
    <w:next w:val="BoxStep"/>
    <w:qFormat/>
    <w:rsid w:val="00433FED"/>
    <w:rPr>
      <w:i/>
    </w:rPr>
  </w:style>
  <w:style w:type="paragraph" w:customStyle="1" w:styleId="BoxList">
    <w:name w:val="BoxList"/>
    <w:aliases w:val="bl"/>
    <w:basedOn w:val="BoxText"/>
    <w:qFormat/>
    <w:rsid w:val="00433FED"/>
    <w:pPr>
      <w:ind w:left="1559" w:hanging="425"/>
    </w:pPr>
  </w:style>
  <w:style w:type="paragraph" w:customStyle="1" w:styleId="BoxNote">
    <w:name w:val="BoxNote"/>
    <w:aliases w:val="bn"/>
    <w:basedOn w:val="BoxText"/>
    <w:qFormat/>
    <w:rsid w:val="00433FED"/>
    <w:pPr>
      <w:tabs>
        <w:tab w:val="left" w:pos="1985"/>
      </w:tabs>
      <w:spacing w:before="122" w:line="198" w:lineRule="exact"/>
      <w:ind w:left="2948" w:hanging="1814"/>
    </w:pPr>
    <w:rPr>
      <w:sz w:val="18"/>
    </w:rPr>
  </w:style>
  <w:style w:type="paragraph" w:customStyle="1" w:styleId="BoxPara">
    <w:name w:val="BoxPara"/>
    <w:aliases w:val="bp"/>
    <w:basedOn w:val="BoxText"/>
    <w:qFormat/>
    <w:rsid w:val="00433FED"/>
    <w:pPr>
      <w:tabs>
        <w:tab w:val="right" w:pos="2268"/>
      </w:tabs>
      <w:ind w:left="2552" w:hanging="1418"/>
    </w:pPr>
  </w:style>
  <w:style w:type="paragraph" w:customStyle="1" w:styleId="BoxStep">
    <w:name w:val="BoxStep"/>
    <w:aliases w:val="bs"/>
    <w:basedOn w:val="BoxText"/>
    <w:qFormat/>
    <w:rsid w:val="00433FED"/>
    <w:pPr>
      <w:ind w:left="1985" w:hanging="851"/>
    </w:pPr>
  </w:style>
  <w:style w:type="table" w:customStyle="1" w:styleId="CFlag">
    <w:name w:val="CFlag"/>
    <w:basedOn w:val="TableNormal"/>
    <w:uiPriority w:val="99"/>
    <w:rsid w:val="00433FED"/>
    <w:pPr>
      <w:spacing w:after="0" w:line="240" w:lineRule="auto"/>
    </w:pPr>
    <w:rPr>
      <w:rFonts w:ascii="Times New Roman" w:eastAsia="Times New Roman" w:hAnsi="Times New Roman" w:cs="Times New Roman"/>
      <w:kern w:val="0"/>
      <w:sz w:val="20"/>
      <w:szCs w:val="20"/>
      <w:lang w:eastAsia="en-AU"/>
      <w14:ligatures w14:val="none"/>
    </w:rPr>
    <w:tblPr/>
  </w:style>
  <w:style w:type="character" w:customStyle="1" w:styleId="OPCCharBase">
    <w:name w:val="OPCCharBase"/>
    <w:uiPriority w:val="1"/>
    <w:qFormat/>
    <w:rsid w:val="00433FED"/>
  </w:style>
  <w:style w:type="character" w:customStyle="1" w:styleId="CharAmPartNo">
    <w:name w:val="CharAmPartNo"/>
    <w:basedOn w:val="OPCCharBase"/>
    <w:uiPriority w:val="1"/>
    <w:qFormat/>
    <w:rsid w:val="00433FED"/>
  </w:style>
  <w:style w:type="character" w:customStyle="1" w:styleId="CharAmPartText">
    <w:name w:val="CharAmPartText"/>
    <w:basedOn w:val="OPCCharBase"/>
    <w:uiPriority w:val="1"/>
    <w:qFormat/>
    <w:rsid w:val="00433FED"/>
  </w:style>
  <w:style w:type="character" w:customStyle="1" w:styleId="CharAmSchNo">
    <w:name w:val="CharAmSchNo"/>
    <w:basedOn w:val="OPCCharBase"/>
    <w:uiPriority w:val="1"/>
    <w:qFormat/>
    <w:rsid w:val="00433FED"/>
  </w:style>
  <w:style w:type="character" w:customStyle="1" w:styleId="CharAmSchText">
    <w:name w:val="CharAmSchText"/>
    <w:basedOn w:val="OPCCharBase"/>
    <w:uiPriority w:val="1"/>
    <w:qFormat/>
    <w:rsid w:val="00433FED"/>
  </w:style>
  <w:style w:type="character" w:customStyle="1" w:styleId="CharBoldItalic">
    <w:name w:val="CharBoldItalic"/>
    <w:basedOn w:val="OPCCharBase"/>
    <w:uiPriority w:val="1"/>
    <w:qFormat/>
    <w:rsid w:val="00433FED"/>
    <w:rPr>
      <w:b/>
      <w:i/>
    </w:rPr>
  </w:style>
  <w:style w:type="character" w:customStyle="1" w:styleId="CharChapNo">
    <w:name w:val="CharChapNo"/>
    <w:basedOn w:val="OPCCharBase"/>
    <w:qFormat/>
    <w:rsid w:val="00433FED"/>
  </w:style>
  <w:style w:type="character" w:customStyle="1" w:styleId="CharChapText">
    <w:name w:val="CharChapText"/>
    <w:basedOn w:val="OPCCharBase"/>
    <w:qFormat/>
    <w:rsid w:val="00433FED"/>
  </w:style>
  <w:style w:type="character" w:customStyle="1" w:styleId="CharDivNo">
    <w:name w:val="CharDivNo"/>
    <w:basedOn w:val="OPCCharBase"/>
    <w:qFormat/>
    <w:rsid w:val="00433FED"/>
  </w:style>
  <w:style w:type="character" w:customStyle="1" w:styleId="CharDivText">
    <w:name w:val="CharDivText"/>
    <w:basedOn w:val="OPCCharBase"/>
    <w:qFormat/>
    <w:rsid w:val="00433FED"/>
  </w:style>
  <w:style w:type="character" w:customStyle="1" w:styleId="CharItalic">
    <w:name w:val="CharItalic"/>
    <w:basedOn w:val="OPCCharBase"/>
    <w:uiPriority w:val="1"/>
    <w:qFormat/>
    <w:rsid w:val="00433FED"/>
    <w:rPr>
      <w:i/>
    </w:rPr>
  </w:style>
  <w:style w:type="character" w:customStyle="1" w:styleId="CharPartNo">
    <w:name w:val="CharPartNo"/>
    <w:basedOn w:val="OPCCharBase"/>
    <w:qFormat/>
    <w:rsid w:val="00433FED"/>
  </w:style>
  <w:style w:type="character" w:customStyle="1" w:styleId="CharPartText">
    <w:name w:val="CharPartText"/>
    <w:basedOn w:val="OPCCharBase"/>
    <w:qFormat/>
    <w:rsid w:val="00433FED"/>
  </w:style>
  <w:style w:type="character" w:customStyle="1" w:styleId="CharSectno">
    <w:name w:val="CharSectno"/>
    <w:basedOn w:val="OPCCharBase"/>
    <w:qFormat/>
    <w:rsid w:val="00433FED"/>
  </w:style>
  <w:style w:type="character" w:customStyle="1" w:styleId="CharSubdNo">
    <w:name w:val="CharSubdNo"/>
    <w:basedOn w:val="OPCCharBase"/>
    <w:uiPriority w:val="1"/>
    <w:qFormat/>
    <w:rsid w:val="00433FED"/>
  </w:style>
  <w:style w:type="character" w:customStyle="1" w:styleId="CharSubdText">
    <w:name w:val="CharSubdText"/>
    <w:basedOn w:val="OPCCharBase"/>
    <w:uiPriority w:val="1"/>
    <w:qFormat/>
    <w:rsid w:val="00433FED"/>
  </w:style>
  <w:style w:type="character" w:customStyle="1" w:styleId="CharSubPartNoCASA">
    <w:name w:val="CharSubPartNo(CASA)"/>
    <w:basedOn w:val="OPCCharBase"/>
    <w:uiPriority w:val="1"/>
    <w:rsid w:val="00433FED"/>
  </w:style>
  <w:style w:type="character" w:customStyle="1" w:styleId="CharSubPartTextCASA">
    <w:name w:val="CharSubPartText(CASA)"/>
    <w:basedOn w:val="OPCCharBase"/>
    <w:uiPriority w:val="1"/>
    <w:rsid w:val="00433FED"/>
  </w:style>
  <w:style w:type="paragraph" w:customStyle="1" w:styleId="CompiledActNo">
    <w:name w:val="CompiledActNo"/>
    <w:basedOn w:val="OPCParaBase"/>
    <w:next w:val="Normal"/>
    <w:rsid w:val="00433FED"/>
    <w:rPr>
      <w:b/>
      <w:sz w:val="24"/>
      <w:szCs w:val="24"/>
    </w:rPr>
  </w:style>
  <w:style w:type="paragraph" w:customStyle="1" w:styleId="CompiledMadeUnder">
    <w:name w:val="CompiledMadeUnder"/>
    <w:basedOn w:val="OPCParaBase"/>
    <w:next w:val="Normal"/>
    <w:rsid w:val="00433FED"/>
    <w:rPr>
      <w:i/>
      <w:sz w:val="24"/>
      <w:szCs w:val="24"/>
    </w:rPr>
  </w:style>
  <w:style w:type="paragraph" w:customStyle="1" w:styleId="CTA-">
    <w:name w:val="CTA -"/>
    <w:basedOn w:val="OPCParaBase"/>
    <w:rsid w:val="00433FED"/>
    <w:pPr>
      <w:spacing w:before="60" w:line="240" w:lineRule="atLeast"/>
      <w:ind w:left="85" w:hanging="85"/>
    </w:pPr>
    <w:rPr>
      <w:sz w:val="20"/>
    </w:rPr>
  </w:style>
  <w:style w:type="paragraph" w:customStyle="1" w:styleId="CTA--">
    <w:name w:val="CTA --"/>
    <w:basedOn w:val="OPCParaBase"/>
    <w:next w:val="Normal"/>
    <w:rsid w:val="00433FED"/>
    <w:pPr>
      <w:spacing w:before="60" w:line="240" w:lineRule="atLeast"/>
      <w:ind w:left="142" w:hanging="142"/>
    </w:pPr>
    <w:rPr>
      <w:sz w:val="20"/>
    </w:rPr>
  </w:style>
  <w:style w:type="paragraph" w:customStyle="1" w:styleId="CTA---">
    <w:name w:val="CTA ---"/>
    <w:basedOn w:val="OPCParaBase"/>
    <w:next w:val="Normal"/>
    <w:rsid w:val="00433FED"/>
    <w:pPr>
      <w:spacing w:before="60" w:line="240" w:lineRule="atLeast"/>
      <w:ind w:left="198" w:hanging="198"/>
    </w:pPr>
    <w:rPr>
      <w:sz w:val="20"/>
    </w:rPr>
  </w:style>
  <w:style w:type="paragraph" w:customStyle="1" w:styleId="CTA----">
    <w:name w:val="CTA ----"/>
    <w:basedOn w:val="OPCParaBase"/>
    <w:next w:val="Normal"/>
    <w:rsid w:val="00433FED"/>
    <w:pPr>
      <w:spacing w:before="60" w:line="240" w:lineRule="atLeast"/>
      <w:ind w:left="255" w:hanging="255"/>
    </w:pPr>
    <w:rPr>
      <w:sz w:val="20"/>
    </w:rPr>
  </w:style>
  <w:style w:type="paragraph" w:customStyle="1" w:styleId="CTA1a">
    <w:name w:val="CTA 1(a)"/>
    <w:basedOn w:val="OPCParaBase"/>
    <w:rsid w:val="00433FED"/>
    <w:pPr>
      <w:tabs>
        <w:tab w:val="right" w:pos="414"/>
      </w:tabs>
      <w:spacing w:before="40" w:line="240" w:lineRule="atLeast"/>
      <w:ind w:left="675" w:hanging="675"/>
    </w:pPr>
    <w:rPr>
      <w:sz w:val="20"/>
    </w:rPr>
  </w:style>
  <w:style w:type="paragraph" w:customStyle="1" w:styleId="CTA1ai">
    <w:name w:val="CTA 1(a)(i)"/>
    <w:basedOn w:val="OPCParaBase"/>
    <w:rsid w:val="00433FED"/>
    <w:pPr>
      <w:tabs>
        <w:tab w:val="right" w:pos="1004"/>
      </w:tabs>
      <w:spacing w:before="40" w:line="240" w:lineRule="atLeast"/>
      <w:ind w:left="1253" w:hanging="1253"/>
    </w:pPr>
    <w:rPr>
      <w:sz w:val="20"/>
    </w:rPr>
  </w:style>
  <w:style w:type="paragraph" w:customStyle="1" w:styleId="CTA2a">
    <w:name w:val="CTA 2(a)"/>
    <w:basedOn w:val="OPCParaBase"/>
    <w:rsid w:val="00433FED"/>
    <w:pPr>
      <w:tabs>
        <w:tab w:val="right" w:pos="482"/>
      </w:tabs>
      <w:spacing w:before="40" w:line="240" w:lineRule="atLeast"/>
      <w:ind w:left="748" w:hanging="748"/>
    </w:pPr>
    <w:rPr>
      <w:sz w:val="20"/>
    </w:rPr>
  </w:style>
  <w:style w:type="paragraph" w:customStyle="1" w:styleId="CTA2ai">
    <w:name w:val="CTA 2(a)(i)"/>
    <w:basedOn w:val="OPCParaBase"/>
    <w:rsid w:val="00433FED"/>
    <w:pPr>
      <w:tabs>
        <w:tab w:val="right" w:pos="1089"/>
      </w:tabs>
      <w:spacing w:before="40" w:line="240" w:lineRule="atLeast"/>
      <w:ind w:left="1327" w:hanging="1327"/>
    </w:pPr>
    <w:rPr>
      <w:sz w:val="20"/>
    </w:rPr>
  </w:style>
  <w:style w:type="paragraph" w:customStyle="1" w:styleId="CTA3a">
    <w:name w:val="CTA 3(a)"/>
    <w:basedOn w:val="OPCParaBase"/>
    <w:rsid w:val="00433FED"/>
    <w:pPr>
      <w:tabs>
        <w:tab w:val="right" w:pos="556"/>
      </w:tabs>
      <w:spacing w:before="40" w:line="240" w:lineRule="atLeast"/>
      <w:ind w:left="805" w:hanging="805"/>
    </w:pPr>
    <w:rPr>
      <w:sz w:val="20"/>
    </w:rPr>
  </w:style>
  <w:style w:type="paragraph" w:customStyle="1" w:styleId="CTA3ai">
    <w:name w:val="CTA 3(a)(i)"/>
    <w:basedOn w:val="OPCParaBase"/>
    <w:rsid w:val="00433FED"/>
    <w:pPr>
      <w:tabs>
        <w:tab w:val="right" w:pos="1140"/>
      </w:tabs>
      <w:spacing w:before="40" w:line="240" w:lineRule="atLeast"/>
      <w:ind w:left="1361" w:hanging="1361"/>
    </w:pPr>
    <w:rPr>
      <w:sz w:val="20"/>
    </w:rPr>
  </w:style>
  <w:style w:type="paragraph" w:customStyle="1" w:styleId="CTA4a">
    <w:name w:val="CTA 4(a)"/>
    <w:basedOn w:val="OPCParaBase"/>
    <w:rsid w:val="00433FED"/>
    <w:pPr>
      <w:tabs>
        <w:tab w:val="right" w:pos="624"/>
      </w:tabs>
      <w:spacing w:before="40" w:line="240" w:lineRule="atLeast"/>
      <w:ind w:left="873" w:hanging="873"/>
    </w:pPr>
    <w:rPr>
      <w:sz w:val="20"/>
    </w:rPr>
  </w:style>
  <w:style w:type="paragraph" w:customStyle="1" w:styleId="CTA4ai">
    <w:name w:val="CTA 4(a)(i)"/>
    <w:basedOn w:val="OPCParaBase"/>
    <w:rsid w:val="00433FED"/>
    <w:pPr>
      <w:tabs>
        <w:tab w:val="right" w:pos="1213"/>
      </w:tabs>
      <w:spacing w:before="40" w:line="240" w:lineRule="atLeast"/>
      <w:ind w:left="1452" w:hanging="1452"/>
    </w:pPr>
    <w:rPr>
      <w:sz w:val="20"/>
    </w:rPr>
  </w:style>
  <w:style w:type="paragraph" w:customStyle="1" w:styleId="CTACAPS">
    <w:name w:val="CTA CAPS"/>
    <w:basedOn w:val="OPCParaBase"/>
    <w:rsid w:val="00433FED"/>
    <w:pPr>
      <w:spacing w:before="60" w:line="240" w:lineRule="atLeast"/>
    </w:pPr>
    <w:rPr>
      <w:sz w:val="20"/>
    </w:rPr>
  </w:style>
  <w:style w:type="paragraph" w:customStyle="1" w:styleId="CTAright">
    <w:name w:val="CTA right"/>
    <w:basedOn w:val="OPCParaBase"/>
    <w:rsid w:val="00433FED"/>
    <w:pPr>
      <w:spacing w:before="60" w:line="240" w:lineRule="auto"/>
      <w:jc w:val="right"/>
    </w:pPr>
    <w:rPr>
      <w:sz w:val="20"/>
    </w:rPr>
  </w:style>
  <w:style w:type="paragraph" w:customStyle="1" w:styleId="Definition">
    <w:name w:val="Definition"/>
    <w:aliases w:val="dd"/>
    <w:basedOn w:val="OPCParaBase"/>
    <w:rsid w:val="00433FED"/>
    <w:pPr>
      <w:spacing w:before="180" w:line="240" w:lineRule="auto"/>
      <w:ind w:left="1134"/>
    </w:pPr>
  </w:style>
  <w:style w:type="paragraph" w:customStyle="1" w:styleId="DivisionMigration">
    <w:name w:val="DivisionMigration"/>
    <w:aliases w:val="dm"/>
    <w:basedOn w:val="OPCParaBase"/>
    <w:next w:val="Normal"/>
    <w:rsid w:val="00433FED"/>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433F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3F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33F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3FE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433FED"/>
    <w:pPr>
      <w:spacing w:before="120"/>
      <w:outlineLvl w:val="1"/>
    </w:pPr>
    <w:rPr>
      <w:b/>
      <w:sz w:val="28"/>
      <w:szCs w:val="28"/>
    </w:rPr>
  </w:style>
  <w:style w:type="paragraph" w:customStyle="1" w:styleId="ENotesHeading2">
    <w:name w:val="ENotesHeading 2"/>
    <w:aliases w:val="Enh2"/>
    <w:basedOn w:val="OPCParaBase"/>
    <w:next w:val="Normal"/>
    <w:rsid w:val="00433FED"/>
    <w:pPr>
      <w:spacing w:before="120" w:after="120"/>
      <w:outlineLvl w:val="2"/>
    </w:pPr>
    <w:rPr>
      <w:b/>
      <w:sz w:val="24"/>
      <w:szCs w:val="28"/>
    </w:rPr>
  </w:style>
  <w:style w:type="paragraph" w:customStyle="1" w:styleId="ENotesHeading3">
    <w:name w:val="ENotesHeading 3"/>
    <w:aliases w:val="Enh3"/>
    <w:basedOn w:val="OPCParaBase"/>
    <w:next w:val="Normal"/>
    <w:rsid w:val="00433FED"/>
    <w:pPr>
      <w:keepNext/>
      <w:spacing w:before="120" w:line="240" w:lineRule="auto"/>
      <w:outlineLvl w:val="4"/>
    </w:pPr>
    <w:rPr>
      <w:b/>
      <w:szCs w:val="24"/>
    </w:rPr>
  </w:style>
  <w:style w:type="paragraph" w:customStyle="1" w:styleId="ENotesText">
    <w:name w:val="ENotesText"/>
    <w:aliases w:val="Ent"/>
    <w:basedOn w:val="OPCParaBase"/>
    <w:next w:val="Normal"/>
    <w:rsid w:val="00433FED"/>
    <w:pPr>
      <w:spacing w:before="120"/>
    </w:pPr>
  </w:style>
  <w:style w:type="paragraph" w:customStyle="1" w:styleId="ENoteTableHeading">
    <w:name w:val="ENoteTableHeading"/>
    <w:aliases w:val="enth"/>
    <w:basedOn w:val="OPCParaBase"/>
    <w:rsid w:val="00433FED"/>
    <w:pPr>
      <w:keepNext/>
      <w:spacing w:before="60" w:line="240" w:lineRule="atLeast"/>
    </w:pPr>
    <w:rPr>
      <w:rFonts w:ascii="Arial" w:hAnsi="Arial"/>
      <w:b/>
      <w:sz w:val="16"/>
    </w:rPr>
  </w:style>
  <w:style w:type="paragraph" w:customStyle="1" w:styleId="ENoteTableText">
    <w:name w:val="ENoteTableText"/>
    <w:aliases w:val="entt"/>
    <w:basedOn w:val="OPCParaBase"/>
    <w:rsid w:val="00433FED"/>
    <w:pPr>
      <w:spacing w:before="60" w:line="240" w:lineRule="atLeast"/>
    </w:pPr>
    <w:rPr>
      <w:sz w:val="16"/>
    </w:rPr>
  </w:style>
  <w:style w:type="paragraph" w:customStyle="1" w:styleId="ENoteTTi">
    <w:name w:val="ENoteTTi"/>
    <w:aliases w:val="entti"/>
    <w:basedOn w:val="OPCParaBase"/>
    <w:rsid w:val="00433FED"/>
    <w:pPr>
      <w:keepNext/>
      <w:spacing w:before="60" w:line="240" w:lineRule="atLeast"/>
      <w:ind w:left="170"/>
    </w:pPr>
    <w:rPr>
      <w:sz w:val="16"/>
    </w:rPr>
  </w:style>
  <w:style w:type="paragraph" w:customStyle="1" w:styleId="ENoteTTIndentHeading">
    <w:name w:val="ENoteTTIndentHeading"/>
    <w:aliases w:val="enTTHi"/>
    <w:basedOn w:val="OPCParaBase"/>
    <w:rsid w:val="00433FED"/>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433FED"/>
    <w:pPr>
      <w:keepNext/>
      <w:spacing w:before="60" w:line="240" w:lineRule="atLeast"/>
      <w:ind w:left="340"/>
    </w:pPr>
    <w:rPr>
      <w:b/>
      <w:sz w:val="16"/>
    </w:rPr>
  </w:style>
  <w:style w:type="paragraph" w:customStyle="1" w:styleId="ENoteTTiSub">
    <w:name w:val="ENoteTTiSub"/>
    <w:aliases w:val="enttis"/>
    <w:basedOn w:val="OPCParaBase"/>
    <w:rsid w:val="00433FED"/>
    <w:pPr>
      <w:keepNext/>
      <w:spacing w:before="60" w:line="240" w:lineRule="atLeast"/>
      <w:ind w:left="340"/>
    </w:pPr>
    <w:rPr>
      <w:sz w:val="16"/>
    </w:rPr>
  </w:style>
  <w:style w:type="paragraph" w:customStyle="1" w:styleId="FileName">
    <w:name w:val="FileName"/>
    <w:basedOn w:val="Normal"/>
    <w:rsid w:val="00433FED"/>
  </w:style>
  <w:style w:type="paragraph" w:styleId="Footer">
    <w:name w:val="footer"/>
    <w:link w:val="FooterChar"/>
    <w:uiPriority w:val="99"/>
    <w:rsid w:val="00433FED"/>
    <w:pPr>
      <w:tabs>
        <w:tab w:val="center" w:pos="4153"/>
        <w:tab w:val="right" w:pos="8306"/>
      </w:tabs>
      <w:spacing w:after="0" w:line="240" w:lineRule="auto"/>
    </w:pPr>
    <w:rPr>
      <w:rFonts w:ascii="Times New Roman" w:eastAsia="Times New Roman" w:hAnsi="Times New Roman" w:cs="Times New Roman"/>
      <w:kern w:val="0"/>
      <w:szCs w:val="24"/>
      <w:lang w:eastAsia="en-AU"/>
      <w14:ligatures w14:val="none"/>
    </w:rPr>
  </w:style>
  <w:style w:type="character" w:customStyle="1" w:styleId="FooterChar">
    <w:name w:val="Footer Char"/>
    <w:basedOn w:val="DefaultParagraphFont"/>
    <w:link w:val="Footer"/>
    <w:uiPriority w:val="99"/>
    <w:rsid w:val="00433FED"/>
    <w:rPr>
      <w:rFonts w:ascii="Times New Roman" w:eastAsia="Times New Roman" w:hAnsi="Times New Roman" w:cs="Times New Roman"/>
      <w:kern w:val="0"/>
      <w:szCs w:val="24"/>
      <w:lang w:eastAsia="en-AU"/>
      <w14:ligatures w14:val="none"/>
    </w:rPr>
  </w:style>
  <w:style w:type="paragraph" w:customStyle="1" w:styleId="Formula">
    <w:name w:val="Formula"/>
    <w:basedOn w:val="OPCParaBase"/>
    <w:rsid w:val="00433FED"/>
    <w:pPr>
      <w:spacing w:line="240" w:lineRule="auto"/>
      <w:ind w:left="1134"/>
    </w:pPr>
    <w:rPr>
      <w:sz w:val="20"/>
    </w:rPr>
  </w:style>
  <w:style w:type="paragraph" w:customStyle="1" w:styleId="FreeForm">
    <w:name w:val="FreeForm"/>
    <w:rsid w:val="00433FED"/>
    <w:pPr>
      <w:spacing w:after="0" w:line="240" w:lineRule="auto"/>
    </w:pPr>
    <w:rPr>
      <w:rFonts w:ascii="Arial" w:hAnsi="Arial"/>
      <w:kern w:val="0"/>
      <w:szCs w:val="20"/>
      <w14:ligatures w14:val="none"/>
    </w:rPr>
  </w:style>
  <w:style w:type="paragraph" w:customStyle="1" w:styleId="Head1">
    <w:name w:val="Head 1"/>
    <w:aliases w:val="1"/>
    <w:basedOn w:val="OPCParaBase"/>
    <w:next w:val="BodyNum"/>
    <w:rsid w:val="00433FE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33FE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33FED"/>
    <w:pPr>
      <w:keepNext/>
      <w:spacing w:before="240" w:after="60" w:line="240" w:lineRule="auto"/>
      <w:outlineLvl w:val="2"/>
    </w:pPr>
    <w:rPr>
      <w:rFonts w:ascii="Arial" w:hAnsi="Arial"/>
      <w:b/>
      <w:i/>
      <w:kern w:val="28"/>
      <w:sz w:val="26"/>
    </w:rPr>
  </w:style>
  <w:style w:type="paragraph" w:styleId="Header">
    <w:name w:val="header"/>
    <w:basedOn w:val="OPCParaBase"/>
    <w:link w:val="HeaderChar"/>
    <w:unhideWhenUsed/>
    <w:rsid w:val="00433F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3FED"/>
    <w:rPr>
      <w:rFonts w:ascii="Times New Roman" w:eastAsia="Times New Roman" w:hAnsi="Times New Roman" w:cs="Times New Roman"/>
      <w:kern w:val="0"/>
      <w:sz w:val="16"/>
      <w:szCs w:val="20"/>
      <w:lang w:eastAsia="en-AU"/>
      <w14:ligatures w14:val="none"/>
    </w:rPr>
  </w:style>
  <w:style w:type="character" w:customStyle="1" w:styleId="Heading1Char">
    <w:name w:val="Heading 1 Char"/>
    <w:basedOn w:val="DefaultParagraphFont"/>
    <w:link w:val="Heading1"/>
    <w:uiPriority w:val="9"/>
    <w:rsid w:val="00433FED"/>
    <w:rPr>
      <w:rFonts w:asciiTheme="majorHAnsi" w:eastAsiaTheme="majorEastAsia" w:hAnsiTheme="majorHAnsi" w:cstheme="majorBidi"/>
      <w:b/>
      <w:bCs/>
      <w:color w:val="0F4761" w:themeColor="accent1" w:themeShade="BF"/>
      <w:kern w:val="0"/>
      <w:sz w:val="28"/>
      <w:szCs w:val="28"/>
      <w14:ligatures w14:val="none"/>
    </w:rPr>
  </w:style>
  <w:style w:type="character" w:customStyle="1" w:styleId="Heading2Char">
    <w:name w:val="Heading 2 Char"/>
    <w:basedOn w:val="DefaultParagraphFont"/>
    <w:link w:val="Heading2"/>
    <w:rsid w:val="00433FED"/>
    <w:rPr>
      <w:rFonts w:asciiTheme="majorHAnsi" w:eastAsiaTheme="majorEastAsia" w:hAnsiTheme="majorHAnsi" w:cstheme="majorBidi"/>
      <w:b/>
      <w:bCs/>
      <w:color w:val="156082" w:themeColor="accent1"/>
      <w:kern w:val="0"/>
      <w:sz w:val="26"/>
      <w:szCs w:val="26"/>
      <w14:ligatures w14:val="none"/>
    </w:rPr>
  </w:style>
  <w:style w:type="character" w:customStyle="1" w:styleId="Heading3Char">
    <w:name w:val="Heading 3 Char"/>
    <w:basedOn w:val="DefaultParagraphFont"/>
    <w:link w:val="Heading3"/>
    <w:uiPriority w:val="9"/>
    <w:semiHidden/>
    <w:rsid w:val="00433FED"/>
    <w:rPr>
      <w:rFonts w:asciiTheme="majorHAnsi" w:eastAsiaTheme="majorEastAsia" w:hAnsiTheme="majorHAnsi" w:cstheme="majorBidi"/>
      <w:b/>
      <w:bCs/>
      <w:color w:val="156082" w:themeColor="accent1"/>
      <w:kern w:val="0"/>
      <w:szCs w:val="20"/>
      <w14:ligatures w14:val="none"/>
    </w:rPr>
  </w:style>
  <w:style w:type="character" w:customStyle="1" w:styleId="Heading4Char">
    <w:name w:val="Heading 4 Char"/>
    <w:basedOn w:val="DefaultParagraphFont"/>
    <w:link w:val="Heading4"/>
    <w:uiPriority w:val="9"/>
    <w:semiHidden/>
    <w:rsid w:val="00433FED"/>
    <w:rPr>
      <w:rFonts w:asciiTheme="majorHAnsi" w:eastAsiaTheme="majorEastAsia" w:hAnsiTheme="majorHAnsi" w:cstheme="majorBidi"/>
      <w:b/>
      <w:bCs/>
      <w:i/>
      <w:iCs/>
      <w:color w:val="156082" w:themeColor="accent1"/>
      <w:kern w:val="0"/>
      <w:szCs w:val="20"/>
      <w14:ligatures w14:val="none"/>
    </w:rPr>
  </w:style>
  <w:style w:type="character" w:customStyle="1" w:styleId="Heading5Char">
    <w:name w:val="Heading 5 Char"/>
    <w:basedOn w:val="DefaultParagraphFont"/>
    <w:link w:val="Heading5"/>
    <w:uiPriority w:val="9"/>
    <w:semiHidden/>
    <w:rsid w:val="00433FED"/>
    <w:rPr>
      <w:rFonts w:asciiTheme="majorHAnsi" w:eastAsiaTheme="majorEastAsia" w:hAnsiTheme="majorHAnsi" w:cstheme="majorBidi"/>
      <w:color w:val="0A2F40" w:themeColor="accent1" w:themeShade="7F"/>
      <w:kern w:val="0"/>
      <w:szCs w:val="20"/>
      <w14:ligatures w14:val="none"/>
    </w:rPr>
  </w:style>
  <w:style w:type="character" w:customStyle="1" w:styleId="Heading6Char">
    <w:name w:val="Heading 6 Char"/>
    <w:basedOn w:val="DefaultParagraphFont"/>
    <w:link w:val="Heading6"/>
    <w:rsid w:val="00433FED"/>
    <w:rPr>
      <w:rFonts w:ascii="Arial" w:eastAsia="Times New Roman" w:hAnsi="Arial" w:cs="Times New Roman"/>
      <w:b/>
      <w:kern w:val="28"/>
      <w:sz w:val="32"/>
      <w:szCs w:val="20"/>
      <w:lang w:eastAsia="en-AU"/>
      <w14:ligatures w14:val="none"/>
    </w:rPr>
  </w:style>
  <w:style w:type="character" w:customStyle="1" w:styleId="Heading7Char">
    <w:name w:val="Heading 7 Char"/>
    <w:basedOn w:val="DefaultParagraphFont"/>
    <w:link w:val="Heading7"/>
    <w:uiPriority w:val="9"/>
    <w:semiHidden/>
    <w:rsid w:val="00433FED"/>
    <w:rPr>
      <w:rFonts w:asciiTheme="majorHAnsi" w:eastAsiaTheme="majorEastAsia" w:hAnsiTheme="majorHAnsi" w:cstheme="majorBidi"/>
      <w:i/>
      <w:iCs/>
      <w:color w:val="404040" w:themeColor="text1" w:themeTint="BF"/>
      <w:kern w:val="0"/>
      <w:szCs w:val="20"/>
      <w14:ligatures w14:val="none"/>
    </w:rPr>
  </w:style>
  <w:style w:type="character" w:customStyle="1" w:styleId="Heading8Char">
    <w:name w:val="Heading 8 Char"/>
    <w:basedOn w:val="DefaultParagraphFont"/>
    <w:link w:val="Heading8"/>
    <w:uiPriority w:val="9"/>
    <w:semiHidden/>
    <w:rsid w:val="00433FED"/>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433FED"/>
    <w:rPr>
      <w:rFonts w:asciiTheme="majorHAnsi" w:eastAsiaTheme="majorEastAsia" w:hAnsiTheme="majorHAnsi" w:cstheme="majorBidi"/>
      <w:i/>
      <w:iCs/>
      <w:color w:val="404040" w:themeColor="text1" w:themeTint="BF"/>
      <w:kern w:val="0"/>
      <w:sz w:val="20"/>
      <w:szCs w:val="20"/>
      <w14:ligatures w14:val="none"/>
    </w:rPr>
  </w:style>
  <w:style w:type="paragraph" w:customStyle="1" w:styleId="House">
    <w:name w:val="House"/>
    <w:basedOn w:val="OPCParaBase"/>
    <w:rsid w:val="00433FED"/>
    <w:pPr>
      <w:spacing w:line="240" w:lineRule="auto"/>
    </w:pPr>
    <w:rPr>
      <w:sz w:val="28"/>
    </w:rPr>
  </w:style>
  <w:style w:type="paragraph" w:customStyle="1" w:styleId="InstNo">
    <w:name w:val="InstNo"/>
    <w:basedOn w:val="OPCParaBase"/>
    <w:next w:val="Normal"/>
    <w:rsid w:val="00433FED"/>
    <w:rPr>
      <w:b/>
      <w:sz w:val="28"/>
      <w:szCs w:val="32"/>
    </w:rPr>
  </w:style>
  <w:style w:type="paragraph" w:customStyle="1" w:styleId="Item">
    <w:name w:val="Item"/>
    <w:aliases w:val="i"/>
    <w:basedOn w:val="OPCParaBase"/>
    <w:next w:val="ItemHead"/>
    <w:rsid w:val="00433FED"/>
    <w:pPr>
      <w:keepLines/>
      <w:spacing w:before="80" w:line="240" w:lineRule="auto"/>
      <w:ind w:left="709"/>
    </w:pPr>
  </w:style>
  <w:style w:type="paragraph" w:customStyle="1" w:styleId="ItemHead">
    <w:name w:val="ItemHead"/>
    <w:aliases w:val="ih"/>
    <w:basedOn w:val="OPCParaBase"/>
    <w:next w:val="Item"/>
    <w:rsid w:val="00433FED"/>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433FED"/>
    <w:rPr>
      <w:i/>
      <w:sz w:val="32"/>
      <w:szCs w:val="32"/>
    </w:rPr>
  </w:style>
  <w:style w:type="character" w:styleId="LineNumber">
    <w:name w:val="line number"/>
    <w:basedOn w:val="OPCCharBase"/>
    <w:uiPriority w:val="99"/>
    <w:semiHidden/>
    <w:unhideWhenUsed/>
    <w:rsid w:val="00433FED"/>
    <w:rPr>
      <w:sz w:val="16"/>
    </w:rPr>
  </w:style>
  <w:style w:type="paragraph" w:customStyle="1" w:styleId="LongT">
    <w:name w:val="LongT"/>
    <w:basedOn w:val="OPCParaBase"/>
    <w:rsid w:val="00433FED"/>
    <w:pPr>
      <w:spacing w:line="240" w:lineRule="auto"/>
    </w:pPr>
    <w:rPr>
      <w:b/>
      <w:sz w:val="32"/>
    </w:rPr>
  </w:style>
  <w:style w:type="paragraph" w:customStyle="1" w:styleId="MadeunderText">
    <w:name w:val="MadeunderText"/>
    <w:basedOn w:val="OPCParaBase"/>
    <w:next w:val="CompiledMadeUnder"/>
    <w:rsid w:val="00433FED"/>
    <w:pPr>
      <w:spacing w:before="240"/>
    </w:pPr>
    <w:rPr>
      <w:sz w:val="24"/>
      <w:szCs w:val="24"/>
    </w:rPr>
  </w:style>
  <w:style w:type="paragraph" w:customStyle="1" w:styleId="notedraft">
    <w:name w:val="note(draft)"/>
    <w:aliases w:val="nd"/>
    <w:basedOn w:val="OPCParaBase"/>
    <w:rsid w:val="00433FED"/>
    <w:pPr>
      <w:spacing w:before="240" w:line="240" w:lineRule="auto"/>
      <w:ind w:left="284" w:hanging="284"/>
    </w:pPr>
    <w:rPr>
      <w:i/>
      <w:sz w:val="24"/>
    </w:rPr>
  </w:style>
  <w:style w:type="paragraph" w:customStyle="1" w:styleId="notemargin">
    <w:name w:val="note(margin)"/>
    <w:aliases w:val="nm"/>
    <w:basedOn w:val="OPCParaBase"/>
    <w:rsid w:val="00433FED"/>
    <w:pPr>
      <w:tabs>
        <w:tab w:val="left" w:pos="709"/>
      </w:tabs>
      <w:spacing w:before="122" w:line="198" w:lineRule="exact"/>
      <w:ind w:left="709" w:hanging="709"/>
    </w:pPr>
    <w:rPr>
      <w:sz w:val="18"/>
    </w:rPr>
  </w:style>
  <w:style w:type="paragraph" w:customStyle="1" w:styleId="notepara">
    <w:name w:val="note(para)"/>
    <w:aliases w:val="na"/>
    <w:basedOn w:val="OPCParaBase"/>
    <w:rsid w:val="00433FED"/>
    <w:pPr>
      <w:spacing w:before="40" w:line="198" w:lineRule="exact"/>
      <w:ind w:left="2354" w:hanging="369"/>
    </w:pPr>
    <w:rPr>
      <w:sz w:val="18"/>
    </w:rPr>
  </w:style>
  <w:style w:type="paragraph" w:customStyle="1" w:styleId="noteParlAmend">
    <w:name w:val="note(ParlAmend)"/>
    <w:aliases w:val="npp"/>
    <w:basedOn w:val="OPCParaBase"/>
    <w:next w:val="ParlAmend"/>
    <w:rsid w:val="00433FED"/>
    <w:pPr>
      <w:spacing w:line="240" w:lineRule="auto"/>
      <w:jc w:val="right"/>
    </w:pPr>
    <w:rPr>
      <w:rFonts w:ascii="Arial" w:hAnsi="Arial"/>
      <w:b/>
      <w:i/>
    </w:rPr>
  </w:style>
  <w:style w:type="paragraph" w:customStyle="1" w:styleId="notetext">
    <w:name w:val="note(text)"/>
    <w:aliases w:val="n"/>
    <w:basedOn w:val="OPCParaBase"/>
    <w:link w:val="notetextChar"/>
    <w:rsid w:val="00433FED"/>
    <w:pPr>
      <w:spacing w:before="122" w:line="198" w:lineRule="exact"/>
      <w:ind w:left="1985" w:hanging="851"/>
    </w:pPr>
    <w:rPr>
      <w:sz w:val="18"/>
    </w:rPr>
  </w:style>
  <w:style w:type="character" w:customStyle="1" w:styleId="notetextChar">
    <w:name w:val="note(text) Char"/>
    <w:aliases w:val="n Char"/>
    <w:basedOn w:val="DefaultParagraphFont"/>
    <w:link w:val="notetext"/>
    <w:rsid w:val="00433FED"/>
    <w:rPr>
      <w:rFonts w:ascii="Times New Roman" w:eastAsia="Times New Roman" w:hAnsi="Times New Roman" w:cs="Times New Roman"/>
      <w:kern w:val="0"/>
      <w:sz w:val="18"/>
      <w:szCs w:val="20"/>
      <w:lang w:eastAsia="en-AU"/>
      <w14:ligatures w14:val="none"/>
    </w:rPr>
  </w:style>
  <w:style w:type="paragraph" w:customStyle="1" w:styleId="NotesHeading1">
    <w:name w:val="NotesHeading 1"/>
    <w:basedOn w:val="OPCParaBase"/>
    <w:next w:val="Normal"/>
    <w:rsid w:val="00433FED"/>
    <w:pPr>
      <w:outlineLvl w:val="0"/>
    </w:pPr>
    <w:rPr>
      <w:b/>
      <w:sz w:val="28"/>
      <w:szCs w:val="28"/>
    </w:rPr>
  </w:style>
  <w:style w:type="paragraph" w:customStyle="1" w:styleId="NotesHeading2">
    <w:name w:val="NotesHeading 2"/>
    <w:basedOn w:val="OPCParaBase"/>
    <w:next w:val="Normal"/>
    <w:rsid w:val="00433FED"/>
    <w:rPr>
      <w:b/>
      <w:sz w:val="28"/>
      <w:szCs w:val="28"/>
    </w:rPr>
  </w:style>
  <w:style w:type="paragraph" w:customStyle="1" w:styleId="noteToPara">
    <w:name w:val="noteToPara"/>
    <w:aliases w:val="ntp"/>
    <w:basedOn w:val="OPCParaBase"/>
    <w:rsid w:val="00433FED"/>
    <w:pPr>
      <w:spacing w:before="122" w:line="198" w:lineRule="exact"/>
      <w:ind w:left="2353" w:hanging="709"/>
    </w:pPr>
    <w:rPr>
      <w:sz w:val="18"/>
    </w:rPr>
  </w:style>
  <w:style w:type="paragraph" w:customStyle="1" w:styleId="NoteToSubpara">
    <w:name w:val="NoteToSubpara"/>
    <w:aliases w:val="nts"/>
    <w:basedOn w:val="OPCParaBase"/>
    <w:rsid w:val="00433FED"/>
    <w:pPr>
      <w:spacing w:before="40" w:line="198" w:lineRule="exact"/>
      <w:ind w:left="2835" w:hanging="709"/>
    </w:pPr>
    <w:rPr>
      <w:sz w:val="18"/>
    </w:rPr>
  </w:style>
  <w:style w:type="numbering" w:customStyle="1" w:styleId="OPCBodyList">
    <w:name w:val="OPCBodyList"/>
    <w:uiPriority w:val="99"/>
    <w:rsid w:val="00433FED"/>
    <w:pPr>
      <w:numPr>
        <w:numId w:val="1"/>
      </w:numPr>
    </w:pPr>
  </w:style>
  <w:style w:type="paragraph" w:customStyle="1" w:styleId="Page1">
    <w:name w:val="Page1"/>
    <w:basedOn w:val="OPCParaBase"/>
    <w:rsid w:val="00433FED"/>
    <w:pPr>
      <w:spacing w:before="5600" w:line="240" w:lineRule="auto"/>
    </w:pPr>
    <w:rPr>
      <w:b/>
      <w:sz w:val="32"/>
    </w:rPr>
  </w:style>
  <w:style w:type="paragraph" w:customStyle="1" w:styleId="PageBreak">
    <w:name w:val="PageBreak"/>
    <w:aliases w:val="pb"/>
    <w:basedOn w:val="OPCParaBase"/>
    <w:rsid w:val="00433FED"/>
    <w:pPr>
      <w:spacing w:line="240" w:lineRule="auto"/>
    </w:pPr>
    <w:rPr>
      <w:sz w:val="20"/>
    </w:rPr>
  </w:style>
  <w:style w:type="paragraph" w:customStyle="1" w:styleId="paragraphsub">
    <w:name w:val="paragraph(sub)"/>
    <w:aliases w:val="aa"/>
    <w:basedOn w:val="OPCParaBase"/>
    <w:rsid w:val="00433FED"/>
    <w:pPr>
      <w:tabs>
        <w:tab w:val="right" w:pos="1985"/>
      </w:tabs>
      <w:spacing w:before="40" w:line="240" w:lineRule="auto"/>
      <w:ind w:left="2098" w:hanging="2098"/>
    </w:pPr>
  </w:style>
  <w:style w:type="paragraph" w:customStyle="1" w:styleId="paragraphsub-sub">
    <w:name w:val="paragraph(sub-sub)"/>
    <w:aliases w:val="aaa"/>
    <w:basedOn w:val="OPCParaBase"/>
    <w:rsid w:val="00433FED"/>
    <w:pPr>
      <w:tabs>
        <w:tab w:val="right" w:pos="2722"/>
      </w:tabs>
      <w:spacing w:before="40" w:line="240" w:lineRule="auto"/>
      <w:ind w:left="2835" w:hanging="2835"/>
    </w:pPr>
  </w:style>
  <w:style w:type="paragraph" w:customStyle="1" w:styleId="Paragraphsub-sub-sub">
    <w:name w:val="Paragraph(sub-sub-sub)"/>
    <w:aliases w:val="aaaa"/>
    <w:basedOn w:val="OPCParaBase"/>
    <w:rsid w:val="00433FED"/>
    <w:pPr>
      <w:tabs>
        <w:tab w:val="right" w:pos="3402"/>
      </w:tabs>
      <w:spacing w:before="40" w:line="240" w:lineRule="auto"/>
      <w:ind w:left="3402" w:hanging="3402"/>
    </w:pPr>
  </w:style>
  <w:style w:type="paragraph" w:customStyle="1" w:styleId="paragraph">
    <w:name w:val="paragraph"/>
    <w:aliases w:val="a"/>
    <w:basedOn w:val="OPCParaBase"/>
    <w:link w:val="paragraphChar"/>
    <w:rsid w:val="00433FED"/>
    <w:pPr>
      <w:tabs>
        <w:tab w:val="right" w:pos="1531"/>
      </w:tabs>
      <w:spacing w:before="40" w:line="240" w:lineRule="auto"/>
      <w:ind w:left="1644" w:hanging="1644"/>
    </w:pPr>
  </w:style>
  <w:style w:type="paragraph" w:customStyle="1" w:styleId="ParlAmend">
    <w:name w:val="ParlAmend"/>
    <w:aliases w:val="pp"/>
    <w:basedOn w:val="OPCParaBase"/>
    <w:rsid w:val="00433FED"/>
    <w:pPr>
      <w:spacing w:before="240" w:line="240" w:lineRule="atLeast"/>
      <w:ind w:hanging="567"/>
    </w:pPr>
    <w:rPr>
      <w:sz w:val="24"/>
    </w:rPr>
  </w:style>
  <w:style w:type="paragraph" w:customStyle="1" w:styleId="Penalty">
    <w:name w:val="Penalty"/>
    <w:basedOn w:val="OPCParaBase"/>
    <w:rsid w:val="00433FED"/>
    <w:pPr>
      <w:tabs>
        <w:tab w:val="left" w:pos="2977"/>
      </w:tabs>
      <w:spacing w:before="180" w:line="240" w:lineRule="auto"/>
      <w:ind w:left="1985" w:hanging="851"/>
    </w:pPr>
  </w:style>
  <w:style w:type="paragraph" w:customStyle="1" w:styleId="Portfolio">
    <w:name w:val="Portfolio"/>
    <w:basedOn w:val="OPCParaBase"/>
    <w:rsid w:val="00433FED"/>
    <w:pPr>
      <w:spacing w:line="240" w:lineRule="auto"/>
    </w:pPr>
    <w:rPr>
      <w:i/>
      <w:sz w:val="20"/>
    </w:rPr>
  </w:style>
  <w:style w:type="paragraph" w:customStyle="1" w:styleId="Preamble">
    <w:name w:val="Preamble"/>
    <w:basedOn w:val="OPCParaBase"/>
    <w:next w:val="Normal"/>
    <w:rsid w:val="00433F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3FED"/>
    <w:pPr>
      <w:spacing w:line="240" w:lineRule="auto"/>
    </w:pPr>
    <w:rPr>
      <w:i/>
      <w:sz w:val="20"/>
    </w:rPr>
  </w:style>
  <w:style w:type="paragraph" w:customStyle="1" w:styleId="Session">
    <w:name w:val="Session"/>
    <w:basedOn w:val="OPCParaBase"/>
    <w:rsid w:val="00433FED"/>
    <w:pPr>
      <w:spacing w:line="240" w:lineRule="auto"/>
    </w:pPr>
    <w:rPr>
      <w:sz w:val="28"/>
    </w:rPr>
  </w:style>
  <w:style w:type="paragraph" w:customStyle="1" w:styleId="SignCoverPageEnd">
    <w:name w:val="SignCoverPageEnd"/>
    <w:basedOn w:val="OPCParaBase"/>
    <w:next w:val="Normal"/>
    <w:rsid w:val="00433FED"/>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33FED"/>
    <w:pPr>
      <w:pBdr>
        <w:top w:val="single" w:sz="4" w:space="1" w:color="auto"/>
      </w:pBdr>
      <w:spacing w:before="360"/>
      <w:ind w:right="397"/>
      <w:jc w:val="both"/>
    </w:pPr>
  </w:style>
  <w:style w:type="paragraph" w:customStyle="1" w:styleId="SOText">
    <w:name w:val="SO Text"/>
    <w:aliases w:val="sot"/>
    <w:link w:val="SOTextChar"/>
    <w:rsid w:val="00433FE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kern w:val="0"/>
      <w:szCs w:val="20"/>
      <w14:ligatures w14:val="none"/>
    </w:rPr>
  </w:style>
  <w:style w:type="character" w:customStyle="1" w:styleId="SOTextChar">
    <w:name w:val="SO Text Char"/>
    <w:aliases w:val="sot Char"/>
    <w:basedOn w:val="DefaultParagraphFont"/>
    <w:link w:val="SOText"/>
    <w:rsid w:val="00433FED"/>
    <w:rPr>
      <w:rFonts w:ascii="Times New Roman" w:hAnsi="Times New Roman"/>
      <w:kern w:val="0"/>
      <w:szCs w:val="20"/>
      <w14:ligatures w14:val="none"/>
    </w:rPr>
  </w:style>
  <w:style w:type="paragraph" w:customStyle="1" w:styleId="SOBullet">
    <w:name w:val="SO Bullet"/>
    <w:aliases w:val="sotb"/>
    <w:basedOn w:val="SOText"/>
    <w:link w:val="SOBulletChar"/>
    <w:qFormat/>
    <w:rsid w:val="00433FED"/>
    <w:pPr>
      <w:ind w:left="1559" w:hanging="425"/>
    </w:pPr>
  </w:style>
  <w:style w:type="character" w:customStyle="1" w:styleId="SOBulletChar">
    <w:name w:val="SO Bullet Char"/>
    <w:aliases w:val="sotb Char"/>
    <w:basedOn w:val="DefaultParagraphFont"/>
    <w:link w:val="SOBullet"/>
    <w:rsid w:val="00433FED"/>
    <w:rPr>
      <w:rFonts w:ascii="Times New Roman" w:hAnsi="Times New Roman"/>
      <w:kern w:val="0"/>
      <w:szCs w:val="20"/>
      <w14:ligatures w14:val="none"/>
    </w:rPr>
  </w:style>
  <w:style w:type="paragraph" w:customStyle="1" w:styleId="SOTextNote">
    <w:name w:val="SO TextNote"/>
    <w:aliases w:val="sont"/>
    <w:basedOn w:val="SOText"/>
    <w:qFormat/>
    <w:rsid w:val="00433FED"/>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433FED"/>
    <w:pPr>
      <w:tabs>
        <w:tab w:val="left" w:pos="1560"/>
      </w:tabs>
      <w:ind w:left="2268" w:hanging="1134"/>
    </w:pPr>
  </w:style>
  <w:style w:type="character" w:customStyle="1" w:styleId="SOBulletNoteChar">
    <w:name w:val="SO BulletNote Char"/>
    <w:aliases w:val="sonb Char"/>
    <w:basedOn w:val="DefaultParagraphFont"/>
    <w:link w:val="SOBulletNote"/>
    <w:rsid w:val="00433FED"/>
    <w:rPr>
      <w:rFonts w:ascii="Times New Roman" w:hAnsi="Times New Roman"/>
      <w:kern w:val="0"/>
      <w:sz w:val="18"/>
      <w:szCs w:val="20"/>
      <w14:ligatures w14:val="none"/>
    </w:rPr>
  </w:style>
  <w:style w:type="paragraph" w:customStyle="1" w:styleId="SOHeadBold">
    <w:name w:val="SO HeadBold"/>
    <w:aliases w:val="sohb"/>
    <w:basedOn w:val="SOText"/>
    <w:next w:val="SOText"/>
    <w:link w:val="SOHeadBoldChar"/>
    <w:qFormat/>
    <w:rsid w:val="00433FED"/>
    <w:rPr>
      <w:b/>
    </w:rPr>
  </w:style>
  <w:style w:type="character" w:customStyle="1" w:styleId="SOHeadBoldChar">
    <w:name w:val="SO HeadBold Char"/>
    <w:aliases w:val="sohb Char"/>
    <w:basedOn w:val="DefaultParagraphFont"/>
    <w:link w:val="SOHeadBold"/>
    <w:rsid w:val="00433FED"/>
    <w:rPr>
      <w:rFonts w:ascii="Times New Roman" w:hAnsi="Times New Roman"/>
      <w:b/>
      <w:kern w:val="0"/>
      <w:szCs w:val="20"/>
      <w14:ligatures w14:val="none"/>
    </w:rPr>
  </w:style>
  <w:style w:type="paragraph" w:customStyle="1" w:styleId="SOHeadItalic">
    <w:name w:val="SO HeadItalic"/>
    <w:aliases w:val="sohi"/>
    <w:basedOn w:val="SOText"/>
    <w:next w:val="SOText"/>
    <w:link w:val="SOHeadItalicChar"/>
    <w:qFormat/>
    <w:rsid w:val="00433FED"/>
    <w:rPr>
      <w:i/>
    </w:rPr>
  </w:style>
  <w:style w:type="character" w:customStyle="1" w:styleId="SOHeadItalicChar">
    <w:name w:val="SO HeadItalic Char"/>
    <w:aliases w:val="sohi Char"/>
    <w:basedOn w:val="DefaultParagraphFont"/>
    <w:link w:val="SOHeadItalic"/>
    <w:rsid w:val="00433FED"/>
    <w:rPr>
      <w:rFonts w:ascii="Times New Roman" w:hAnsi="Times New Roman"/>
      <w:i/>
      <w:kern w:val="0"/>
      <w:szCs w:val="20"/>
      <w14:ligatures w14:val="none"/>
    </w:rPr>
  </w:style>
  <w:style w:type="paragraph" w:customStyle="1" w:styleId="SOPara">
    <w:name w:val="SO Para"/>
    <w:aliases w:val="soa"/>
    <w:basedOn w:val="SOText"/>
    <w:link w:val="SOParaChar"/>
    <w:qFormat/>
    <w:rsid w:val="00433FED"/>
    <w:pPr>
      <w:tabs>
        <w:tab w:val="right" w:pos="1786"/>
      </w:tabs>
      <w:spacing w:before="40"/>
      <w:ind w:left="2070" w:hanging="936"/>
    </w:pPr>
  </w:style>
  <w:style w:type="character" w:customStyle="1" w:styleId="SOParaChar">
    <w:name w:val="SO Para Char"/>
    <w:aliases w:val="soa Char"/>
    <w:basedOn w:val="DefaultParagraphFont"/>
    <w:link w:val="SOPara"/>
    <w:rsid w:val="00433FED"/>
    <w:rPr>
      <w:rFonts w:ascii="Times New Roman" w:hAnsi="Times New Roman"/>
      <w:kern w:val="0"/>
      <w:szCs w:val="20"/>
      <w14:ligatures w14:val="none"/>
    </w:rPr>
  </w:style>
  <w:style w:type="paragraph" w:customStyle="1" w:styleId="Sponsor">
    <w:name w:val="Sponsor"/>
    <w:basedOn w:val="OPCParaBase"/>
    <w:rsid w:val="00433FED"/>
    <w:pPr>
      <w:spacing w:line="240" w:lineRule="auto"/>
    </w:pPr>
    <w:rPr>
      <w:i/>
    </w:rPr>
  </w:style>
  <w:style w:type="paragraph" w:customStyle="1" w:styleId="SubDivisionMigration">
    <w:name w:val="SubDivisionMigration"/>
    <w:aliases w:val="sdm"/>
    <w:basedOn w:val="OPCParaBase"/>
    <w:rsid w:val="00433FED"/>
    <w:pPr>
      <w:keepNext/>
      <w:keepLines/>
      <w:spacing w:before="220" w:line="240" w:lineRule="auto"/>
      <w:ind w:left="1134" w:hanging="1134"/>
    </w:pPr>
    <w:rPr>
      <w:b/>
      <w:sz w:val="26"/>
    </w:rPr>
  </w:style>
  <w:style w:type="paragraph" w:customStyle="1" w:styleId="Subitem">
    <w:name w:val="Subitem"/>
    <w:aliases w:val="iss"/>
    <w:basedOn w:val="OPCParaBase"/>
    <w:rsid w:val="00433FED"/>
    <w:pPr>
      <w:spacing w:before="180" w:line="240" w:lineRule="auto"/>
      <w:ind w:left="709" w:hanging="709"/>
    </w:pPr>
  </w:style>
  <w:style w:type="paragraph" w:customStyle="1" w:styleId="SubitemHead">
    <w:name w:val="SubitemHead"/>
    <w:aliases w:val="issh"/>
    <w:basedOn w:val="OPCParaBase"/>
    <w:rsid w:val="00433FED"/>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ActHead3"/>
    <w:rsid w:val="00433FED"/>
    <w:pPr>
      <w:keepNext/>
      <w:keepLines/>
      <w:spacing w:before="280"/>
      <w:outlineLvl w:val="1"/>
    </w:pPr>
    <w:rPr>
      <w:b/>
      <w:kern w:val="28"/>
      <w:sz w:val="32"/>
    </w:rPr>
  </w:style>
  <w:style w:type="paragraph" w:customStyle="1" w:styleId="subsection">
    <w:name w:val="subsection"/>
    <w:aliases w:val="ss"/>
    <w:basedOn w:val="OPCParaBase"/>
    <w:link w:val="subsectionChar"/>
    <w:rsid w:val="00433FE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433FED"/>
    <w:rPr>
      <w:rFonts w:ascii="Times New Roman" w:eastAsia="Times New Roman" w:hAnsi="Times New Roman" w:cs="Times New Roman"/>
      <w:kern w:val="0"/>
      <w:szCs w:val="20"/>
      <w:lang w:eastAsia="en-AU"/>
      <w14:ligatures w14:val="none"/>
    </w:rPr>
  </w:style>
  <w:style w:type="paragraph" w:customStyle="1" w:styleId="subsection2">
    <w:name w:val="subsection2"/>
    <w:aliases w:val="ss2"/>
    <w:basedOn w:val="OPCParaBase"/>
    <w:next w:val="subsection"/>
    <w:rsid w:val="00433FED"/>
    <w:pPr>
      <w:spacing w:before="40" w:line="240" w:lineRule="auto"/>
      <w:ind w:left="1134"/>
    </w:pPr>
  </w:style>
  <w:style w:type="paragraph" w:customStyle="1" w:styleId="SubsectionHead">
    <w:name w:val="SubsectionHead"/>
    <w:aliases w:val="ssh"/>
    <w:basedOn w:val="OPCParaBase"/>
    <w:next w:val="subsection"/>
    <w:rsid w:val="00433FED"/>
    <w:pPr>
      <w:keepNext/>
      <w:keepLines/>
      <w:spacing w:before="240" w:line="240" w:lineRule="auto"/>
      <w:ind w:left="1134"/>
    </w:pPr>
    <w:rPr>
      <w:i/>
    </w:rPr>
  </w:style>
  <w:style w:type="table" w:styleId="TableGrid">
    <w:name w:val="Table Grid"/>
    <w:basedOn w:val="TableNormal"/>
    <w:uiPriority w:val="59"/>
    <w:rsid w:val="00433FED"/>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433FED"/>
    <w:pPr>
      <w:spacing w:before="60" w:line="240" w:lineRule="auto"/>
      <w:ind w:left="284" w:hanging="284"/>
    </w:pPr>
    <w:rPr>
      <w:sz w:val="20"/>
    </w:rPr>
  </w:style>
  <w:style w:type="paragraph" w:customStyle="1" w:styleId="TableAA">
    <w:name w:val="Table(AA)"/>
    <w:aliases w:val="taaa"/>
    <w:basedOn w:val="OPCParaBase"/>
    <w:rsid w:val="00433F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3FED"/>
    <w:pPr>
      <w:tabs>
        <w:tab w:val="left" w:pos="-6543"/>
        <w:tab w:val="left" w:pos="-6260"/>
        <w:tab w:val="right" w:pos="970"/>
      </w:tabs>
      <w:spacing w:line="240" w:lineRule="exact"/>
      <w:ind w:left="828" w:hanging="284"/>
    </w:pPr>
    <w:rPr>
      <w:sz w:val="20"/>
    </w:rPr>
  </w:style>
  <w:style w:type="paragraph" w:customStyle="1" w:styleId="TableHeading">
    <w:name w:val="TableHeading"/>
    <w:aliases w:val="th"/>
    <w:basedOn w:val="OPCParaBase"/>
    <w:next w:val="Tabletext"/>
    <w:rsid w:val="00433FED"/>
    <w:pPr>
      <w:keepNext/>
      <w:spacing w:before="60" w:line="240" w:lineRule="atLeast"/>
    </w:pPr>
    <w:rPr>
      <w:b/>
      <w:sz w:val="20"/>
    </w:rPr>
  </w:style>
  <w:style w:type="paragraph" w:customStyle="1" w:styleId="Tabletext">
    <w:name w:val="Tabletext"/>
    <w:aliases w:val="tt"/>
    <w:basedOn w:val="OPCParaBase"/>
    <w:rsid w:val="00433FED"/>
    <w:pPr>
      <w:spacing w:before="60" w:line="240" w:lineRule="atLeast"/>
    </w:pPr>
    <w:rPr>
      <w:sz w:val="20"/>
    </w:rPr>
  </w:style>
  <w:style w:type="paragraph" w:customStyle="1" w:styleId="TableTextEndNotes">
    <w:name w:val="TableTextEndNotes"/>
    <w:aliases w:val="Tten"/>
    <w:basedOn w:val="Normal"/>
    <w:rsid w:val="00433FED"/>
    <w:pPr>
      <w:spacing w:before="60" w:line="240" w:lineRule="auto"/>
    </w:pPr>
    <w:rPr>
      <w:rFonts w:cs="Arial"/>
      <w:sz w:val="20"/>
      <w:szCs w:val="22"/>
    </w:rPr>
  </w:style>
  <w:style w:type="paragraph" w:customStyle="1" w:styleId="TLPBoxTextnote">
    <w:name w:val="TLPBoxText(note"/>
    <w:aliases w:val="right)"/>
    <w:basedOn w:val="OPCParaBase"/>
    <w:rsid w:val="00433F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3FED"/>
    <w:pPr>
      <w:numPr>
        <w:numId w:val="12"/>
      </w:numPr>
      <w:tabs>
        <w:tab w:val="clear" w:pos="2517"/>
        <w:tab w:val="left" w:pos="357"/>
      </w:tabs>
      <w:spacing w:before="60" w:line="198" w:lineRule="exact"/>
    </w:pPr>
    <w:rPr>
      <w:sz w:val="18"/>
    </w:rPr>
  </w:style>
  <w:style w:type="paragraph" w:customStyle="1" w:styleId="TLPnoteright">
    <w:name w:val="TLPnote(right)"/>
    <w:aliases w:val="nr"/>
    <w:basedOn w:val="OPCParaBase"/>
    <w:rsid w:val="00433FED"/>
    <w:pPr>
      <w:spacing w:before="122" w:line="198" w:lineRule="exact"/>
      <w:ind w:left="1985" w:hanging="851"/>
      <w:jc w:val="right"/>
    </w:pPr>
    <w:rPr>
      <w:sz w:val="18"/>
    </w:rPr>
  </w:style>
  <w:style w:type="paragraph" w:customStyle="1" w:styleId="TLPTableBullet">
    <w:name w:val="TLPTableBullet"/>
    <w:aliases w:val="ttb"/>
    <w:basedOn w:val="OPCParaBase"/>
    <w:rsid w:val="00433FED"/>
    <w:pPr>
      <w:spacing w:line="240" w:lineRule="exact"/>
      <w:ind w:left="284" w:hanging="284"/>
    </w:pPr>
    <w:rPr>
      <w:sz w:val="20"/>
    </w:rPr>
  </w:style>
  <w:style w:type="paragraph" w:styleId="TOC1">
    <w:name w:val="toc 1"/>
    <w:basedOn w:val="OPCParaBase"/>
    <w:next w:val="Normal"/>
    <w:uiPriority w:val="39"/>
    <w:unhideWhenUsed/>
    <w:rsid w:val="00433FE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3FE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33FE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33FE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33FED"/>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433FE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33FE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33FE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33FE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3FED"/>
    <w:pPr>
      <w:keepLines/>
      <w:spacing w:before="240" w:after="120" w:line="240" w:lineRule="auto"/>
      <w:ind w:left="794"/>
    </w:pPr>
    <w:rPr>
      <w:b/>
      <w:kern w:val="28"/>
      <w:sz w:val="20"/>
    </w:rPr>
  </w:style>
  <w:style w:type="paragraph" w:customStyle="1" w:styleId="TofSectsHeading">
    <w:name w:val="TofSects(Heading)"/>
    <w:basedOn w:val="OPCParaBase"/>
    <w:rsid w:val="00433FED"/>
    <w:pPr>
      <w:spacing w:before="240" w:after="120" w:line="240" w:lineRule="auto"/>
    </w:pPr>
    <w:rPr>
      <w:b/>
      <w:sz w:val="24"/>
    </w:rPr>
  </w:style>
  <w:style w:type="paragraph" w:customStyle="1" w:styleId="TofSectsSection">
    <w:name w:val="TofSects(Section)"/>
    <w:basedOn w:val="OPCParaBase"/>
    <w:rsid w:val="00433FED"/>
    <w:pPr>
      <w:keepLines/>
      <w:spacing w:before="40" w:line="240" w:lineRule="auto"/>
      <w:ind w:left="1588" w:hanging="794"/>
    </w:pPr>
    <w:rPr>
      <w:kern w:val="28"/>
      <w:sz w:val="18"/>
    </w:rPr>
  </w:style>
  <w:style w:type="paragraph" w:customStyle="1" w:styleId="TofSectsSubdiv">
    <w:name w:val="TofSects(Subdiv)"/>
    <w:basedOn w:val="OPCParaBase"/>
    <w:rsid w:val="00433FED"/>
    <w:pPr>
      <w:keepLines/>
      <w:spacing w:before="80" w:line="240" w:lineRule="auto"/>
      <w:ind w:left="1588" w:hanging="794"/>
    </w:pPr>
    <w:rPr>
      <w:kern w:val="28"/>
    </w:rPr>
  </w:style>
  <w:style w:type="paragraph" w:customStyle="1" w:styleId="WRStyle">
    <w:name w:val="WR Style"/>
    <w:aliases w:val="WR"/>
    <w:basedOn w:val="OPCParaBase"/>
    <w:rsid w:val="00433FED"/>
    <w:pPr>
      <w:spacing w:before="240" w:line="240" w:lineRule="auto"/>
      <w:ind w:left="284" w:hanging="284"/>
    </w:pPr>
    <w:rPr>
      <w:b/>
      <w:i/>
      <w:kern w:val="28"/>
      <w:sz w:val="24"/>
    </w:rPr>
  </w:style>
  <w:style w:type="character" w:customStyle="1" w:styleId="ActHead5Char">
    <w:name w:val="ActHead 5 Char"/>
    <w:aliases w:val="s Char"/>
    <w:basedOn w:val="DefaultParagraphFont"/>
    <w:link w:val="ActHead5"/>
    <w:rsid w:val="00433FED"/>
    <w:rPr>
      <w:rFonts w:ascii="Times New Roman" w:eastAsia="Times New Roman" w:hAnsi="Times New Roman" w:cs="Times New Roman"/>
      <w:b/>
      <w:kern w:val="28"/>
      <w:sz w:val="24"/>
      <w:szCs w:val="20"/>
      <w:lang w:eastAsia="en-AU"/>
      <w14:ligatures w14:val="none"/>
    </w:rPr>
  </w:style>
  <w:style w:type="paragraph" w:customStyle="1" w:styleId="Body">
    <w:name w:val="Body"/>
    <w:aliases w:val="b"/>
    <w:basedOn w:val="OPCParaBase"/>
    <w:rsid w:val="00433FED"/>
    <w:pPr>
      <w:spacing w:before="240" w:line="240" w:lineRule="auto"/>
    </w:pPr>
    <w:rPr>
      <w:sz w:val="24"/>
    </w:rPr>
  </w:style>
  <w:style w:type="paragraph" w:customStyle="1" w:styleId="BodyParaBullet">
    <w:name w:val="BodyParaBullet"/>
    <w:aliases w:val="bpb"/>
    <w:basedOn w:val="OPCParaBase"/>
    <w:rsid w:val="00433FED"/>
    <w:pPr>
      <w:tabs>
        <w:tab w:val="left" w:pos="2160"/>
      </w:tabs>
      <w:spacing w:before="240" w:line="240" w:lineRule="auto"/>
    </w:pPr>
    <w:rPr>
      <w:sz w:val="24"/>
    </w:rPr>
  </w:style>
  <w:style w:type="paragraph" w:customStyle="1" w:styleId="BodySubPara">
    <w:name w:val="BodySubPara"/>
    <w:aliases w:val="bi"/>
    <w:basedOn w:val="OPCParaBase"/>
    <w:rsid w:val="00433FED"/>
    <w:pPr>
      <w:spacing w:before="240" w:line="240" w:lineRule="auto"/>
    </w:pPr>
    <w:rPr>
      <w:sz w:val="24"/>
    </w:rPr>
  </w:style>
  <w:style w:type="table" w:customStyle="1" w:styleId="Calendar1">
    <w:name w:val="Calendar 1"/>
    <w:basedOn w:val="TableNormal"/>
    <w:uiPriority w:val="99"/>
    <w:qFormat/>
    <w:rsid w:val="00433FED"/>
    <w:pPr>
      <w:spacing w:after="0" w:line="240" w:lineRule="auto"/>
    </w:pPr>
    <w:rPr>
      <w:rFonts w:eastAsiaTheme="minorEastAsia"/>
      <w:kern w:val="0"/>
      <w:lang w:val="en-US"/>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CompilationNumber">
    <w:name w:val="CompilationNumber"/>
    <w:basedOn w:val="Normal"/>
    <w:link w:val="CompilationNumberChar"/>
    <w:qFormat/>
    <w:rsid w:val="00433FED"/>
    <w:pPr>
      <w:spacing w:before="1000"/>
      <w:ind w:left="3600" w:hanging="3600"/>
    </w:pPr>
    <w:rPr>
      <w:rFonts w:cs="Arial"/>
      <w:b/>
      <w:sz w:val="32"/>
      <w:szCs w:val="32"/>
    </w:rPr>
  </w:style>
  <w:style w:type="character" w:customStyle="1" w:styleId="CompilationNumberChar">
    <w:name w:val="CompilationNumber Char"/>
    <w:basedOn w:val="DefaultParagraphFont"/>
    <w:link w:val="CompilationNumber"/>
    <w:rsid w:val="00433FED"/>
    <w:rPr>
      <w:rFonts w:ascii="Times New Roman" w:hAnsi="Times New Roman" w:cs="Arial"/>
      <w:b/>
      <w:kern w:val="0"/>
      <w:sz w:val="32"/>
      <w:szCs w:val="32"/>
      <w14:ligatures w14:val="none"/>
    </w:rPr>
  </w:style>
  <w:style w:type="paragraph" w:customStyle="1" w:styleId="ETApara">
    <w:name w:val="ETA(para)"/>
    <w:basedOn w:val="OPCParaBase"/>
    <w:rsid w:val="00433FED"/>
    <w:pPr>
      <w:tabs>
        <w:tab w:val="right" w:pos="754"/>
      </w:tabs>
      <w:spacing w:before="60" w:line="240" w:lineRule="auto"/>
      <w:ind w:left="828" w:hanging="828"/>
    </w:pPr>
    <w:rPr>
      <w:sz w:val="20"/>
    </w:rPr>
  </w:style>
  <w:style w:type="paragraph" w:customStyle="1" w:styleId="ETAsubitem">
    <w:name w:val="ETA(subitem)"/>
    <w:basedOn w:val="OPCParaBase"/>
    <w:rsid w:val="00433FED"/>
    <w:pPr>
      <w:tabs>
        <w:tab w:val="right" w:pos="340"/>
      </w:tabs>
      <w:spacing w:before="60" w:line="240" w:lineRule="auto"/>
      <w:ind w:left="454" w:hanging="454"/>
    </w:pPr>
    <w:rPr>
      <w:sz w:val="20"/>
    </w:rPr>
  </w:style>
  <w:style w:type="paragraph" w:customStyle="1" w:styleId="ETAsubpara">
    <w:name w:val="ETA(subpara)"/>
    <w:basedOn w:val="OPCParaBase"/>
    <w:rsid w:val="00433FED"/>
    <w:pPr>
      <w:tabs>
        <w:tab w:val="right" w:pos="1083"/>
      </w:tabs>
      <w:spacing w:before="60" w:line="240" w:lineRule="auto"/>
      <w:ind w:left="1191" w:hanging="1191"/>
    </w:pPr>
    <w:rPr>
      <w:sz w:val="20"/>
    </w:rPr>
  </w:style>
  <w:style w:type="paragraph" w:customStyle="1" w:styleId="ETAsub-subpara">
    <w:name w:val="ETA(sub-subpara)"/>
    <w:basedOn w:val="OPCParaBase"/>
    <w:rsid w:val="00433FED"/>
    <w:pPr>
      <w:tabs>
        <w:tab w:val="right" w:pos="1412"/>
      </w:tabs>
      <w:spacing w:before="60" w:line="240" w:lineRule="auto"/>
      <w:ind w:left="1525" w:hanging="1525"/>
    </w:pPr>
    <w:rPr>
      <w:sz w:val="20"/>
    </w:rPr>
  </w:style>
  <w:style w:type="paragraph" w:customStyle="1" w:styleId="Head4">
    <w:name w:val="Head 4"/>
    <w:aliases w:val="4"/>
    <w:basedOn w:val="OPCParaBase"/>
    <w:next w:val="BodyNum"/>
    <w:rsid w:val="00433FE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33FED"/>
    <w:pPr>
      <w:keepNext/>
      <w:spacing w:before="240" w:after="60" w:line="240" w:lineRule="auto"/>
      <w:outlineLvl w:val="4"/>
    </w:pPr>
    <w:rPr>
      <w:rFonts w:ascii="Arial" w:hAnsi="Arial"/>
      <w:b/>
      <w:i/>
      <w:kern w:val="28"/>
    </w:rPr>
  </w:style>
  <w:style w:type="character" w:styleId="Hyperlink">
    <w:name w:val="Hyperlink"/>
    <w:basedOn w:val="DefaultParagraphFont"/>
    <w:uiPriority w:val="99"/>
    <w:unhideWhenUsed/>
    <w:rsid w:val="00433FED"/>
    <w:rPr>
      <w:color w:val="0000FF"/>
      <w:u w:val="single"/>
    </w:rPr>
  </w:style>
  <w:style w:type="character" w:styleId="IntenseEmphasis">
    <w:name w:val="Intense Emphasis"/>
    <w:basedOn w:val="DefaultParagraphFont"/>
    <w:uiPriority w:val="21"/>
    <w:qFormat/>
    <w:rsid w:val="00433FED"/>
    <w:rPr>
      <w:i/>
      <w:iCs/>
      <w:color w:val="156082" w:themeColor="accent1"/>
    </w:rPr>
  </w:style>
  <w:style w:type="paragraph" w:customStyle="1" w:styleId="MessShortTitle">
    <w:name w:val="MessShortTitle"/>
    <w:basedOn w:val="Head2"/>
    <w:rsid w:val="00433FED"/>
  </w:style>
  <w:style w:type="character" w:styleId="PageNumber">
    <w:name w:val="page number"/>
    <w:basedOn w:val="DefaultParagraphFont"/>
    <w:rsid w:val="00433FED"/>
  </w:style>
  <w:style w:type="character" w:customStyle="1" w:styleId="paragraphChar">
    <w:name w:val="paragraph Char"/>
    <w:aliases w:val="a Char"/>
    <w:basedOn w:val="DefaultParagraphFont"/>
    <w:link w:val="paragraph"/>
    <w:rsid w:val="00433FED"/>
    <w:rPr>
      <w:rFonts w:ascii="Times New Roman" w:eastAsia="Times New Roman" w:hAnsi="Times New Roman" w:cs="Times New Roman"/>
      <w:kern w:val="0"/>
      <w:szCs w:val="20"/>
      <w:lang w:eastAsia="en-AU"/>
      <w14:ligatures w14:val="none"/>
    </w:rPr>
  </w:style>
  <w:style w:type="character" w:styleId="PlaceholderText">
    <w:name w:val="Placeholder Text"/>
    <w:basedOn w:val="DefaultParagraphFont"/>
    <w:uiPriority w:val="99"/>
    <w:semiHidden/>
    <w:rsid w:val="00433FED"/>
    <w:rPr>
      <w:color w:val="666666"/>
    </w:rPr>
  </w:style>
  <w:style w:type="paragraph" w:styleId="TOCHeading">
    <w:name w:val="TOC Heading"/>
    <w:basedOn w:val="Heading1"/>
    <w:next w:val="Normal"/>
    <w:uiPriority w:val="39"/>
    <w:unhideWhenUsed/>
    <w:qFormat/>
    <w:rsid w:val="00433FED"/>
    <w:pPr>
      <w:spacing w:line="259" w:lineRule="auto"/>
      <w:outlineLvl w:val="9"/>
    </w:pPr>
    <w:rPr>
      <w:lang w:val="en-US"/>
    </w:rPr>
  </w:style>
  <w:style w:type="paragraph" w:customStyle="1" w:styleId="FooterDate">
    <w:name w:val="Footer_Date"/>
    <w:basedOn w:val="Normal"/>
    <w:link w:val="FooterDateChar"/>
    <w:qFormat/>
    <w:rsid w:val="00433FED"/>
    <w:pPr>
      <w:spacing w:before="120" w:after="120"/>
    </w:pPr>
    <w:rPr>
      <w:sz w:val="16"/>
      <w:szCs w:val="16"/>
    </w:rPr>
  </w:style>
  <w:style w:type="character" w:customStyle="1" w:styleId="FooterDateChar">
    <w:name w:val="Footer_Date Char"/>
    <w:basedOn w:val="DefaultParagraphFont"/>
    <w:link w:val="FooterDate"/>
    <w:rsid w:val="00433FED"/>
    <w:rPr>
      <w:rFonts w:ascii="Times New Roman" w:hAnsi="Times New Roman"/>
      <w:kern w:val="0"/>
      <w:sz w:val="16"/>
      <w:szCs w:val="16"/>
      <w14:ligatures w14:val="none"/>
    </w:rPr>
  </w:style>
  <w:style w:type="paragraph" w:styleId="Title">
    <w:name w:val="Title"/>
    <w:basedOn w:val="Normal"/>
    <w:next w:val="Normal"/>
    <w:link w:val="TitleChar"/>
    <w:uiPriority w:val="10"/>
    <w:qFormat/>
    <w:rsid w:val="005B5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DE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B5D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DE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B5D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DEC"/>
    <w:rPr>
      <w:rFonts w:ascii="Times New Roman" w:hAnsi="Times New Roman"/>
      <w:i/>
      <w:iCs/>
      <w:color w:val="404040" w:themeColor="text1" w:themeTint="BF"/>
      <w:kern w:val="0"/>
      <w:szCs w:val="20"/>
      <w14:ligatures w14:val="non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5B5DEC"/>
    <w:pPr>
      <w:ind w:left="720"/>
      <w:contextualSpacing/>
    </w:pPr>
  </w:style>
  <w:style w:type="paragraph" w:styleId="IntenseQuote">
    <w:name w:val="Intense Quote"/>
    <w:basedOn w:val="Normal"/>
    <w:next w:val="Normal"/>
    <w:link w:val="IntenseQuoteChar"/>
    <w:uiPriority w:val="30"/>
    <w:qFormat/>
    <w:rsid w:val="005B5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DEC"/>
    <w:rPr>
      <w:rFonts w:ascii="Times New Roman" w:hAnsi="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5B5DEC"/>
    <w:rPr>
      <w:b/>
      <w:bCs/>
      <w:smallCaps/>
      <w:color w:val="0F4761" w:themeColor="accent1" w:themeShade="BF"/>
      <w:spacing w:val="5"/>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384135"/>
    <w:rPr>
      <w:rFonts w:ascii="Times New Roman" w:hAnsi="Times New Roman"/>
      <w:kern w:val="0"/>
      <w:szCs w:val="20"/>
      <w14:ligatures w14:val="none"/>
    </w:rPr>
  </w:style>
  <w:style w:type="character" w:styleId="CommentReference">
    <w:name w:val="annotation reference"/>
    <w:basedOn w:val="DefaultParagraphFont"/>
    <w:uiPriority w:val="99"/>
    <w:semiHidden/>
    <w:unhideWhenUsed/>
    <w:rsid w:val="00547EBB"/>
    <w:rPr>
      <w:sz w:val="16"/>
      <w:szCs w:val="16"/>
    </w:rPr>
  </w:style>
  <w:style w:type="paragraph" w:styleId="CommentText">
    <w:name w:val="annotation text"/>
    <w:basedOn w:val="Normal"/>
    <w:link w:val="CommentTextChar"/>
    <w:uiPriority w:val="99"/>
    <w:unhideWhenUsed/>
    <w:rsid w:val="00547EBB"/>
    <w:pPr>
      <w:spacing w:line="240" w:lineRule="auto"/>
    </w:pPr>
    <w:rPr>
      <w:sz w:val="20"/>
    </w:rPr>
  </w:style>
  <w:style w:type="character" w:customStyle="1" w:styleId="CommentTextChar">
    <w:name w:val="Comment Text Char"/>
    <w:basedOn w:val="DefaultParagraphFont"/>
    <w:link w:val="CommentText"/>
    <w:uiPriority w:val="99"/>
    <w:rsid w:val="00547EBB"/>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47EBB"/>
    <w:rPr>
      <w:b/>
      <w:bCs/>
    </w:rPr>
  </w:style>
  <w:style w:type="character" w:customStyle="1" w:styleId="CommentSubjectChar">
    <w:name w:val="Comment Subject Char"/>
    <w:basedOn w:val="CommentTextChar"/>
    <w:link w:val="CommentSubject"/>
    <w:uiPriority w:val="99"/>
    <w:semiHidden/>
    <w:rsid w:val="00547EBB"/>
    <w:rPr>
      <w:rFonts w:ascii="Times New Roman" w:hAnsi="Times New Roman"/>
      <w:b/>
      <w:bCs/>
      <w:kern w:val="0"/>
      <w:sz w:val="20"/>
      <w:szCs w:val="20"/>
      <w14:ligatures w14:val="none"/>
    </w:rPr>
  </w:style>
  <w:style w:type="paragraph" w:styleId="Revision">
    <w:name w:val="Revision"/>
    <w:hidden/>
    <w:uiPriority w:val="99"/>
    <w:semiHidden/>
    <w:rsid w:val="002244ED"/>
    <w:pPr>
      <w:spacing w:after="0" w:line="240" w:lineRule="auto"/>
    </w:pPr>
    <w:rPr>
      <w:rFonts w:ascii="Times New Roman" w:hAnsi="Times New Roman"/>
      <w:kern w:val="0"/>
      <w:szCs w:val="20"/>
      <w14:ligatures w14:val="none"/>
    </w:rPr>
  </w:style>
  <w:style w:type="character" w:styleId="UnresolvedMention">
    <w:name w:val="Unresolved Mention"/>
    <w:basedOn w:val="DefaultParagraphFont"/>
    <w:uiPriority w:val="99"/>
    <w:semiHidden/>
    <w:unhideWhenUsed/>
    <w:rsid w:val="00492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6803">
      <w:bodyDiv w:val="1"/>
      <w:marLeft w:val="0"/>
      <w:marRight w:val="0"/>
      <w:marTop w:val="0"/>
      <w:marBottom w:val="0"/>
      <w:divBdr>
        <w:top w:val="none" w:sz="0" w:space="0" w:color="auto"/>
        <w:left w:val="none" w:sz="0" w:space="0" w:color="auto"/>
        <w:bottom w:val="none" w:sz="0" w:space="0" w:color="auto"/>
        <w:right w:val="none" w:sz="0" w:space="0" w:color="auto"/>
      </w:divBdr>
    </w:div>
    <w:div w:id="1770197200">
      <w:bodyDiv w:val="1"/>
      <w:marLeft w:val="0"/>
      <w:marRight w:val="0"/>
      <w:marTop w:val="0"/>
      <w:marBottom w:val="0"/>
      <w:divBdr>
        <w:top w:val="none" w:sz="0" w:space="0" w:color="auto"/>
        <w:left w:val="none" w:sz="0" w:space="0" w:color="auto"/>
        <w:bottom w:val="none" w:sz="0" w:space="0" w:color="auto"/>
        <w:right w:val="none" w:sz="0" w:space="0" w:color="auto"/>
      </w:divBdr>
    </w:div>
    <w:div w:id="1781336971">
      <w:bodyDiv w:val="1"/>
      <w:marLeft w:val="0"/>
      <w:marRight w:val="0"/>
      <w:marTop w:val="0"/>
      <w:marBottom w:val="0"/>
      <w:divBdr>
        <w:top w:val="none" w:sz="0" w:space="0" w:color="auto"/>
        <w:left w:val="none" w:sz="0" w:space="0" w:color="auto"/>
        <w:bottom w:val="none" w:sz="0" w:space="0" w:color="auto"/>
        <w:right w:val="none" w:sz="0" w:space="0" w:color="auto"/>
      </w:divBdr>
    </w:div>
    <w:div w:id="21094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69B3B1D6A5F4A8CD43DE181B6DD0A" ma:contentTypeVersion="" ma:contentTypeDescription="PDMS Document Site Content Type" ma:contentTypeScope="" ma:versionID="a0ac1d39a1d348c86deb926710e5d26f">
  <xsd:schema xmlns:xsd="http://www.w3.org/2001/XMLSchema" xmlns:xs="http://www.w3.org/2001/XMLSchema" xmlns:p="http://schemas.microsoft.com/office/2006/metadata/properties" xmlns:ns2="31EC5D6C-7394-4809-A693-4754D1A8A473" targetNamespace="http://schemas.microsoft.com/office/2006/metadata/properties" ma:root="true" ma:fieldsID="cd8fad981737a08e40e945cc00b5ab7b" ns2:_="">
    <xsd:import namespace="31EC5D6C-7394-4809-A693-4754D1A8A47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5D6C-7394-4809-A693-4754D1A8A47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1EC5D6C-7394-4809-A693-4754D1A8A4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0034F-5070-412C-B5D5-CC740C6BF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5D6C-7394-4809-A693-4754D1A8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BFBB8-8650-4D26-9B63-3DB61DC1F151}">
  <ds:schemaRefs>
    <ds:schemaRef ds:uri="31EC5D6C-7394-4809-A693-4754D1A8A47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7380230-3396-4275-A7E4-CF1BF0A0F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12802</Words>
  <Characters>72977</Characters>
  <Application>Microsoft Office Word</Application>
  <DocSecurity>4</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BRANCATINI, Gabriella</dc:creator>
  <cp:keywords/>
  <dc:description/>
  <cp:lastModifiedBy>MCDONALD, Jess</cp:lastModifiedBy>
  <cp:revision>2</cp:revision>
  <dcterms:created xsi:type="dcterms:W3CDTF">2025-04-23T05:44:00Z</dcterms:created>
  <dcterms:modified xsi:type="dcterms:W3CDTF">2025-04-23T05:44:00Z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0x010100266966F133664895A6EE3632470D45F500CEF69B3B1D6A5F4A8CD43DE181B6DD0A</vt:lpwstr>
  </property>
</Properties>
</file>