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C910" w14:textId="77777777" w:rsidR="00E30C11" w:rsidRPr="005A7CC2" w:rsidRDefault="00E30C11" w:rsidP="00E30C11">
      <w:pPr>
        <w:jc w:val="center"/>
        <w:rPr>
          <w:rFonts w:ascii="Times New Roman" w:hAnsi="Times New Roman"/>
          <w:b/>
          <w:bCs/>
          <w:sz w:val="22"/>
          <w:szCs w:val="22"/>
          <w:u w:val="single"/>
        </w:rPr>
      </w:pPr>
      <w:r w:rsidRPr="005A7CC2">
        <w:rPr>
          <w:rFonts w:ascii="Times New Roman" w:hAnsi="Times New Roman"/>
          <w:b/>
          <w:bCs/>
          <w:sz w:val="22"/>
          <w:szCs w:val="22"/>
          <w:u w:val="single"/>
        </w:rPr>
        <w:t>EXPLANATORY STATEMENT</w:t>
      </w:r>
    </w:p>
    <w:p w14:paraId="15784D6C" w14:textId="77777777" w:rsidR="00E30C11" w:rsidRPr="005A7CC2" w:rsidRDefault="00E30C11" w:rsidP="00E30C11">
      <w:pPr>
        <w:jc w:val="center"/>
        <w:rPr>
          <w:rFonts w:ascii="Times New Roman" w:hAnsi="Times New Roman"/>
          <w:b/>
          <w:sz w:val="22"/>
          <w:szCs w:val="22"/>
        </w:rPr>
      </w:pPr>
    </w:p>
    <w:p w14:paraId="433EDD35" w14:textId="77777777" w:rsidR="00E30C11" w:rsidRPr="005A7CC2" w:rsidRDefault="00E30C11" w:rsidP="00E30C11">
      <w:pPr>
        <w:jc w:val="center"/>
        <w:rPr>
          <w:rFonts w:ascii="Times New Roman" w:hAnsi="Times New Roman"/>
          <w:bCs/>
          <w:i/>
          <w:iCs/>
          <w:sz w:val="22"/>
          <w:szCs w:val="22"/>
        </w:rPr>
      </w:pPr>
      <w:r w:rsidRPr="005A7CC2">
        <w:rPr>
          <w:rFonts w:ascii="Times New Roman" w:hAnsi="Times New Roman"/>
          <w:bCs/>
          <w:i/>
          <w:iCs/>
          <w:sz w:val="22"/>
          <w:szCs w:val="22"/>
        </w:rPr>
        <w:t>Therapeutic Goods Act 1989</w:t>
      </w:r>
    </w:p>
    <w:p w14:paraId="5DB92433" w14:textId="77777777" w:rsidR="00E30C11" w:rsidRPr="005A7CC2" w:rsidRDefault="00E30C11" w:rsidP="00E30C11">
      <w:pPr>
        <w:jc w:val="center"/>
        <w:rPr>
          <w:rFonts w:ascii="Times New Roman" w:hAnsi="Times New Roman"/>
          <w:sz w:val="22"/>
          <w:szCs w:val="22"/>
          <w:u w:val="single"/>
        </w:rPr>
      </w:pPr>
    </w:p>
    <w:p w14:paraId="22AEB296" w14:textId="77777777" w:rsidR="00E30C11" w:rsidRPr="005A7CC2" w:rsidRDefault="00E30C11" w:rsidP="00E30C11">
      <w:pPr>
        <w:jc w:val="center"/>
        <w:rPr>
          <w:rFonts w:ascii="Times New Roman" w:hAnsi="Times New Roman"/>
          <w:i/>
          <w:sz w:val="22"/>
          <w:szCs w:val="22"/>
        </w:rPr>
      </w:pPr>
      <w:r w:rsidRPr="005A7CC2">
        <w:rPr>
          <w:rFonts w:ascii="Times New Roman" w:hAnsi="Times New Roman"/>
          <w:i/>
          <w:sz w:val="22"/>
          <w:szCs w:val="22"/>
        </w:rPr>
        <w:t xml:space="preserve">Therapeutic Goods (Medical Devices—Information that Must Accompany Application for Inclusion) Amendment </w:t>
      </w:r>
      <w:r w:rsidRPr="005A7CC2">
        <w:rPr>
          <w:rFonts w:ascii="Times New Roman" w:hAnsi="Times New Roman"/>
          <w:bCs/>
          <w:i/>
          <w:sz w:val="22"/>
          <w:szCs w:val="22"/>
        </w:rPr>
        <w:t>Determination (No. 3)</w:t>
      </w:r>
      <w:r w:rsidRPr="005A7CC2">
        <w:rPr>
          <w:rFonts w:ascii="Times New Roman" w:hAnsi="Times New Roman"/>
          <w:i/>
          <w:sz w:val="22"/>
          <w:szCs w:val="22"/>
        </w:rPr>
        <w:t xml:space="preserve"> 2024</w:t>
      </w:r>
    </w:p>
    <w:p w14:paraId="2305FA36" w14:textId="77777777" w:rsidR="00E30C11" w:rsidRPr="005A7CC2" w:rsidRDefault="00E30C11" w:rsidP="00E30C11">
      <w:pPr>
        <w:jc w:val="center"/>
        <w:rPr>
          <w:rFonts w:ascii="Times New Roman" w:hAnsi="Times New Roman"/>
          <w:b/>
          <w:sz w:val="22"/>
          <w:szCs w:val="22"/>
        </w:rPr>
      </w:pPr>
    </w:p>
    <w:p w14:paraId="375CBBAA" w14:textId="77777777" w:rsidR="00E30C11" w:rsidRPr="005A7CC2" w:rsidRDefault="00E30C11" w:rsidP="00E30C11">
      <w:pPr>
        <w:autoSpaceDE w:val="0"/>
        <w:autoSpaceDN w:val="0"/>
        <w:adjustRightInd w:val="0"/>
        <w:contextualSpacing/>
        <w:rPr>
          <w:rFonts w:ascii="Times New Roman" w:hAnsi="Times New Roman"/>
          <w:sz w:val="22"/>
          <w:szCs w:val="22"/>
        </w:rPr>
      </w:pPr>
      <w:bookmarkStart w:id="0" w:name="_Hlk147933680"/>
      <w:bookmarkStart w:id="1" w:name="_Hlk164676076"/>
      <w:bookmarkStart w:id="2" w:name="_Hlk183504772"/>
      <w:bookmarkStart w:id="3" w:name="_Hlk182822397"/>
      <w:r w:rsidRPr="005A7CC2">
        <w:rPr>
          <w:rFonts w:ascii="Times New Roman" w:hAnsi="Times New Roman"/>
          <w:sz w:val="22"/>
          <w:szCs w:val="22"/>
        </w:rPr>
        <w:t xml:space="preserve">The </w:t>
      </w:r>
      <w:r w:rsidRPr="005A7CC2">
        <w:rPr>
          <w:rFonts w:ascii="Times New Roman" w:hAnsi="Times New Roman"/>
          <w:i/>
          <w:sz w:val="22"/>
          <w:szCs w:val="22"/>
        </w:rPr>
        <w:t>Therapeutic Goods Act 1989</w:t>
      </w:r>
      <w:r w:rsidRPr="005A7CC2">
        <w:rPr>
          <w:rFonts w:ascii="Times New Roman" w:hAnsi="Times New Roman"/>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w:t>
      </w:r>
    </w:p>
    <w:bookmarkEnd w:id="0"/>
    <w:p w14:paraId="7B983E9F" w14:textId="77777777" w:rsidR="00E30C11" w:rsidRPr="005A7CC2" w:rsidRDefault="00E30C11" w:rsidP="00E30C11">
      <w:pPr>
        <w:autoSpaceDE w:val="0"/>
        <w:autoSpaceDN w:val="0"/>
        <w:adjustRightInd w:val="0"/>
        <w:rPr>
          <w:rFonts w:ascii="Times New Roman" w:hAnsi="Times New Roman"/>
          <w:sz w:val="22"/>
          <w:szCs w:val="22"/>
        </w:rPr>
      </w:pPr>
    </w:p>
    <w:p w14:paraId="1AA7601C" w14:textId="77777777"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Section 41FDB of the Act sets out preliminary assessment requirements in relation to an application to the Secretary for a kind of medical device to be included in the Australian Register of Therapeutic Goods (“the Register”). Relevantly, paragraph 41FDB(2)(d) provides that such an application must be accompanied by information that is of a kind determined under subsection (7) and is in a form determined under subsection (8).</w:t>
      </w:r>
    </w:p>
    <w:p w14:paraId="221EDFE0" w14:textId="77777777" w:rsidR="00E30C11" w:rsidRPr="005A7CC2" w:rsidRDefault="00E30C11" w:rsidP="00E30C11">
      <w:pPr>
        <w:autoSpaceDE w:val="0"/>
        <w:autoSpaceDN w:val="0"/>
        <w:adjustRightInd w:val="0"/>
        <w:rPr>
          <w:rFonts w:ascii="Times New Roman" w:hAnsi="Times New Roman"/>
          <w:sz w:val="22"/>
          <w:szCs w:val="22"/>
        </w:rPr>
      </w:pPr>
    </w:p>
    <w:p w14:paraId="157F55B7" w14:textId="77777777"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w:t>
      </w:r>
      <w:r w:rsidRPr="005A7CC2">
        <w:rPr>
          <w:rFonts w:ascii="Times New Roman" w:hAnsi="Times New Roman"/>
          <w:i/>
          <w:iCs/>
          <w:sz w:val="22"/>
          <w:szCs w:val="22"/>
        </w:rPr>
        <w:t>Therapeutic Goods (Medical Devices—Information that Must Accompany Application for Inclusion) Determination 2018</w:t>
      </w:r>
      <w:r w:rsidRPr="005A7CC2">
        <w:rPr>
          <w:rFonts w:ascii="Times New Roman" w:hAnsi="Times New Roman"/>
          <w:sz w:val="22"/>
          <w:szCs w:val="22"/>
        </w:rPr>
        <w:t xml:space="preserve"> (“the Principal Determination”) is a legislative instrument made under subsections 41</w:t>
      </w:r>
      <w:proofErr w:type="gramStart"/>
      <w:r w:rsidRPr="005A7CC2">
        <w:rPr>
          <w:rFonts w:ascii="Times New Roman" w:hAnsi="Times New Roman"/>
          <w:sz w:val="22"/>
          <w:szCs w:val="22"/>
        </w:rPr>
        <w:t>FDB(</w:t>
      </w:r>
      <w:proofErr w:type="gramEnd"/>
      <w:r w:rsidRPr="005A7CC2">
        <w:rPr>
          <w:rFonts w:ascii="Times New Roman" w:hAnsi="Times New Roman"/>
          <w:sz w:val="22"/>
          <w:szCs w:val="22"/>
        </w:rPr>
        <w:t>7) and (8) of the Act. It determines the kind of information, and the form of information, that must accompany an application for a kind of medical device to be included in the Register (“application for inclusion”).</w:t>
      </w:r>
    </w:p>
    <w:p w14:paraId="51080FF1" w14:textId="77777777" w:rsidR="00E30C11" w:rsidRPr="005A7CC2" w:rsidRDefault="00E30C11" w:rsidP="00E30C11">
      <w:pPr>
        <w:autoSpaceDE w:val="0"/>
        <w:autoSpaceDN w:val="0"/>
        <w:adjustRightInd w:val="0"/>
        <w:rPr>
          <w:rFonts w:ascii="Times New Roman" w:hAnsi="Times New Roman"/>
          <w:sz w:val="22"/>
          <w:szCs w:val="22"/>
        </w:rPr>
      </w:pPr>
    </w:p>
    <w:p w14:paraId="3D586ED0" w14:textId="26560F52"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The </w:t>
      </w:r>
      <w:r w:rsidRPr="005A7CC2">
        <w:rPr>
          <w:rFonts w:ascii="Times New Roman" w:hAnsi="Times New Roman"/>
          <w:i/>
          <w:sz w:val="22"/>
          <w:szCs w:val="22"/>
        </w:rPr>
        <w:t xml:space="preserve">Therapeutic Goods (Medical Devices—Information that Must Accompany Application for Inclusion) Amendment </w:t>
      </w:r>
      <w:r w:rsidRPr="005A7CC2">
        <w:rPr>
          <w:rFonts w:ascii="Times New Roman" w:hAnsi="Times New Roman"/>
          <w:bCs/>
          <w:i/>
          <w:sz w:val="22"/>
          <w:szCs w:val="22"/>
        </w:rPr>
        <w:t>Determination (No. 3)</w:t>
      </w:r>
      <w:r w:rsidRPr="005A7CC2">
        <w:rPr>
          <w:rFonts w:ascii="Times New Roman" w:hAnsi="Times New Roman"/>
          <w:i/>
          <w:sz w:val="22"/>
          <w:szCs w:val="22"/>
        </w:rPr>
        <w:t xml:space="preserve"> 2024 </w:t>
      </w:r>
      <w:r w:rsidRPr="005A7CC2">
        <w:rPr>
          <w:rFonts w:ascii="Times New Roman" w:hAnsi="Times New Roman"/>
          <w:sz w:val="22"/>
          <w:szCs w:val="22"/>
        </w:rPr>
        <w:t>(“the Amendment Determination”) is made under subsection 41</w:t>
      </w:r>
      <w:proofErr w:type="gramStart"/>
      <w:r w:rsidRPr="005A7CC2">
        <w:rPr>
          <w:rFonts w:ascii="Times New Roman" w:hAnsi="Times New Roman"/>
          <w:sz w:val="22"/>
          <w:szCs w:val="22"/>
        </w:rPr>
        <w:t>FDB(</w:t>
      </w:r>
      <w:proofErr w:type="gramEnd"/>
      <w:r w:rsidRPr="005A7CC2">
        <w:rPr>
          <w:rFonts w:ascii="Times New Roman" w:hAnsi="Times New Roman"/>
          <w:sz w:val="22"/>
          <w:szCs w:val="22"/>
        </w:rPr>
        <w:t>7) of the Act. It amends the Principal Determination to align the transition timelines</w:t>
      </w:r>
      <w:r w:rsidR="006A67F0" w:rsidRPr="005A7CC2">
        <w:rPr>
          <w:rFonts w:ascii="Times New Roman" w:hAnsi="Times New Roman"/>
          <w:sz w:val="22"/>
          <w:szCs w:val="22"/>
        </w:rPr>
        <w:t xml:space="preserve"> </w:t>
      </w:r>
      <w:r w:rsidR="00C16DB9" w:rsidRPr="00381D34">
        <w:rPr>
          <w:rFonts w:ascii="Times New Roman" w:hAnsi="Times New Roman"/>
          <w:sz w:val="22"/>
          <w:szCs w:val="22"/>
        </w:rPr>
        <w:t xml:space="preserve">for acceptability </w:t>
      </w:r>
      <w:r w:rsidR="00C16DB9" w:rsidRPr="005A7CC2">
        <w:rPr>
          <w:rFonts w:ascii="Times New Roman" w:hAnsi="Times New Roman"/>
          <w:sz w:val="22"/>
          <w:szCs w:val="22"/>
        </w:rPr>
        <w:t>of European</w:t>
      </w:r>
      <w:r w:rsidR="005F7151" w:rsidRPr="005A7CC2">
        <w:rPr>
          <w:rFonts w:ascii="Times New Roman" w:hAnsi="Times New Roman"/>
          <w:sz w:val="22"/>
          <w:szCs w:val="22"/>
        </w:rPr>
        <w:t xml:space="preserve"> regulatory</w:t>
      </w:r>
      <w:r w:rsidR="00C16DB9" w:rsidRPr="005A7CC2">
        <w:rPr>
          <w:rFonts w:ascii="Times New Roman" w:hAnsi="Times New Roman"/>
          <w:sz w:val="22"/>
          <w:szCs w:val="22"/>
        </w:rPr>
        <w:t xml:space="preserve"> approvals </w:t>
      </w:r>
      <w:r w:rsidR="006A67F0" w:rsidRPr="005A7CC2">
        <w:rPr>
          <w:rFonts w:ascii="Times New Roman" w:hAnsi="Times New Roman"/>
          <w:sz w:val="22"/>
          <w:szCs w:val="22"/>
        </w:rPr>
        <w:t xml:space="preserve">with those under </w:t>
      </w:r>
      <w:r w:rsidR="006A67F0" w:rsidRPr="005A7CC2">
        <w:rPr>
          <w:rFonts w:ascii="Times New Roman" w:hAnsi="Times New Roman"/>
          <w:i/>
          <w:iCs/>
          <w:sz w:val="22"/>
          <w:szCs w:val="22"/>
        </w:rPr>
        <w:t xml:space="preserve">Regulation (EU) 2017/746 of the European Parliament and of the Council of 5 April 2017 on in vitro diagnostic medical devices </w:t>
      </w:r>
      <w:r w:rsidR="006A67F0" w:rsidRPr="005A7CC2">
        <w:rPr>
          <w:rFonts w:ascii="Times New Roman" w:hAnsi="Times New Roman"/>
          <w:sz w:val="22"/>
          <w:szCs w:val="22"/>
        </w:rPr>
        <w:t>(“EU IVD regulation”)</w:t>
      </w:r>
      <w:r w:rsidR="00E35AE0">
        <w:rPr>
          <w:rFonts w:ascii="Times New Roman" w:hAnsi="Times New Roman"/>
          <w:sz w:val="22"/>
          <w:szCs w:val="22"/>
        </w:rPr>
        <w:t xml:space="preserve">. The Amendment Determination also introduces requirements to provide evidence </w:t>
      </w:r>
      <w:r w:rsidR="00E35AE0" w:rsidRPr="005A7CC2">
        <w:rPr>
          <w:rFonts w:ascii="Times New Roman" w:hAnsi="Times New Roman"/>
          <w:sz w:val="22"/>
          <w:szCs w:val="22"/>
        </w:rPr>
        <w:t xml:space="preserve">that steps are being taken by the manufacturer </w:t>
      </w:r>
      <w:r w:rsidR="00E35AE0">
        <w:rPr>
          <w:rFonts w:ascii="Times New Roman" w:hAnsi="Times New Roman"/>
          <w:sz w:val="22"/>
          <w:szCs w:val="22"/>
        </w:rPr>
        <w:t>of a</w:t>
      </w:r>
      <w:r w:rsidRPr="005A7CC2">
        <w:rPr>
          <w:rFonts w:ascii="Times New Roman" w:hAnsi="Times New Roman"/>
          <w:sz w:val="22"/>
          <w:szCs w:val="22"/>
        </w:rPr>
        <w:t xml:space="preserve"> Class</w:t>
      </w:r>
      <w:r w:rsidR="002F411F" w:rsidRPr="005A7CC2">
        <w:rPr>
          <w:rFonts w:ascii="Times New Roman" w:hAnsi="Times New Roman"/>
          <w:sz w:val="22"/>
          <w:szCs w:val="22"/>
        </w:rPr>
        <w:t> </w:t>
      </w:r>
      <w:r w:rsidRPr="005A7CC2">
        <w:rPr>
          <w:rFonts w:ascii="Times New Roman" w:hAnsi="Times New Roman"/>
          <w:sz w:val="22"/>
          <w:szCs w:val="22"/>
        </w:rPr>
        <w:t>2</w:t>
      </w:r>
      <w:r w:rsidR="005F7151" w:rsidRPr="005A7CC2">
        <w:rPr>
          <w:rFonts w:ascii="Times New Roman" w:hAnsi="Times New Roman"/>
          <w:sz w:val="22"/>
          <w:szCs w:val="22"/>
        </w:rPr>
        <w:t xml:space="preserve">, </w:t>
      </w:r>
      <w:r w:rsidR="002F411F" w:rsidRPr="005A7CC2">
        <w:rPr>
          <w:rFonts w:ascii="Times New Roman" w:hAnsi="Times New Roman"/>
          <w:sz w:val="22"/>
          <w:szCs w:val="22"/>
        </w:rPr>
        <w:t>Class </w:t>
      </w:r>
      <w:r w:rsidR="005F7151" w:rsidRPr="005A7CC2">
        <w:rPr>
          <w:rFonts w:ascii="Times New Roman" w:hAnsi="Times New Roman"/>
          <w:sz w:val="22"/>
          <w:szCs w:val="22"/>
        </w:rPr>
        <w:t>3</w:t>
      </w:r>
      <w:r w:rsidRPr="005A7CC2">
        <w:rPr>
          <w:rFonts w:ascii="Times New Roman" w:hAnsi="Times New Roman"/>
          <w:sz w:val="22"/>
          <w:szCs w:val="22"/>
        </w:rPr>
        <w:t xml:space="preserve"> </w:t>
      </w:r>
      <w:r w:rsidR="0035184B">
        <w:rPr>
          <w:rFonts w:ascii="Times New Roman" w:hAnsi="Times New Roman"/>
          <w:sz w:val="22"/>
          <w:szCs w:val="22"/>
        </w:rPr>
        <w:t>or</w:t>
      </w:r>
      <w:r w:rsidR="002F411F" w:rsidRPr="005A7CC2">
        <w:rPr>
          <w:rFonts w:ascii="Times New Roman" w:hAnsi="Times New Roman"/>
          <w:sz w:val="22"/>
          <w:szCs w:val="22"/>
        </w:rPr>
        <w:t xml:space="preserve"> Class </w:t>
      </w:r>
      <w:r w:rsidR="005F7151" w:rsidRPr="005A7CC2">
        <w:rPr>
          <w:rFonts w:ascii="Times New Roman" w:hAnsi="Times New Roman"/>
          <w:sz w:val="22"/>
          <w:szCs w:val="22"/>
        </w:rPr>
        <w:t>4</w:t>
      </w:r>
      <w:r w:rsidRPr="005A7CC2">
        <w:rPr>
          <w:rFonts w:ascii="Times New Roman" w:hAnsi="Times New Roman"/>
          <w:sz w:val="22"/>
          <w:szCs w:val="22"/>
        </w:rPr>
        <w:t xml:space="preserve"> in vitro diagnostic medical device (“IVD medical device”)</w:t>
      </w:r>
      <w:r w:rsidR="00E35AE0">
        <w:rPr>
          <w:rFonts w:ascii="Times New Roman" w:hAnsi="Times New Roman"/>
          <w:sz w:val="22"/>
          <w:szCs w:val="22"/>
        </w:rPr>
        <w:t xml:space="preserve"> to </w:t>
      </w:r>
      <w:r w:rsidR="00E35AE0" w:rsidRPr="005A7CC2">
        <w:rPr>
          <w:rFonts w:ascii="Times New Roman" w:hAnsi="Times New Roman"/>
          <w:sz w:val="22"/>
          <w:szCs w:val="22"/>
        </w:rPr>
        <w:t xml:space="preserve">transition to </w:t>
      </w:r>
      <w:r w:rsidR="00E35AE0">
        <w:rPr>
          <w:rFonts w:ascii="Times New Roman" w:hAnsi="Times New Roman"/>
          <w:sz w:val="22"/>
          <w:szCs w:val="22"/>
        </w:rPr>
        <w:t xml:space="preserve">compliance with </w:t>
      </w:r>
      <w:r w:rsidR="00E35AE0" w:rsidRPr="005A7CC2">
        <w:rPr>
          <w:rFonts w:ascii="Times New Roman" w:hAnsi="Times New Roman"/>
          <w:sz w:val="22"/>
          <w:szCs w:val="22"/>
        </w:rPr>
        <w:t>the EU IVD regulation</w:t>
      </w:r>
      <w:r w:rsidRPr="005A7CC2">
        <w:rPr>
          <w:rFonts w:ascii="Times New Roman" w:hAnsi="Times New Roman"/>
          <w:sz w:val="22"/>
          <w:szCs w:val="22"/>
        </w:rPr>
        <w:t>.</w:t>
      </w:r>
    </w:p>
    <w:p w14:paraId="049FE860" w14:textId="77777777" w:rsidR="00E30C11" w:rsidRPr="005A7CC2" w:rsidRDefault="00E30C11" w:rsidP="00E30C11">
      <w:pPr>
        <w:autoSpaceDE w:val="0"/>
        <w:autoSpaceDN w:val="0"/>
        <w:adjustRightInd w:val="0"/>
        <w:rPr>
          <w:rFonts w:ascii="Times New Roman" w:hAnsi="Times New Roman"/>
          <w:sz w:val="22"/>
          <w:szCs w:val="22"/>
        </w:rPr>
      </w:pPr>
    </w:p>
    <w:p w14:paraId="05A250F1" w14:textId="77777777" w:rsidR="00E30C11" w:rsidRPr="005A7CC2" w:rsidRDefault="00E30C11" w:rsidP="00E30C11">
      <w:pPr>
        <w:autoSpaceDE w:val="0"/>
        <w:autoSpaceDN w:val="0"/>
        <w:adjustRightInd w:val="0"/>
        <w:rPr>
          <w:rFonts w:ascii="Times New Roman" w:hAnsi="Times New Roman"/>
          <w:b/>
          <w:bCs/>
          <w:sz w:val="22"/>
          <w:szCs w:val="22"/>
        </w:rPr>
      </w:pPr>
      <w:bookmarkStart w:id="4" w:name="_Hlk101862842"/>
      <w:bookmarkStart w:id="5" w:name="_Hlk101947375"/>
      <w:r w:rsidRPr="005A7CC2">
        <w:rPr>
          <w:rFonts w:ascii="Times New Roman" w:hAnsi="Times New Roman"/>
          <w:b/>
          <w:bCs/>
          <w:sz w:val="22"/>
          <w:szCs w:val="22"/>
        </w:rPr>
        <w:t>Background</w:t>
      </w:r>
    </w:p>
    <w:p w14:paraId="3F07EB84" w14:textId="77777777" w:rsidR="00E30C11" w:rsidRPr="00ED4E9B" w:rsidRDefault="00E30C11" w:rsidP="00E30C11">
      <w:pPr>
        <w:autoSpaceDE w:val="0"/>
        <w:autoSpaceDN w:val="0"/>
        <w:adjustRightInd w:val="0"/>
        <w:rPr>
          <w:rFonts w:ascii="Times New Roman" w:hAnsi="Times New Roman"/>
          <w:sz w:val="22"/>
          <w:szCs w:val="22"/>
        </w:rPr>
      </w:pPr>
    </w:p>
    <w:p w14:paraId="2DE3091C" w14:textId="3F0E3E89"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Principal Determination requires an application for inclusion of a kind of medical device in the Register to be accompanied by conformity assessment documents which demonstrate that the manufacturer has applied appropriate conformity assessment procedures to its quality management system and to the </w:t>
      </w:r>
      <w:proofErr w:type="gramStart"/>
      <w:r w:rsidRPr="005A7CC2">
        <w:rPr>
          <w:rFonts w:ascii="Times New Roman" w:hAnsi="Times New Roman"/>
          <w:sz w:val="22"/>
          <w:szCs w:val="22"/>
        </w:rPr>
        <w:t>particular kind</w:t>
      </w:r>
      <w:proofErr w:type="gramEnd"/>
      <w:r w:rsidRPr="005A7CC2">
        <w:rPr>
          <w:rFonts w:ascii="Times New Roman" w:hAnsi="Times New Roman"/>
          <w:sz w:val="22"/>
          <w:szCs w:val="22"/>
        </w:rPr>
        <w:t xml:space="preserve"> of medical device. If an application for inclusion is not accompanied by the kind of information prescribed in the Principal Determination, the application will not pass preliminary assessment, and the Secretary must refuse the application (subsection</w:t>
      </w:r>
      <w:r w:rsidR="00E35AE0">
        <w:rPr>
          <w:rFonts w:ascii="Times New Roman" w:hAnsi="Times New Roman"/>
          <w:sz w:val="22"/>
          <w:szCs w:val="22"/>
        </w:rPr>
        <w:t> </w:t>
      </w:r>
      <w:r w:rsidRPr="005A7CC2">
        <w:rPr>
          <w:rFonts w:ascii="Times New Roman" w:hAnsi="Times New Roman"/>
          <w:sz w:val="22"/>
          <w:szCs w:val="22"/>
        </w:rPr>
        <w:t>41FDB of the Act refers).</w:t>
      </w:r>
    </w:p>
    <w:p w14:paraId="79E14F0F" w14:textId="77777777" w:rsidR="00E30C11" w:rsidRPr="005A7CC2" w:rsidRDefault="00E30C11" w:rsidP="00E30C11">
      <w:pPr>
        <w:autoSpaceDE w:val="0"/>
        <w:autoSpaceDN w:val="0"/>
        <w:adjustRightInd w:val="0"/>
        <w:rPr>
          <w:rFonts w:ascii="Times New Roman" w:hAnsi="Times New Roman"/>
          <w:sz w:val="22"/>
          <w:szCs w:val="22"/>
        </w:rPr>
      </w:pPr>
    </w:p>
    <w:p w14:paraId="53A2F520" w14:textId="77777777"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Section 6 of the Principal Determination prescribes the kind of information that must accompany an application for inclusion of an IVD medical device. Relevantly:</w:t>
      </w:r>
    </w:p>
    <w:p w14:paraId="2DA29E13" w14:textId="2081E1D7" w:rsidR="00E30C11" w:rsidRPr="005A7CC2" w:rsidRDefault="00E30C11" w:rsidP="00E30C11">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t>subsection 6(1) prescribes the kind of information that must accompany an application for inclusion of a Class 2 IVD medical device—being the conformity assessment documents that are specified by an item in the table in Part 1 of Schedule </w:t>
      </w:r>
      <w:proofErr w:type="gramStart"/>
      <w:r w:rsidRPr="005A7CC2">
        <w:rPr>
          <w:rFonts w:ascii="Times New Roman" w:hAnsi="Times New Roman"/>
          <w:sz w:val="22"/>
          <w:szCs w:val="22"/>
        </w:rPr>
        <w:t>2;</w:t>
      </w:r>
      <w:proofErr w:type="gramEnd"/>
      <w:r w:rsidRPr="005A7CC2">
        <w:rPr>
          <w:rFonts w:ascii="Times New Roman" w:hAnsi="Times New Roman"/>
          <w:sz w:val="22"/>
          <w:szCs w:val="22"/>
        </w:rPr>
        <w:t xml:space="preserve">  </w:t>
      </w:r>
    </w:p>
    <w:p w14:paraId="52970363" w14:textId="31C1C74E" w:rsidR="00E30C11" w:rsidRPr="005A7CC2" w:rsidRDefault="00E30C11" w:rsidP="00E30C11">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t>subsection 6(3) prescribes the kind of information that must accompany an application for inclusion of a Class 3 IVD medical device—being the conformity assessment documents that are specified by an item in the table in Part 2 of Schedule 2</w:t>
      </w:r>
      <w:r w:rsidR="00EE1E1D">
        <w:rPr>
          <w:rFonts w:ascii="Times New Roman" w:hAnsi="Times New Roman"/>
          <w:sz w:val="22"/>
          <w:szCs w:val="22"/>
        </w:rPr>
        <w:t>; and</w:t>
      </w:r>
    </w:p>
    <w:p w14:paraId="6E79D21C" w14:textId="2D488209" w:rsidR="00C97B71" w:rsidRPr="005A7CC2" w:rsidRDefault="00C97B71" w:rsidP="005A7CC2">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t>subsection 6(5) prescribes the kind of information that must accompany an application for inclusion of a Class 4 IVD medical device—being the conformity assessment documents that are specified by an item in the table in Part </w:t>
      </w:r>
      <w:r w:rsidR="002F411F" w:rsidRPr="005A7CC2">
        <w:rPr>
          <w:rFonts w:ascii="Times New Roman" w:hAnsi="Times New Roman"/>
          <w:sz w:val="22"/>
          <w:szCs w:val="22"/>
        </w:rPr>
        <w:t>3</w:t>
      </w:r>
      <w:r w:rsidR="0035184B">
        <w:rPr>
          <w:rFonts w:ascii="Times New Roman" w:hAnsi="Times New Roman"/>
          <w:sz w:val="22"/>
          <w:szCs w:val="22"/>
        </w:rPr>
        <w:t xml:space="preserve"> </w:t>
      </w:r>
      <w:r w:rsidRPr="005A7CC2">
        <w:rPr>
          <w:rFonts w:ascii="Times New Roman" w:hAnsi="Times New Roman"/>
          <w:sz w:val="22"/>
          <w:szCs w:val="22"/>
        </w:rPr>
        <w:t>of Schedule 2.</w:t>
      </w:r>
    </w:p>
    <w:p w14:paraId="0669C78F" w14:textId="77777777" w:rsidR="00E30C11" w:rsidRPr="005A7CC2" w:rsidRDefault="00E30C11" w:rsidP="00E30C11">
      <w:pPr>
        <w:autoSpaceDE w:val="0"/>
        <w:autoSpaceDN w:val="0"/>
        <w:adjustRightInd w:val="0"/>
        <w:rPr>
          <w:rFonts w:ascii="Times New Roman" w:hAnsi="Times New Roman"/>
          <w:sz w:val="22"/>
          <w:szCs w:val="22"/>
        </w:rPr>
      </w:pPr>
    </w:p>
    <w:p w14:paraId="3CBD49A4" w14:textId="5E4391C3" w:rsidR="004B6292"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The tables in Schedule 2 to the Principal Determination set out the information that must accompany an application for inclusion. For each of the tables in Schedule 2, each item sets out conformity assessment documents, relating to the manufacturer’s quality management system and to product assessment (if any)</w:t>
      </w:r>
      <w:r w:rsidR="00E35AE0">
        <w:rPr>
          <w:rFonts w:ascii="Times New Roman" w:hAnsi="Times New Roman"/>
          <w:sz w:val="22"/>
          <w:szCs w:val="22"/>
        </w:rPr>
        <w:t xml:space="preserve"> </w:t>
      </w:r>
      <w:r w:rsidRPr="005A7CC2">
        <w:rPr>
          <w:rFonts w:ascii="Times New Roman" w:hAnsi="Times New Roman"/>
          <w:sz w:val="22"/>
          <w:szCs w:val="22"/>
        </w:rPr>
        <w:t>that an applicant may seek to rely on to support their application</w:t>
      </w:r>
      <w:r w:rsidR="00E35AE0">
        <w:rPr>
          <w:rFonts w:ascii="Times New Roman" w:hAnsi="Times New Roman"/>
          <w:sz w:val="22"/>
          <w:szCs w:val="22"/>
        </w:rPr>
        <w:t xml:space="preserve"> for inclusion</w:t>
      </w:r>
      <w:r w:rsidRPr="005A7CC2">
        <w:rPr>
          <w:rFonts w:ascii="Times New Roman" w:hAnsi="Times New Roman"/>
          <w:sz w:val="22"/>
          <w:szCs w:val="22"/>
        </w:rPr>
        <w:t xml:space="preserve">. A number of these pathways specify conformity assessment documents that are issued </w:t>
      </w:r>
      <w:r w:rsidR="000A5C67" w:rsidRPr="005A7CC2">
        <w:rPr>
          <w:rFonts w:ascii="Times New Roman" w:hAnsi="Times New Roman"/>
          <w:sz w:val="22"/>
          <w:szCs w:val="22"/>
        </w:rPr>
        <w:t xml:space="preserve">or recognised </w:t>
      </w:r>
      <w:r w:rsidRPr="005A7CC2">
        <w:rPr>
          <w:rFonts w:ascii="Times New Roman" w:hAnsi="Times New Roman"/>
          <w:sz w:val="22"/>
          <w:szCs w:val="22"/>
        </w:rPr>
        <w:t>by comparable overseas regulators, such as notified bodies.</w:t>
      </w:r>
      <w:r w:rsidR="004B6292" w:rsidRPr="005A7CC2">
        <w:rPr>
          <w:rFonts w:ascii="Times New Roman" w:hAnsi="Times New Roman"/>
          <w:sz w:val="22"/>
          <w:szCs w:val="22"/>
        </w:rPr>
        <w:t xml:space="preserve"> </w:t>
      </w:r>
      <w:r w:rsidRPr="005A7CC2">
        <w:rPr>
          <w:rFonts w:ascii="Times New Roman" w:hAnsi="Times New Roman"/>
          <w:sz w:val="22"/>
          <w:szCs w:val="22"/>
        </w:rPr>
        <w:t xml:space="preserve">Notified bodies are bodies that have been designated by a member state of the </w:t>
      </w:r>
      <w:r w:rsidR="006A67F0" w:rsidRPr="005A7CC2">
        <w:rPr>
          <w:rFonts w:ascii="Times New Roman" w:hAnsi="Times New Roman"/>
          <w:sz w:val="22"/>
          <w:szCs w:val="22"/>
        </w:rPr>
        <w:t>European Union (“</w:t>
      </w:r>
      <w:r w:rsidR="000A5C67" w:rsidRPr="005A7CC2">
        <w:rPr>
          <w:rFonts w:ascii="Times New Roman" w:hAnsi="Times New Roman"/>
          <w:sz w:val="22"/>
          <w:szCs w:val="22"/>
        </w:rPr>
        <w:t>EU</w:t>
      </w:r>
      <w:r w:rsidR="006A67F0" w:rsidRPr="005A7CC2">
        <w:rPr>
          <w:rFonts w:ascii="Times New Roman" w:hAnsi="Times New Roman"/>
          <w:sz w:val="22"/>
          <w:szCs w:val="22"/>
        </w:rPr>
        <w:t>”)</w:t>
      </w:r>
      <w:r w:rsidRPr="005A7CC2">
        <w:rPr>
          <w:rFonts w:ascii="Times New Roman" w:hAnsi="Times New Roman"/>
          <w:sz w:val="22"/>
          <w:szCs w:val="22"/>
        </w:rPr>
        <w:t>, and notified to the European Commission, to assess the conformity of medical devices, including IVD medical devices.</w:t>
      </w:r>
    </w:p>
    <w:p w14:paraId="793E77C2" w14:textId="77777777" w:rsidR="006A67F0" w:rsidRPr="005A7CC2" w:rsidRDefault="006A67F0" w:rsidP="00E30C11">
      <w:pPr>
        <w:autoSpaceDE w:val="0"/>
        <w:autoSpaceDN w:val="0"/>
        <w:adjustRightInd w:val="0"/>
        <w:rPr>
          <w:rFonts w:ascii="Times New Roman" w:hAnsi="Times New Roman"/>
          <w:sz w:val="22"/>
          <w:szCs w:val="22"/>
        </w:rPr>
      </w:pPr>
    </w:p>
    <w:p w14:paraId="3E542FA7" w14:textId="06ADD67A"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This reflects that for certain kinds of devices, the TGA will consider evidence from a comparable overseas regulator in support of an application for inclusion. This reduces regulatory burden for applicants who can rely on overseas conformity assessment documents in support of their application, and do not need to </w:t>
      </w:r>
      <w:r w:rsidR="00E35AE0">
        <w:rPr>
          <w:rFonts w:ascii="Times New Roman" w:hAnsi="Times New Roman"/>
          <w:sz w:val="22"/>
          <w:szCs w:val="22"/>
        </w:rPr>
        <w:t xml:space="preserve">separately </w:t>
      </w:r>
      <w:r w:rsidRPr="005A7CC2">
        <w:rPr>
          <w:rFonts w:ascii="Times New Roman" w:hAnsi="Times New Roman"/>
          <w:sz w:val="22"/>
          <w:szCs w:val="22"/>
        </w:rPr>
        <w:t>apply for Australian conformity assessment documents.</w:t>
      </w:r>
    </w:p>
    <w:p w14:paraId="3EB4E891" w14:textId="77777777" w:rsidR="00E30C11" w:rsidRPr="005A7CC2" w:rsidRDefault="00E30C11" w:rsidP="00E30C11">
      <w:pPr>
        <w:autoSpaceDE w:val="0"/>
        <w:autoSpaceDN w:val="0"/>
        <w:adjustRightInd w:val="0"/>
        <w:rPr>
          <w:rFonts w:ascii="Times New Roman" w:hAnsi="Times New Roman"/>
          <w:sz w:val="22"/>
          <w:szCs w:val="22"/>
        </w:rPr>
      </w:pPr>
    </w:p>
    <w:p w14:paraId="3D4AE6C8" w14:textId="77777777" w:rsidR="00E30C11" w:rsidRPr="005A7CC2" w:rsidRDefault="00E30C11" w:rsidP="00E30C11">
      <w:pPr>
        <w:autoSpaceDE w:val="0"/>
        <w:autoSpaceDN w:val="0"/>
        <w:adjustRightInd w:val="0"/>
        <w:rPr>
          <w:rFonts w:ascii="Times New Roman" w:hAnsi="Times New Roman"/>
          <w:b/>
          <w:bCs/>
          <w:sz w:val="22"/>
          <w:szCs w:val="22"/>
        </w:rPr>
      </w:pPr>
      <w:r w:rsidRPr="005A7CC2">
        <w:rPr>
          <w:rFonts w:ascii="Times New Roman" w:hAnsi="Times New Roman"/>
          <w:b/>
          <w:bCs/>
          <w:sz w:val="22"/>
          <w:szCs w:val="22"/>
        </w:rPr>
        <w:t>Purpose</w:t>
      </w:r>
    </w:p>
    <w:p w14:paraId="7D8453E7" w14:textId="77777777" w:rsidR="00E30C11" w:rsidRPr="005A7CC2" w:rsidRDefault="00E30C11" w:rsidP="00E30C11">
      <w:pPr>
        <w:autoSpaceDE w:val="0"/>
        <w:autoSpaceDN w:val="0"/>
        <w:adjustRightInd w:val="0"/>
        <w:rPr>
          <w:rFonts w:ascii="Times New Roman" w:hAnsi="Times New Roman"/>
          <w:b/>
          <w:bCs/>
          <w:sz w:val="22"/>
          <w:szCs w:val="22"/>
        </w:rPr>
      </w:pPr>
    </w:p>
    <w:p w14:paraId="5893CF89" w14:textId="59D39E91"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purpose of the Amendment Determination is to align the transition timelines </w:t>
      </w:r>
      <w:r w:rsidR="00C16DB9" w:rsidRPr="005A7CC2">
        <w:rPr>
          <w:rFonts w:ascii="Times New Roman" w:hAnsi="Times New Roman"/>
          <w:sz w:val="22"/>
          <w:szCs w:val="22"/>
        </w:rPr>
        <w:t>for acceptability of European</w:t>
      </w:r>
      <w:r w:rsidR="005F7151" w:rsidRPr="005A7CC2">
        <w:rPr>
          <w:rFonts w:ascii="Times New Roman" w:hAnsi="Times New Roman"/>
          <w:sz w:val="22"/>
          <w:szCs w:val="22"/>
        </w:rPr>
        <w:t xml:space="preserve"> regulatory</w:t>
      </w:r>
      <w:r w:rsidR="00C16DB9" w:rsidRPr="005A7CC2">
        <w:rPr>
          <w:rFonts w:ascii="Times New Roman" w:hAnsi="Times New Roman"/>
          <w:sz w:val="22"/>
          <w:szCs w:val="22"/>
        </w:rPr>
        <w:t xml:space="preserve"> approvals </w:t>
      </w:r>
      <w:r w:rsidR="004B6292" w:rsidRPr="005A7CC2">
        <w:rPr>
          <w:rFonts w:ascii="Times New Roman" w:hAnsi="Times New Roman"/>
          <w:sz w:val="22"/>
          <w:szCs w:val="22"/>
        </w:rPr>
        <w:t xml:space="preserve">with those under the </w:t>
      </w:r>
      <w:r w:rsidR="006A67F0" w:rsidRPr="005A7CC2">
        <w:rPr>
          <w:rFonts w:ascii="Times New Roman" w:hAnsi="Times New Roman"/>
          <w:sz w:val="22"/>
          <w:szCs w:val="22"/>
        </w:rPr>
        <w:t xml:space="preserve">EU IVD </w:t>
      </w:r>
      <w:proofErr w:type="gramStart"/>
      <w:r w:rsidR="006A67F0" w:rsidRPr="005A7CC2">
        <w:rPr>
          <w:rFonts w:ascii="Times New Roman" w:hAnsi="Times New Roman"/>
          <w:sz w:val="22"/>
          <w:szCs w:val="22"/>
        </w:rPr>
        <w:t>regulation</w:t>
      </w:r>
      <w:r w:rsidR="004B6292" w:rsidRPr="005A7CC2">
        <w:rPr>
          <w:rFonts w:ascii="Times New Roman" w:hAnsi="Times New Roman"/>
          <w:sz w:val="22"/>
          <w:szCs w:val="22"/>
        </w:rPr>
        <w:t>, and</w:t>
      </w:r>
      <w:proofErr w:type="gramEnd"/>
      <w:r w:rsidR="004B6292" w:rsidRPr="005A7CC2">
        <w:rPr>
          <w:rFonts w:ascii="Times New Roman" w:hAnsi="Times New Roman"/>
          <w:sz w:val="22"/>
          <w:szCs w:val="22"/>
        </w:rPr>
        <w:t xml:space="preserve"> </w:t>
      </w:r>
      <w:r w:rsidR="007260BF">
        <w:rPr>
          <w:rFonts w:ascii="Times New Roman" w:hAnsi="Times New Roman"/>
          <w:sz w:val="22"/>
          <w:szCs w:val="22"/>
        </w:rPr>
        <w:t>introduce a requirement for evidence to demonstrate compliance with Article 110(3c) of the EU IVD regulation for</w:t>
      </w:r>
      <w:r w:rsidR="004B6292" w:rsidRPr="005A7CC2">
        <w:rPr>
          <w:rFonts w:ascii="Times New Roman" w:hAnsi="Times New Roman"/>
          <w:sz w:val="22"/>
          <w:szCs w:val="22"/>
        </w:rPr>
        <w:t xml:space="preserve"> Class</w:t>
      </w:r>
      <w:r w:rsidR="002F411F" w:rsidRPr="005A7CC2">
        <w:rPr>
          <w:rFonts w:ascii="Times New Roman" w:hAnsi="Times New Roman"/>
          <w:sz w:val="22"/>
          <w:szCs w:val="22"/>
        </w:rPr>
        <w:t> </w:t>
      </w:r>
      <w:r w:rsidR="004B6292" w:rsidRPr="005A7CC2">
        <w:rPr>
          <w:rFonts w:ascii="Times New Roman" w:hAnsi="Times New Roman"/>
          <w:sz w:val="22"/>
          <w:szCs w:val="22"/>
        </w:rPr>
        <w:t>2</w:t>
      </w:r>
      <w:r w:rsidR="002F411F" w:rsidRPr="005A7CC2">
        <w:rPr>
          <w:rFonts w:ascii="Times New Roman" w:hAnsi="Times New Roman"/>
          <w:sz w:val="22"/>
          <w:szCs w:val="22"/>
        </w:rPr>
        <w:t>,</w:t>
      </w:r>
      <w:r w:rsidR="004B6292" w:rsidRPr="005A7CC2">
        <w:rPr>
          <w:rFonts w:ascii="Times New Roman" w:hAnsi="Times New Roman"/>
          <w:sz w:val="22"/>
          <w:szCs w:val="22"/>
        </w:rPr>
        <w:t xml:space="preserve"> Class</w:t>
      </w:r>
      <w:r w:rsidR="002F411F" w:rsidRPr="005A7CC2">
        <w:rPr>
          <w:rFonts w:ascii="Times New Roman" w:hAnsi="Times New Roman"/>
          <w:sz w:val="22"/>
          <w:szCs w:val="22"/>
        </w:rPr>
        <w:t> </w:t>
      </w:r>
      <w:r w:rsidR="004B6292" w:rsidRPr="005A7CC2">
        <w:rPr>
          <w:rFonts w:ascii="Times New Roman" w:hAnsi="Times New Roman"/>
          <w:sz w:val="22"/>
          <w:szCs w:val="22"/>
        </w:rPr>
        <w:t>3</w:t>
      </w:r>
      <w:r w:rsidR="005F7151" w:rsidRPr="005A7CC2">
        <w:rPr>
          <w:rFonts w:ascii="Times New Roman" w:hAnsi="Times New Roman"/>
          <w:sz w:val="22"/>
          <w:szCs w:val="22"/>
        </w:rPr>
        <w:t xml:space="preserve"> and Class</w:t>
      </w:r>
      <w:r w:rsidR="002F411F" w:rsidRPr="005A7CC2">
        <w:rPr>
          <w:rFonts w:ascii="Times New Roman" w:hAnsi="Times New Roman"/>
          <w:sz w:val="22"/>
          <w:szCs w:val="22"/>
        </w:rPr>
        <w:t> </w:t>
      </w:r>
      <w:r w:rsidR="005F7151" w:rsidRPr="005A7CC2">
        <w:rPr>
          <w:rFonts w:ascii="Times New Roman" w:hAnsi="Times New Roman"/>
          <w:sz w:val="22"/>
          <w:szCs w:val="22"/>
        </w:rPr>
        <w:t>4</w:t>
      </w:r>
      <w:r w:rsidR="004B6292" w:rsidRPr="005A7CC2">
        <w:rPr>
          <w:rFonts w:ascii="Times New Roman" w:hAnsi="Times New Roman"/>
          <w:sz w:val="22"/>
          <w:szCs w:val="22"/>
        </w:rPr>
        <w:t xml:space="preserve"> </w:t>
      </w:r>
      <w:r w:rsidRPr="005A7CC2">
        <w:rPr>
          <w:rFonts w:ascii="Times New Roman" w:hAnsi="Times New Roman"/>
          <w:sz w:val="22"/>
          <w:szCs w:val="22"/>
        </w:rPr>
        <w:t>IVD medical devices</w:t>
      </w:r>
      <w:r w:rsidR="005632E4">
        <w:rPr>
          <w:rFonts w:ascii="Times New Roman" w:hAnsi="Times New Roman"/>
          <w:sz w:val="22"/>
          <w:szCs w:val="22"/>
        </w:rPr>
        <w:t xml:space="preserve"> where the application for inclusion is supported by evidence issued or recognised by a notified body</w:t>
      </w:r>
      <w:r w:rsidR="006A67F0" w:rsidRPr="005A7CC2">
        <w:rPr>
          <w:rFonts w:ascii="Times New Roman" w:hAnsi="Times New Roman"/>
          <w:sz w:val="22"/>
          <w:szCs w:val="22"/>
        </w:rPr>
        <w:t xml:space="preserve">. </w:t>
      </w:r>
      <w:r w:rsidRPr="005A7CC2">
        <w:rPr>
          <w:rFonts w:ascii="Times New Roman" w:hAnsi="Times New Roman"/>
          <w:sz w:val="22"/>
          <w:szCs w:val="22"/>
        </w:rPr>
        <w:t>The amendments reduce regulatory duplication and help ensure continued access to such devices in Australia</w:t>
      </w:r>
      <w:r w:rsidR="007260BF">
        <w:rPr>
          <w:rFonts w:ascii="Times New Roman" w:hAnsi="Times New Roman"/>
          <w:sz w:val="22"/>
          <w:szCs w:val="22"/>
        </w:rPr>
        <w:t>, while ensuring that steps are being taken by manufacturers to transition to regulation under the EU IVD regulation</w:t>
      </w:r>
      <w:r w:rsidRPr="005A7CC2">
        <w:rPr>
          <w:rFonts w:ascii="Times New Roman" w:hAnsi="Times New Roman"/>
          <w:sz w:val="22"/>
          <w:szCs w:val="22"/>
        </w:rPr>
        <w:t>.</w:t>
      </w:r>
    </w:p>
    <w:p w14:paraId="398D961C" w14:textId="77777777" w:rsidR="00E30C11" w:rsidRPr="005A7CC2" w:rsidRDefault="00E30C11" w:rsidP="00E30C11">
      <w:pPr>
        <w:autoSpaceDE w:val="0"/>
        <w:autoSpaceDN w:val="0"/>
        <w:adjustRightInd w:val="0"/>
        <w:rPr>
          <w:rFonts w:ascii="Times New Roman" w:hAnsi="Times New Roman"/>
          <w:sz w:val="22"/>
          <w:szCs w:val="22"/>
        </w:rPr>
      </w:pPr>
    </w:p>
    <w:p w14:paraId="07C473C3" w14:textId="04FC8757" w:rsidR="00E30C11"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On 25 April 2024, the </w:t>
      </w:r>
      <w:r w:rsidR="006A67F0" w:rsidRPr="005A7CC2">
        <w:rPr>
          <w:rFonts w:ascii="Times New Roman" w:hAnsi="Times New Roman"/>
          <w:sz w:val="22"/>
          <w:szCs w:val="22"/>
        </w:rPr>
        <w:t>EU</w:t>
      </w:r>
      <w:r w:rsidRPr="005A7CC2">
        <w:rPr>
          <w:rFonts w:ascii="Times New Roman" w:hAnsi="Times New Roman"/>
          <w:sz w:val="22"/>
          <w:szCs w:val="22"/>
        </w:rPr>
        <w:t xml:space="preserve"> extended its transition timeframes for manufacturers to transition from </w:t>
      </w:r>
      <w:r w:rsidR="00871EED">
        <w:rPr>
          <w:rFonts w:ascii="Times New Roman" w:hAnsi="Times New Roman"/>
          <w:sz w:val="22"/>
          <w:szCs w:val="22"/>
        </w:rPr>
        <w:t>regulation under</w:t>
      </w:r>
      <w:r w:rsidR="007260BF">
        <w:rPr>
          <w:rFonts w:ascii="Times New Roman" w:hAnsi="Times New Roman"/>
          <w:sz w:val="22"/>
          <w:szCs w:val="22"/>
        </w:rPr>
        <w:t xml:space="preserve"> </w:t>
      </w:r>
      <w:r w:rsidRPr="005A7CC2">
        <w:rPr>
          <w:rFonts w:ascii="Times New Roman" w:hAnsi="Times New Roman"/>
          <w:sz w:val="22"/>
          <w:szCs w:val="22"/>
        </w:rPr>
        <w:t xml:space="preserve">Directive 98/79/EC to </w:t>
      </w:r>
      <w:r w:rsidR="00871EED">
        <w:rPr>
          <w:rFonts w:ascii="Times New Roman" w:hAnsi="Times New Roman"/>
          <w:sz w:val="22"/>
          <w:szCs w:val="22"/>
        </w:rPr>
        <w:t>regulation under</w:t>
      </w:r>
      <w:r w:rsidR="007260BF">
        <w:rPr>
          <w:rFonts w:ascii="Times New Roman" w:hAnsi="Times New Roman"/>
          <w:sz w:val="22"/>
          <w:szCs w:val="22"/>
        </w:rPr>
        <w:t xml:space="preserve"> </w:t>
      </w:r>
      <w:r w:rsidR="00862FBB" w:rsidRPr="005A7CC2">
        <w:rPr>
          <w:rFonts w:ascii="Times New Roman" w:hAnsi="Times New Roman"/>
          <w:sz w:val="22"/>
          <w:szCs w:val="22"/>
        </w:rPr>
        <w:t xml:space="preserve">the </w:t>
      </w:r>
      <w:r w:rsidRPr="005A7CC2">
        <w:rPr>
          <w:rFonts w:ascii="Times New Roman" w:hAnsi="Times New Roman"/>
          <w:sz w:val="22"/>
          <w:szCs w:val="22"/>
        </w:rPr>
        <w:t>EU IVD regulation. The extended transition timelines apply to manufacturers that meet the exemption criteria outlined in the EU IVD regulation until, relevantly:</w:t>
      </w:r>
    </w:p>
    <w:p w14:paraId="1699AD2D" w14:textId="779FBD81" w:rsidR="00E30C11" w:rsidRPr="005A7CC2" w:rsidRDefault="00E30C11" w:rsidP="00E30C11">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 xml:space="preserve">1 </w:t>
      </w:r>
      <w:r w:rsidR="006A67F0" w:rsidRPr="005A7CC2">
        <w:rPr>
          <w:rFonts w:ascii="Times New Roman" w:hAnsi="Times New Roman" w:cs="Times New Roman"/>
          <w:sz w:val="22"/>
          <w:szCs w:val="22"/>
        </w:rPr>
        <w:t>January 2030</w:t>
      </w:r>
      <w:r w:rsidR="00263EAD">
        <w:rPr>
          <w:rFonts w:ascii="Times New Roman" w:hAnsi="Times New Roman" w:cs="Times New Roman"/>
          <w:sz w:val="22"/>
          <w:szCs w:val="22"/>
        </w:rPr>
        <w:t>,</w:t>
      </w:r>
      <w:r w:rsidRPr="005A7CC2">
        <w:rPr>
          <w:rFonts w:ascii="Times New Roman" w:hAnsi="Times New Roman" w:cs="Times New Roman"/>
          <w:sz w:val="22"/>
          <w:szCs w:val="22"/>
        </w:rPr>
        <w:t xml:space="preserve"> for class B IVD medical devices (which are equivalent to Class 2 IVD medical devices in Australia); and </w:t>
      </w:r>
    </w:p>
    <w:p w14:paraId="5AF426B0" w14:textId="29121232" w:rsidR="005F7151" w:rsidRPr="005A7CC2" w:rsidRDefault="00E30C11" w:rsidP="00E30C11">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 xml:space="preserve">1 </w:t>
      </w:r>
      <w:r w:rsidR="006A67F0" w:rsidRPr="005A7CC2">
        <w:rPr>
          <w:rFonts w:ascii="Times New Roman" w:hAnsi="Times New Roman" w:cs="Times New Roman"/>
          <w:sz w:val="22"/>
          <w:szCs w:val="22"/>
        </w:rPr>
        <w:t>January</w:t>
      </w:r>
      <w:r w:rsidRPr="005A7CC2">
        <w:rPr>
          <w:rFonts w:ascii="Times New Roman" w:hAnsi="Times New Roman" w:cs="Times New Roman"/>
          <w:sz w:val="22"/>
          <w:szCs w:val="22"/>
        </w:rPr>
        <w:t xml:space="preserve"> 202</w:t>
      </w:r>
      <w:r w:rsidR="006A67F0" w:rsidRPr="005A7CC2">
        <w:rPr>
          <w:rFonts w:ascii="Times New Roman" w:hAnsi="Times New Roman" w:cs="Times New Roman"/>
          <w:sz w:val="22"/>
          <w:szCs w:val="22"/>
        </w:rPr>
        <w:t>9</w:t>
      </w:r>
      <w:r w:rsidR="00263EAD">
        <w:rPr>
          <w:rFonts w:ascii="Times New Roman" w:hAnsi="Times New Roman" w:cs="Times New Roman"/>
          <w:sz w:val="22"/>
          <w:szCs w:val="22"/>
        </w:rPr>
        <w:t>,</w:t>
      </w:r>
      <w:r w:rsidRPr="005A7CC2">
        <w:rPr>
          <w:rFonts w:ascii="Times New Roman" w:hAnsi="Times New Roman" w:cs="Times New Roman"/>
          <w:sz w:val="22"/>
          <w:szCs w:val="22"/>
        </w:rPr>
        <w:t xml:space="preserve"> for class C IVD medical devices (which are equivalent to Class 3 IVD medical devices in Australia).</w:t>
      </w:r>
    </w:p>
    <w:p w14:paraId="209546B4" w14:textId="2676FBA4" w:rsidR="00E30C11" w:rsidRPr="005A7CC2" w:rsidRDefault="005F7151" w:rsidP="005A7CC2">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1 January 2028</w:t>
      </w:r>
      <w:r w:rsidR="00263EAD">
        <w:rPr>
          <w:rFonts w:ascii="Times New Roman" w:hAnsi="Times New Roman" w:cs="Times New Roman"/>
          <w:sz w:val="22"/>
          <w:szCs w:val="22"/>
        </w:rPr>
        <w:t>,</w:t>
      </w:r>
      <w:r w:rsidRPr="005A7CC2">
        <w:rPr>
          <w:rFonts w:ascii="Times New Roman" w:hAnsi="Times New Roman" w:cs="Times New Roman"/>
          <w:sz w:val="22"/>
          <w:szCs w:val="22"/>
        </w:rPr>
        <w:t xml:space="preserve"> for class D IVD medical devices (which are equivalent to Class 4 IVD medical devices in Australia).</w:t>
      </w:r>
    </w:p>
    <w:p w14:paraId="19C63971" w14:textId="77777777" w:rsidR="00E30C11" w:rsidRPr="005A7CC2" w:rsidRDefault="00E30C11" w:rsidP="00E30C11">
      <w:pPr>
        <w:pStyle w:val="TBLText"/>
        <w:rPr>
          <w:rFonts w:ascii="Times New Roman" w:hAnsi="Times New Roman" w:cs="Times New Roman"/>
          <w:sz w:val="22"/>
          <w:szCs w:val="22"/>
        </w:rPr>
      </w:pPr>
    </w:p>
    <w:p w14:paraId="7960EB5A" w14:textId="52CEE6E0" w:rsidR="008B5BEE" w:rsidRDefault="00E30C11" w:rsidP="00E30C11">
      <w:pPr>
        <w:pStyle w:val="TBLText"/>
        <w:rPr>
          <w:rFonts w:ascii="Times New Roman" w:hAnsi="Times New Roman" w:cs="Times New Roman"/>
          <w:sz w:val="22"/>
          <w:szCs w:val="22"/>
        </w:rPr>
      </w:pPr>
      <w:r w:rsidRPr="005A7CC2">
        <w:rPr>
          <w:rFonts w:ascii="Times New Roman" w:hAnsi="Times New Roman" w:cs="Times New Roman"/>
          <w:sz w:val="22"/>
          <w:szCs w:val="22"/>
        </w:rPr>
        <w:t xml:space="preserve">The transition times for IVD medical devices outlined in the Principal Determination are based on the </w:t>
      </w:r>
      <w:r w:rsidR="006A67F0" w:rsidRPr="005A7CC2">
        <w:rPr>
          <w:rFonts w:ascii="Times New Roman" w:hAnsi="Times New Roman" w:cs="Times New Roman"/>
          <w:sz w:val="22"/>
          <w:szCs w:val="22"/>
        </w:rPr>
        <w:t>EU</w:t>
      </w:r>
      <w:r w:rsidR="000D3726" w:rsidRPr="005A7CC2">
        <w:rPr>
          <w:rFonts w:ascii="Times New Roman" w:hAnsi="Times New Roman" w:cs="Times New Roman"/>
          <w:sz w:val="22"/>
          <w:szCs w:val="22"/>
        </w:rPr>
        <w:t xml:space="preserve"> </w:t>
      </w:r>
      <w:r w:rsidRPr="005A7CC2">
        <w:rPr>
          <w:rFonts w:ascii="Times New Roman" w:hAnsi="Times New Roman" w:cs="Times New Roman"/>
          <w:sz w:val="22"/>
          <w:szCs w:val="22"/>
        </w:rPr>
        <w:t>transition timelines</w:t>
      </w:r>
      <w:r w:rsidR="008B5BEE">
        <w:rPr>
          <w:rFonts w:ascii="Times New Roman" w:hAnsi="Times New Roman" w:cs="Times New Roman"/>
          <w:sz w:val="22"/>
          <w:szCs w:val="22"/>
        </w:rPr>
        <w:t xml:space="preserve"> previously provided for in the EU IVD regulation</w:t>
      </w:r>
      <w:r w:rsidRPr="005A7CC2">
        <w:rPr>
          <w:rFonts w:ascii="Times New Roman" w:hAnsi="Times New Roman" w:cs="Times New Roman"/>
          <w:sz w:val="22"/>
          <w:szCs w:val="22"/>
        </w:rPr>
        <w:t xml:space="preserve">. </w:t>
      </w:r>
      <w:r w:rsidR="008B5BEE">
        <w:rPr>
          <w:rFonts w:ascii="Times New Roman" w:hAnsi="Times New Roman" w:cs="Times New Roman"/>
          <w:sz w:val="22"/>
          <w:szCs w:val="22"/>
        </w:rPr>
        <w:t>However,</w:t>
      </w:r>
      <w:r w:rsidRPr="005A7CC2">
        <w:rPr>
          <w:rFonts w:ascii="Times New Roman" w:hAnsi="Times New Roman" w:cs="Times New Roman"/>
          <w:sz w:val="22"/>
          <w:szCs w:val="22"/>
        </w:rPr>
        <w:t xml:space="preserve"> new transitional timeframes </w:t>
      </w:r>
      <w:r w:rsidR="008B5BEE">
        <w:rPr>
          <w:rFonts w:ascii="Times New Roman" w:hAnsi="Times New Roman" w:cs="Times New Roman"/>
          <w:sz w:val="22"/>
          <w:szCs w:val="22"/>
        </w:rPr>
        <w:t xml:space="preserve">were </w:t>
      </w:r>
      <w:r w:rsidRPr="005A7CC2">
        <w:rPr>
          <w:rFonts w:ascii="Times New Roman" w:hAnsi="Times New Roman" w:cs="Times New Roman"/>
          <w:sz w:val="22"/>
          <w:szCs w:val="22"/>
        </w:rPr>
        <w:t xml:space="preserve">introduced </w:t>
      </w:r>
      <w:r w:rsidR="008B5BEE">
        <w:rPr>
          <w:rFonts w:ascii="Times New Roman" w:hAnsi="Times New Roman" w:cs="Times New Roman"/>
          <w:sz w:val="22"/>
          <w:szCs w:val="22"/>
        </w:rPr>
        <w:t xml:space="preserve">in the EU IVD regulation </w:t>
      </w:r>
      <w:r w:rsidRPr="005A7CC2">
        <w:rPr>
          <w:rFonts w:ascii="Times New Roman" w:hAnsi="Times New Roman" w:cs="Times New Roman"/>
          <w:sz w:val="22"/>
          <w:szCs w:val="22"/>
        </w:rPr>
        <w:t xml:space="preserve">by the </w:t>
      </w:r>
      <w:r w:rsidRPr="005A7CC2">
        <w:rPr>
          <w:rFonts w:ascii="Times New Roman" w:hAnsi="Times New Roman" w:cs="Times New Roman"/>
          <w:i/>
          <w:iCs/>
          <w:sz w:val="22"/>
          <w:szCs w:val="22"/>
        </w:rPr>
        <w:t xml:space="preserve">Regulation (EU) 2024/1860 of the European Parliament and of the Council of 3 June 2024 amending Regulations (EU) 2017/745 and (EU) 2017/746 as regards a gradual roll-out of </w:t>
      </w:r>
      <w:proofErr w:type="spellStart"/>
      <w:r w:rsidRPr="005A7CC2">
        <w:rPr>
          <w:rFonts w:ascii="Times New Roman" w:hAnsi="Times New Roman" w:cs="Times New Roman"/>
          <w:i/>
          <w:iCs/>
          <w:sz w:val="22"/>
          <w:szCs w:val="22"/>
        </w:rPr>
        <w:t>Eudamed</w:t>
      </w:r>
      <w:proofErr w:type="spellEnd"/>
      <w:r w:rsidRPr="005A7CC2">
        <w:rPr>
          <w:rFonts w:ascii="Times New Roman" w:hAnsi="Times New Roman" w:cs="Times New Roman"/>
          <w:i/>
          <w:iCs/>
          <w:sz w:val="22"/>
          <w:szCs w:val="22"/>
        </w:rPr>
        <w:t>, the obligation to inform in case of interruption or discontinuation of supply, and transitional provisions for certain in vitro diagnostic medical devices.</w:t>
      </w:r>
      <w:r w:rsidR="008B5BEE" w:rsidRPr="008B5BEE">
        <w:rPr>
          <w:rFonts w:ascii="Times New Roman" w:hAnsi="Times New Roman" w:cs="Times New Roman"/>
          <w:sz w:val="22"/>
          <w:szCs w:val="22"/>
        </w:rPr>
        <w:t xml:space="preserve"> </w:t>
      </w:r>
      <w:r w:rsidR="008B5BEE">
        <w:rPr>
          <w:rFonts w:ascii="Times New Roman" w:hAnsi="Times New Roman" w:cs="Times New Roman"/>
          <w:sz w:val="22"/>
          <w:szCs w:val="22"/>
        </w:rPr>
        <w:t xml:space="preserve">These new timeframes give industry more time to comply with the new requirements in the EU IVD regulation. </w:t>
      </w:r>
    </w:p>
    <w:p w14:paraId="7E6C3A23" w14:textId="77777777" w:rsidR="008B5BEE" w:rsidRDefault="008B5BEE" w:rsidP="00E30C11">
      <w:pPr>
        <w:pStyle w:val="TBLText"/>
        <w:rPr>
          <w:rFonts w:ascii="Times New Roman" w:hAnsi="Times New Roman" w:cs="Times New Roman"/>
          <w:sz w:val="22"/>
          <w:szCs w:val="22"/>
        </w:rPr>
      </w:pPr>
    </w:p>
    <w:p w14:paraId="6496538E" w14:textId="5E9F5926" w:rsidR="00E30C11" w:rsidRPr="005A7CC2" w:rsidRDefault="008B5BEE" w:rsidP="00E30C11">
      <w:pPr>
        <w:pStyle w:val="TBLText"/>
        <w:rPr>
          <w:rFonts w:ascii="Times New Roman" w:hAnsi="Times New Roman" w:cs="Times New Roman"/>
          <w:i/>
          <w:iCs/>
          <w:sz w:val="22"/>
          <w:szCs w:val="22"/>
        </w:rPr>
      </w:pPr>
      <w:r>
        <w:rPr>
          <w:rFonts w:ascii="Times New Roman" w:hAnsi="Times New Roman" w:cs="Times New Roman"/>
          <w:sz w:val="22"/>
          <w:szCs w:val="22"/>
        </w:rPr>
        <w:t>The purpose of the Amendment Determination is to make c</w:t>
      </w:r>
      <w:r w:rsidRPr="005A7CC2">
        <w:rPr>
          <w:rFonts w:ascii="Times New Roman" w:hAnsi="Times New Roman" w:cs="Times New Roman"/>
          <w:sz w:val="22"/>
          <w:szCs w:val="22"/>
        </w:rPr>
        <w:t>onsequential amendments to the Principal Determination to reflect and adopt the new transitional timeframes</w:t>
      </w:r>
      <w:r>
        <w:rPr>
          <w:rFonts w:ascii="Times New Roman" w:hAnsi="Times New Roman" w:cs="Times New Roman"/>
          <w:sz w:val="22"/>
          <w:szCs w:val="22"/>
        </w:rPr>
        <w:t xml:space="preserve"> reflected in the EU IVD regulation as amended.</w:t>
      </w:r>
    </w:p>
    <w:bookmarkEnd w:id="1"/>
    <w:bookmarkEnd w:id="4"/>
    <w:bookmarkEnd w:id="5"/>
    <w:p w14:paraId="76104E91" w14:textId="77777777" w:rsidR="00E30C11" w:rsidRPr="005A7CC2" w:rsidRDefault="00E30C11" w:rsidP="00E30C11">
      <w:pPr>
        <w:keepNext/>
        <w:contextualSpacing/>
        <w:rPr>
          <w:rFonts w:ascii="Times New Roman" w:hAnsi="Times New Roman"/>
          <w:sz w:val="22"/>
          <w:szCs w:val="22"/>
        </w:rPr>
      </w:pPr>
    </w:p>
    <w:p w14:paraId="2FA3AA39" w14:textId="5E987DF5" w:rsidR="00DB6296" w:rsidRPr="005A7CC2" w:rsidRDefault="00DB6296" w:rsidP="00E30C11">
      <w:pPr>
        <w:keepNext/>
        <w:contextualSpacing/>
        <w:rPr>
          <w:rFonts w:ascii="Times New Roman" w:hAnsi="Times New Roman"/>
          <w:sz w:val="22"/>
          <w:szCs w:val="22"/>
        </w:rPr>
      </w:pPr>
      <w:r w:rsidRPr="005A7CC2">
        <w:rPr>
          <w:rFonts w:ascii="Times New Roman" w:hAnsi="Times New Roman"/>
          <w:sz w:val="22"/>
          <w:szCs w:val="22"/>
        </w:rPr>
        <w:t>The amendments in the Amendment Determination also include an additional requirement for certain Class 2</w:t>
      </w:r>
      <w:r w:rsidR="008B5BEE">
        <w:rPr>
          <w:rFonts w:ascii="Times New Roman" w:hAnsi="Times New Roman"/>
          <w:sz w:val="22"/>
          <w:szCs w:val="22"/>
        </w:rPr>
        <w:t xml:space="preserve">, </w:t>
      </w:r>
      <w:r w:rsidRPr="005A7CC2">
        <w:rPr>
          <w:rFonts w:ascii="Times New Roman" w:hAnsi="Times New Roman"/>
          <w:sz w:val="22"/>
          <w:szCs w:val="22"/>
        </w:rPr>
        <w:t xml:space="preserve">Class 3 </w:t>
      </w:r>
      <w:r w:rsidR="008B5BEE">
        <w:rPr>
          <w:rFonts w:ascii="Times New Roman" w:hAnsi="Times New Roman"/>
          <w:sz w:val="22"/>
          <w:szCs w:val="22"/>
        </w:rPr>
        <w:t xml:space="preserve">and Class 4 </w:t>
      </w:r>
      <w:r w:rsidRPr="005A7CC2">
        <w:rPr>
          <w:rFonts w:ascii="Times New Roman" w:hAnsi="Times New Roman"/>
          <w:sz w:val="22"/>
          <w:szCs w:val="22"/>
        </w:rPr>
        <w:t>IVD medical devices for which an application is made before 1 </w:t>
      </w:r>
      <w:r w:rsidR="00024B5E" w:rsidRPr="005A7CC2">
        <w:rPr>
          <w:rFonts w:ascii="Times New Roman" w:hAnsi="Times New Roman"/>
          <w:sz w:val="22"/>
          <w:szCs w:val="22"/>
        </w:rPr>
        <w:t>January</w:t>
      </w:r>
      <w:r w:rsidRPr="005A7CC2">
        <w:rPr>
          <w:rFonts w:ascii="Times New Roman" w:hAnsi="Times New Roman"/>
          <w:sz w:val="22"/>
          <w:szCs w:val="22"/>
        </w:rPr>
        <w:t xml:space="preserve"> 20</w:t>
      </w:r>
      <w:r w:rsidR="00024B5E" w:rsidRPr="005A7CC2">
        <w:rPr>
          <w:rFonts w:ascii="Times New Roman" w:hAnsi="Times New Roman"/>
          <w:sz w:val="22"/>
          <w:szCs w:val="22"/>
        </w:rPr>
        <w:t>30</w:t>
      </w:r>
      <w:r w:rsidR="008B5BEE">
        <w:rPr>
          <w:rFonts w:ascii="Times New Roman" w:hAnsi="Times New Roman"/>
          <w:sz w:val="22"/>
          <w:szCs w:val="22"/>
        </w:rPr>
        <w:t xml:space="preserve">, </w:t>
      </w:r>
      <w:proofErr w:type="gramStart"/>
      <w:r w:rsidRPr="005A7CC2">
        <w:rPr>
          <w:rFonts w:ascii="Times New Roman" w:hAnsi="Times New Roman"/>
          <w:sz w:val="22"/>
          <w:szCs w:val="22"/>
        </w:rPr>
        <w:t>202</w:t>
      </w:r>
      <w:r w:rsidR="00024B5E" w:rsidRPr="005A7CC2">
        <w:rPr>
          <w:rFonts w:ascii="Times New Roman" w:hAnsi="Times New Roman"/>
          <w:sz w:val="22"/>
          <w:szCs w:val="22"/>
        </w:rPr>
        <w:t>9</w:t>
      </w:r>
      <w:proofErr w:type="gramEnd"/>
      <w:r w:rsidR="008B5BEE">
        <w:rPr>
          <w:rFonts w:ascii="Times New Roman" w:hAnsi="Times New Roman"/>
          <w:sz w:val="22"/>
          <w:szCs w:val="22"/>
        </w:rPr>
        <w:t xml:space="preserve"> or 2028</w:t>
      </w:r>
      <w:r w:rsidRPr="005A7CC2">
        <w:rPr>
          <w:rFonts w:ascii="Times New Roman" w:hAnsi="Times New Roman"/>
          <w:sz w:val="22"/>
          <w:szCs w:val="22"/>
        </w:rPr>
        <w:t xml:space="preserve">, respectively. In addition to providing </w:t>
      </w:r>
      <w:r w:rsidR="008B5BEE">
        <w:rPr>
          <w:rFonts w:ascii="Times New Roman" w:hAnsi="Times New Roman"/>
          <w:sz w:val="22"/>
          <w:szCs w:val="22"/>
        </w:rPr>
        <w:t>the conformity assessment documentation set out in the tables in Schedule 2 to the Principal Determination</w:t>
      </w:r>
      <w:r w:rsidRPr="005A7CC2">
        <w:rPr>
          <w:rFonts w:ascii="Times New Roman" w:hAnsi="Times New Roman"/>
          <w:sz w:val="22"/>
          <w:szCs w:val="22"/>
        </w:rPr>
        <w:t xml:space="preserve">, such applications must also be accompanied by evidence to demonstrate compliance with Article 110(3c) of the EU </w:t>
      </w:r>
      <w:r w:rsidRPr="005A7CC2">
        <w:rPr>
          <w:rFonts w:ascii="Times New Roman" w:hAnsi="Times New Roman"/>
          <w:sz w:val="22"/>
          <w:szCs w:val="22"/>
        </w:rPr>
        <w:lastRenderedPageBreak/>
        <w:t xml:space="preserve">IVD regulation. This Article sets out </w:t>
      </w:r>
      <w:proofErr w:type="gramStart"/>
      <w:r w:rsidRPr="005A7CC2">
        <w:rPr>
          <w:rFonts w:ascii="Times New Roman" w:hAnsi="Times New Roman"/>
          <w:sz w:val="22"/>
          <w:szCs w:val="22"/>
        </w:rPr>
        <w:t>a number of</w:t>
      </w:r>
      <w:proofErr w:type="gramEnd"/>
      <w:r w:rsidRPr="005A7CC2">
        <w:rPr>
          <w:rFonts w:ascii="Times New Roman" w:hAnsi="Times New Roman"/>
          <w:sz w:val="22"/>
          <w:szCs w:val="22"/>
        </w:rPr>
        <w:t xml:space="preserve"> conditions that must be met for devices to transition in the EU from regulation under Directive</w:t>
      </w:r>
      <w:r w:rsidR="008B5BEE">
        <w:rPr>
          <w:rFonts w:ascii="Times New Roman" w:hAnsi="Times New Roman"/>
          <w:sz w:val="22"/>
          <w:szCs w:val="22"/>
        </w:rPr>
        <w:t> </w:t>
      </w:r>
      <w:r w:rsidRPr="005A7CC2">
        <w:rPr>
          <w:rFonts w:ascii="Times New Roman" w:hAnsi="Times New Roman"/>
          <w:sz w:val="22"/>
          <w:szCs w:val="22"/>
        </w:rPr>
        <w:t xml:space="preserve">98/79/EC to regulation under the EU IVD regulation. Evidence of compliance with such conditions demonstrates that steps are being taken </w:t>
      </w:r>
      <w:r w:rsidR="00C16DB9" w:rsidRPr="005A7CC2">
        <w:rPr>
          <w:rFonts w:ascii="Times New Roman" w:hAnsi="Times New Roman"/>
          <w:sz w:val="22"/>
          <w:szCs w:val="22"/>
        </w:rPr>
        <w:t xml:space="preserve">by the manufacturer </w:t>
      </w:r>
      <w:r w:rsidRPr="005A7CC2">
        <w:rPr>
          <w:rFonts w:ascii="Times New Roman" w:hAnsi="Times New Roman"/>
          <w:sz w:val="22"/>
          <w:szCs w:val="22"/>
        </w:rPr>
        <w:t>to</w:t>
      </w:r>
      <w:r w:rsidR="00871EED">
        <w:rPr>
          <w:rFonts w:ascii="Times New Roman" w:hAnsi="Times New Roman"/>
          <w:sz w:val="22"/>
          <w:szCs w:val="22"/>
        </w:rPr>
        <w:t xml:space="preserve"> </w:t>
      </w:r>
      <w:r w:rsidRPr="005A7CC2">
        <w:rPr>
          <w:rFonts w:ascii="Times New Roman" w:hAnsi="Times New Roman"/>
          <w:sz w:val="22"/>
          <w:szCs w:val="22"/>
        </w:rPr>
        <w:t xml:space="preserve">transition to </w:t>
      </w:r>
      <w:r w:rsidR="00871EED">
        <w:rPr>
          <w:rFonts w:ascii="Times New Roman" w:hAnsi="Times New Roman"/>
          <w:sz w:val="22"/>
          <w:szCs w:val="22"/>
        </w:rPr>
        <w:t>compliance with</w:t>
      </w:r>
      <w:r w:rsidR="00030FA4">
        <w:rPr>
          <w:rFonts w:ascii="Times New Roman" w:hAnsi="Times New Roman"/>
          <w:sz w:val="22"/>
          <w:szCs w:val="22"/>
        </w:rPr>
        <w:t xml:space="preserve"> </w:t>
      </w:r>
      <w:r w:rsidRPr="005A7CC2">
        <w:rPr>
          <w:rFonts w:ascii="Times New Roman" w:hAnsi="Times New Roman"/>
          <w:sz w:val="22"/>
          <w:szCs w:val="22"/>
        </w:rPr>
        <w:t>the EU IVD regulation</w:t>
      </w:r>
      <w:r w:rsidR="00487508" w:rsidRPr="005A7CC2">
        <w:rPr>
          <w:rFonts w:ascii="Times New Roman" w:hAnsi="Times New Roman"/>
          <w:sz w:val="22"/>
          <w:szCs w:val="22"/>
        </w:rPr>
        <w:t>,</w:t>
      </w:r>
      <w:r w:rsidR="008E5177" w:rsidRPr="005A7CC2">
        <w:rPr>
          <w:rFonts w:ascii="Times New Roman" w:hAnsi="Times New Roman"/>
          <w:sz w:val="22"/>
          <w:szCs w:val="22"/>
        </w:rPr>
        <w:t xml:space="preserve"> and th</w:t>
      </w:r>
      <w:r w:rsidR="0035184B">
        <w:rPr>
          <w:rFonts w:ascii="Times New Roman" w:hAnsi="Times New Roman"/>
          <w:sz w:val="22"/>
          <w:szCs w:val="22"/>
        </w:rPr>
        <w:t>at the</w:t>
      </w:r>
      <w:r w:rsidR="008E5177" w:rsidRPr="005A7CC2">
        <w:rPr>
          <w:rFonts w:ascii="Times New Roman" w:hAnsi="Times New Roman"/>
          <w:sz w:val="22"/>
          <w:szCs w:val="22"/>
        </w:rPr>
        <w:t xml:space="preserve"> current conformity assessment documentation issued under Directive 98/79/EC is still valid</w:t>
      </w:r>
    </w:p>
    <w:p w14:paraId="5862075F" w14:textId="77777777" w:rsidR="00DB6296" w:rsidRPr="005A7CC2" w:rsidRDefault="00DB6296" w:rsidP="00E30C11">
      <w:pPr>
        <w:keepNext/>
        <w:contextualSpacing/>
        <w:rPr>
          <w:rFonts w:ascii="Times New Roman" w:hAnsi="Times New Roman"/>
          <w:sz w:val="22"/>
          <w:szCs w:val="22"/>
        </w:rPr>
      </w:pPr>
    </w:p>
    <w:p w14:paraId="46E458CC" w14:textId="1B250CA7" w:rsidR="00DB6296" w:rsidRPr="005A7CC2" w:rsidRDefault="00DB6296" w:rsidP="00E30C11">
      <w:pPr>
        <w:keepNext/>
        <w:contextualSpacing/>
        <w:rPr>
          <w:rFonts w:ascii="Times New Roman" w:hAnsi="Times New Roman"/>
          <w:sz w:val="22"/>
          <w:szCs w:val="22"/>
        </w:rPr>
      </w:pPr>
      <w:r w:rsidRPr="005A7CC2">
        <w:rPr>
          <w:rFonts w:ascii="Times New Roman" w:hAnsi="Times New Roman"/>
          <w:sz w:val="22"/>
          <w:szCs w:val="22"/>
        </w:rPr>
        <w:t xml:space="preserve">The Amendment Determination also makes minor amendments to remove redundant </w:t>
      </w:r>
      <w:r w:rsidR="00871EED">
        <w:rPr>
          <w:rFonts w:ascii="Times New Roman" w:hAnsi="Times New Roman"/>
          <w:sz w:val="22"/>
          <w:szCs w:val="22"/>
        </w:rPr>
        <w:t>table items</w:t>
      </w:r>
      <w:r w:rsidR="00871EED" w:rsidRPr="005A7CC2">
        <w:rPr>
          <w:rFonts w:ascii="Times New Roman" w:hAnsi="Times New Roman"/>
          <w:sz w:val="22"/>
          <w:szCs w:val="22"/>
        </w:rPr>
        <w:t xml:space="preserve"> </w:t>
      </w:r>
      <w:r w:rsidRPr="005A7CC2">
        <w:rPr>
          <w:rFonts w:ascii="Times New Roman" w:hAnsi="Times New Roman"/>
          <w:sz w:val="22"/>
          <w:szCs w:val="22"/>
        </w:rPr>
        <w:t xml:space="preserve">that are outdated. </w:t>
      </w:r>
    </w:p>
    <w:bookmarkEnd w:id="2"/>
    <w:p w14:paraId="349DFAD7" w14:textId="77777777" w:rsidR="00DB6296" w:rsidRPr="005A7CC2" w:rsidRDefault="00DB6296" w:rsidP="00E30C11">
      <w:pPr>
        <w:keepNext/>
        <w:contextualSpacing/>
        <w:rPr>
          <w:rFonts w:ascii="Times New Roman" w:hAnsi="Times New Roman"/>
          <w:sz w:val="22"/>
          <w:szCs w:val="22"/>
        </w:rPr>
      </w:pPr>
    </w:p>
    <w:p w14:paraId="6AA304AA" w14:textId="77777777" w:rsidR="00E30C11" w:rsidRPr="005A7CC2" w:rsidRDefault="00E30C11" w:rsidP="00E30C11">
      <w:pPr>
        <w:keepNext/>
        <w:contextualSpacing/>
        <w:rPr>
          <w:rFonts w:ascii="Times New Roman" w:hAnsi="Times New Roman"/>
          <w:b/>
          <w:bCs/>
          <w:sz w:val="22"/>
          <w:szCs w:val="22"/>
        </w:rPr>
      </w:pPr>
      <w:r w:rsidRPr="005A7CC2">
        <w:rPr>
          <w:rFonts w:ascii="Times New Roman" w:hAnsi="Times New Roman"/>
          <w:b/>
          <w:bCs/>
          <w:sz w:val="22"/>
          <w:szCs w:val="22"/>
        </w:rPr>
        <w:t>Incorporation by reference</w:t>
      </w:r>
    </w:p>
    <w:p w14:paraId="0AF6CE7E" w14:textId="77777777" w:rsidR="00E30C11" w:rsidRPr="005A7CC2" w:rsidRDefault="00E30C11" w:rsidP="00E30C11">
      <w:pPr>
        <w:keepNext/>
        <w:shd w:val="clear" w:color="auto" w:fill="FFFFFF"/>
        <w:contextualSpacing/>
        <w:rPr>
          <w:rFonts w:ascii="Times New Roman" w:hAnsi="Times New Roman"/>
          <w:sz w:val="22"/>
          <w:szCs w:val="22"/>
        </w:rPr>
      </w:pPr>
    </w:p>
    <w:p w14:paraId="7860AB26" w14:textId="10BD59AA" w:rsidR="000D3726" w:rsidRPr="005A7CC2" w:rsidRDefault="00E30C11" w:rsidP="000D3726">
      <w:pPr>
        <w:contextualSpacing/>
        <w:rPr>
          <w:rFonts w:ascii="Times New Roman" w:hAnsi="Times New Roman"/>
          <w:sz w:val="22"/>
          <w:szCs w:val="22"/>
        </w:rPr>
      </w:pPr>
      <w:r w:rsidRPr="005A7CC2">
        <w:rPr>
          <w:rFonts w:ascii="Times New Roman" w:hAnsi="Times New Roman"/>
          <w:sz w:val="22"/>
          <w:szCs w:val="22"/>
        </w:rPr>
        <w:t xml:space="preserve">The Amendment Determination incorporates by reference </w:t>
      </w:r>
      <w:r w:rsidR="006A67F0" w:rsidRPr="005A7CC2">
        <w:rPr>
          <w:rFonts w:ascii="Times New Roman" w:hAnsi="Times New Roman"/>
          <w:sz w:val="22"/>
          <w:szCs w:val="22"/>
        </w:rPr>
        <w:t>Directive 98/79/EC</w:t>
      </w:r>
      <w:r w:rsidR="00862FBB" w:rsidRPr="005A7CC2">
        <w:rPr>
          <w:rFonts w:ascii="Times New Roman" w:hAnsi="Times New Roman"/>
          <w:sz w:val="22"/>
          <w:szCs w:val="22"/>
        </w:rPr>
        <w:t xml:space="preserve"> and the EU IVD regulation</w:t>
      </w:r>
      <w:r w:rsidR="006A67F0" w:rsidRPr="005A7CC2">
        <w:rPr>
          <w:rFonts w:ascii="Times New Roman" w:hAnsi="Times New Roman"/>
          <w:sz w:val="22"/>
          <w:szCs w:val="22"/>
        </w:rPr>
        <w:t xml:space="preserve">. </w:t>
      </w:r>
      <w:r w:rsidR="00862FBB" w:rsidRPr="005A7CC2">
        <w:rPr>
          <w:rFonts w:ascii="Times New Roman" w:hAnsi="Times New Roman"/>
          <w:sz w:val="22"/>
          <w:szCs w:val="22"/>
        </w:rPr>
        <w:t xml:space="preserve">Directive 98/79EC sets out </w:t>
      </w:r>
      <w:r w:rsidRPr="005A7CC2">
        <w:rPr>
          <w:rFonts w:ascii="Times New Roman" w:hAnsi="Times New Roman"/>
          <w:sz w:val="22"/>
          <w:szCs w:val="22"/>
        </w:rPr>
        <w:t xml:space="preserve">the requirements for </w:t>
      </w:r>
      <w:r w:rsidR="00871EED">
        <w:rPr>
          <w:rFonts w:ascii="Times New Roman" w:hAnsi="Times New Roman"/>
          <w:sz w:val="22"/>
          <w:szCs w:val="22"/>
        </w:rPr>
        <w:t>IVD</w:t>
      </w:r>
      <w:r w:rsidRPr="005A7CC2">
        <w:rPr>
          <w:rFonts w:ascii="Times New Roman" w:hAnsi="Times New Roman"/>
          <w:sz w:val="22"/>
          <w:szCs w:val="22"/>
        </w:rPr>
        <w:t xml:space="preserve"> medical devices and their accessories</w:t>
      </w:r>
      <w:r w:rsidR="000D3726" w:rsidRPr="005A7CC2">
        <w:rPr>
          <w:rFonts w:ascii="Times New Roman" w:hAnsi="Times New Roman"/>
          <w:sz w:val="22"/>
          <w:szCs w:val="22"/>
        </w:rPr>
        <w:t xml:space="preserve">. </w:t>
      </w:r>
      <w:r w:rsidR="00862FBB" w:rsidRPr="005A7CC2">
        <w:rPr>
          <w:rFonts w:ascii="Times New Roman" w:hAnsi="Times New Roman"/>
          <w:sz w:val="22"/>
          <w:szCs w:val="22"/>
        </w:rPr>
        <w:t>Following a transition period, the EU IVD regulation will replace Directive 98/79/EC.</w:t>
      </w:r>
    </w:p>
    <w:p w14:paraId="7853BC0F" w14:textId="77777777" w:rsidR="000D3726" w:rsidRPr="005A7CC2" w:rsidRDefault="000D3726" w:rsidP="000D3726">
      <w:pPr>
        <w:contextualSpacing/>
        <w:rPr>
          <w:rFonts w:ascii="Times New Roman" w:hAnsi="Times New Roman"/>
          <w:sz w:val="22"/>
          <w:szCs w:val="22"/>
        </w:rPr>
      </w:pPr>
    </w:p>
    <w:p w14:paraId="5817A7EF" w14:textId="77FF551B" w:rsidR="000D3726" w:rsidRPr="005A7CC2" w:rsidRDefault="00862FBB" w:rsidP="000D3726">
      <w:pPr>
        <w:contextualSpacing/>
        <w:rPr>
          <w:rFonts w:ascii="Times New Roman" w:hAnsi="Times New Roman"/>
          <w:sz w:val="22"/>
          <w:szCs w:val="22"/>
        </w:rPr>
      </w:pPr>
      <w:r w:rsidRPr="005A7CC2">
        <w:rPr>
          <w:rFonts w:ascii="Times New Roman" w:hAnsi="Times New Roman"/>
          <w:sz w:val="22"/>
          <w:szCs w:val="22"/>
        </w:rPr>
        <w:t xml:space="preserve">Directive 98/79/EC </w:t>
      </w:r>
      <w:r w:rsidR="000D3726" w:rsidRPr="005A7CC2">
        <w:rPr>
          <w:rFonts w:ascii="Times New Roman" w:hAnsi="Times New Roman"/>
          <w:sz w:val="22"/>
          <w:szCs w:val="22"/>
        </w:rPr>
        <w:t>is already incorporated by reference and defined in the Principal Determination as in force or existing immediately before the commencement of the Principal Determination</w:t>
      </w:r>
      <w:r w:rsidR="00E30C11" w:rsidRPr="005A7CC2">
        <w:rPr>
          <w:rFonts w:ascii="Times New Roman" w:hAnsi="Times New Roman"/>
          <w:sz w:val="22"/>
          <w:szCs w:val="22"/>
        </w:rPr>
        <w:t xml:space="preserve">. </w:t>
      </w:r>
      <w:r w:rsidRPr="005A7CC2">
        <w:rPr>
          <w:rFonts w:ascii="Times New Roman" w:hAnsi="Times New Roman"/>
          <w:sz w:val="22"/>
          <w:szCs w:val="22"/>
        </w:rPr>
        <w:t xml:space="preserve">The Amendment Determination incorporates the EU IVD regulation as in force or existing on 1 </w:t>
      </w:r>
      <w:r w:rsidR="005A7CC2" w:rsidRPr="005A7CC2">
        <w:rPr>
          <w:rFonts w:ascii="Times New Roman" w:hAnsi="Times New Roman"/>
          <w:sz w:val="22"/>
          <w:szCs w:val="22"/>
        </w:rPr>
        <w:t xml:space="preserve">December </w:t>
      </w:r>
      <w:r w:rsidRPr="005A7CC2">
        <w:rPr>
          <w:rFonts w:ascii="Times New Roman" w:hAnsi="Times New Roman"/>
          <w:sz w:val="22"/>
          <w:szCs w:val="22"/>
        </w:rPr>
        <w:t xml:space="preserve">2024. </w:t>
      </w:r>
      <w:r w:rsidR="000D3726" w:rsidRPr="005A7CC2">
        <w:rPr>
          <w:rFonts w:ascii="Times New Roman" w:hAnsi="Times New Roman"/>
          <w:sz w:val="22"/>
          <w:szCs w:val="22"/>
        </w:rPr>
        <w:t>This is in accordance with paragraph 14(1)(b) of the </w:t>
      </w:r>
      <w:r w:rsidR="000D3726" w:rsidRPr="005A7CC2">
        <w:rPr>
          <w:rFonts w:ascii="Times New Roman" w:hAnsi="Times New Roman"/>
          <w:i/>
          <w:iCs/>
          <w:sz w:val="22"/>
          <w:szCs w:val="22"/>
        </w:rPr>
        <w:t>Legislation Act</w:t>
      </w:r>
      <w:r w:rsidR="00871EED">
        <w:rPr>
          <w:rFonts w:ascii="Times New Roman" w:hAnsi="Times New Roman"/>
          <w:sz w:val="22"/>
          <w:szCs w:val="22"/>
        </w:rPr>
        <w:t> </w:t>
      </w:r>
      <w:r w:rsidR="000D3726" w:rsidRPr="005A7CC2">
        <w:rPr>
          <w:rFonts w:ascii="Times New Roman" w:hAnsi="Times New Roman"/>
          <w:i/>
          <w:iCs/>
          <w:sz w:val="22"/>
          <w:szCs w:val="22"/>
        </w:rPr>
        <w:t>2003</w:t>
      </w:r>
      <w:r w:rsidR="000D3726" w:rsidRPr="005A7CC2">
        <w:rPr>
          <w:rFonts w:ascii="Times New Roman" w:hAnsi="Times New Roman"/>
          <w:sz w:val="22"/>
          <w:szCs w:val="22"/>
        </w:rPr>
        <w:t>, which permits a legislative instrument to incorporate a document (that is not an Act or legislative instrument) as it exists at, or before, the time the instrument commences.</w:t>
      </w:r>
    </w:p>
    <w:p w14:paraId="53541B79" w14:textId="77777777" w:rsidR="000D3726" w:rsidRPr="005A7CC2" w:rsidRDefault="000D3726" w:rsidP="00E30C11">
      <w:pPr>
        <w:keepNext/>
        <w:shd w:val="clear" w:color="auto" w:fill="FFFFFF"/>
        <w:contextualSpacing/>
        <w:rPr>
          <w:rFonts w:ascii="Times New Roman" w:hAnsi="Times New Roman"/>
          <w:sz w:val="22"/>
          <w:szCs w:val="22"/>
        </w:rPr>
      </w:pPr>
    </w:p>
    <w:p w14:paraId="2C6846F2" w14:textId="178A8856" w:rsidR="00E30C11" w:rsidRPr="005A7CC2" w:rsidRDefault="000D3726" w:rsidP="00E30C11">
      <w:pPr>
        <w:keepNext/>
        <w:shd w:val="clear" w:color="auto" w:fill="FFFFFF"/>
        <w:contextualSpacing/>
        <w:rPr>
          <w:rFonts w:ascii="Times New Roman" w:hAnsi="Times New Roman"/>
          <w:sz w:val="22"/>
          <w:szCs w:val="22"/>
        </w:rPr>
      </w:pPr>
      <w:r w:rsidRPr="005A7CC2">
        <w:rPr>
          <w:rFonts w:ascii="Times New Roman" w:hAnsi="Times New Roman"/>
          <w:sz w:val="22"/>
          <w:szCs w:val="22"/>
        </w:rPr>
        <w:t>Directive 98/79/EC</w:t>
      </w:r>
      <w:r w:rsidR="00862FBB" w:rsidRPr="005A7CC2">
        <w:rPr>
          <w:rFonts w:ascii="Times New Roman" w:hAnsi="Times New Roman"/>
          <w:sz w:val="22"/>
          <w:szCs w:val="22"/>
        </w:rPr>
        <w:t xml:space="preserve"> and the EU IVD regulation are</w:t>
      </w:r>
      <w:r w:rsidR="00E30C11" w:rsidRPr="005A7CC2">
        <w:rPr>
          <w:rFonts w:ascii="Times New Roman" w:hAnsi="Times New Roman"/>
          <w:sz w:val="22"/>
          <w:szCs w:val="22"/>
        </w:rPr>
        <w:t xml:space="preserve"> freely available from EUR-Lex at </w:t>
      </w:r>
      <w:hyperlink w:history="1"/>
      <w:r w:rsidRPr="005A7CC2">
        <w:t>eur-lex.europa.eu/</w:t>
      </w:r>
      <w:r w:rsidR="00E30C11" w:rsidRPr="005A7CC2">
        <w:rPr>
          <w:rFonts w:ascii="Times New Roman" w:hAnsi="Times New Roman"/>
          <w:sz w:val="22"/>
          <w:szCs w:val="22"/>
        </w:rPr>
        <w:t>.</w:t>
      </w:r>
    </w:p>
    <w:p w14:paraId="78DCEEAD" w14:textId="77777777" w:rsidR="002F2FB4" w:rsidRPr="005A7CC2" w:rsidRDefault="002F2FB4" w:rsidP="00E30C11">
      <w:pPr>
        <w:keepNext/>
        <w:shd w:val="clear" w:color="auto" w:fill="FFFFFF"/>
        <w:contextualSpacing/>
        <w:rPr>
          <w:rFonts w:ascii="Times New Roman" w:hAnsi="Times New Roman"/>
          <w:sz w:val="22"/>
          <w:szCs w:val="22"/>
        </w:rPr>
      </w:pPr>
    </w:p>
    <w:p w14:paraId="1A0AE466" w14:textId="77777777" w:rsidR="00E30C11" w:rsidRPr="005A7CC2" w:rsidRDefault="00E30C11" w:rsidP="00E30C11">
      <w:pPr>
        <w:keepNext/>
        <w:keepLines/>
        <w:rPr>
          <w:rFonts w:ascii="Times New Roman" w:hAnsi="Times New Roman"/>
          <w:b/>
          <w:sz w:val="22"/>
          <w:szCs w:val="22"/>
        </w:rPr>
      </w:pPr>
      <w:r w:rsidRPr="005A7CC2">
        <w:rPr>
          <w:rFonts w:ascii="Times New Roman" w:hAnsi="Times New Roman"/>
          <w:b/>
          <w:sz w:val="22"/>
          <w:szCs w:val="22"/>
        </w:rPr>
        <w:t>Consultation</w:t>
      </w:r>
    </w:p>
    <w:p w14:paraId="2EE8E8E2" w14:textId="77777777" w:rsidR="00E30C11" w:rsidRPr="005A7CC2" w:rsidRDefault="00E30C11" w:rsidP="00E30C11">
      <w:pPr>
        <w:rPr>
          <w:rFonts w:ascii="Times New Roman" w:hAnsi="Times New Roman"/>
          <w:sz w:val="22"/>
          <w:szCs w:val="22"/>
        </w:rPr>
      </w:pPr>
    </w:p>
    <w:p w14:paraId="383AF90C" w14:textId="72372896" w:rsidR="00E30C11" w:rsidRDefault="0035184B" w:rsidP="00E30C11">
      <w:pPr>
        <w:rPr>
          <w:rFonts w:ascii="Times New Roman" w:hAnsi="Times New Roman"/>
          <w:sz w:val="22"/>
          <w:szCs w:val="22"/>
        </w:rPr>
      </w:pPr>
      <w:r>
        <w:rPr>
          <w:rFonts w:ascii="Times New Roman" w:hAnsi="Times New Roman"/>
          <w:sz w:val="22"/>
          <w:szCs w:val="22"/>
        </w:rPr>
        <w:t>Between</w:t>
      </w:r>
      <w:r w:rsidR="00EE1E1D">
        <w:rPr>
          <w:rFonts w:ascii="Times New Roman" w:hAnsi="Times New Roman"/>
          <w:sz w:val="22"/>
          <w:szCs w:val="22"/>
        </w:rPr>
        <w:t xml:space="preserve"> </w:t>
      </w:r>
      <w:r w:rsidR="003C1D30">
        <w:rPr>
          <w:rFonts w:ascii="Times New Roman" w:hAnsi="Times New Roman"/>
          <w:sz w:val="22"/>
          <w:szCs w:val="22"/>
        </w:rPr>
        <w:t xml:space="preserve">2 August </w:t>
      </w:r>
      <w:r>
        <w:rPr>
          <w:rFonts w:ascii="Times New Roman" w:hAnsi="Times New Roman"/>
          <w:sz w:val="22"/>
          <w:szCs w:val="22"/>
        </w:rPr>
        <w:t>and</w:t>
      </w:r>
      <w:r w:rsidR="003C1D30">
        <w:rPr>
          <w:rFonts w:ascii="Times New Roman" w:hAnsi="Times New Roman"/>
          <w:sz w:val="22"/>
          <w:szCs w:val="22"/>
        </w:rPr>
        <w:t xml:space="preserve"> 29 August 2024</w:t>
      </w:r>
      <w:r w:rsidR="00EE1E1D">
        <w:rPr>
          <w:rFonts w:ascii="Times New Roman" w:hAnsi="Times New Roman"/>
          <w:sz w:val="22"/>
          <w:szCs w:val="22"/>
        </w:rPr>
        <w:t>,</w:t>
      </w:r>
      <w:r>
        <w:rPr>
          <w:rFonts w:ascii="Times New Roman" w:hAnsi="Times New Roman"/>
          <w:sz w:val="22"/>
          <w:szCs w:val="22"/>
        </w:rPr>
        <w:t xml:space="preserve"> </w:t>
      </w:r>
      <w:r w:rsidR="00347E04">
        <w:rPr>
          <w:rFonts w:ascii="Times New Roman" w:hAnsi="Times New Roman"/>
          <w:sz w:val="22"/>
          <w:szCs w:val="22"/>
        </w:rPr>
        <w:t xml:space="preserve">the TGA consulted </w:t>
      </w:r>
      <w:r w:rsidR="00CA464A" w:rsidRPr="00962844">
        <w:rPr>
          <w:rFonts w:ascii="Times New Roman" w:hAnsi="Times New Roman"/>
          <w:sz w:val="22"/>
          <w:szCs w:val="22"/>
        </w:rPr>
        <w:t xml:space="preserve">with </w:t>
      </w:r>
      <w:r w:rsidR="00CA464A">
        <w:rPr>
          <w:rFonts w:ascii="Times New Roman" w:hAnsi="Times New Roman"/>
          <w:sz w:val="22"/>
          <w:szCs w:val="22"/>
        </w:rPr>
        <w:t xml:space="preserve">the </w:t>
      </w:r>
      <w:r w:rsidR="00CA464A" w:rsidRPr="00962844">
        <w:rPr>
          <w:rFonts w:ascii="Times New Roman" w:hAnsi="Times New Roman"/>
          <w:sz w:val="22"/>
          <w:szCs w:val="22"/>
        </w:rPr>
        <w:t xml:space="preserve">Regulatory and Technical </w:t>
      </w:r>
      <w:r w:rsidR="00CA464A">
        <w:rPr>
          <w:rFonts w:ascii="Times New Roman" w:hAnsi="Times New Roman"/>
          <w:sz w:val="22"/>
          <w:szCs w:val="22"/>
        </w:rPr>
        <w:t>C</w:t>
      </w:r>
      <w:r w:rsidR="00CA464A" w:rsidRPr="00962844">
        <w:rPr>
          <w:rFonts w:ascii="Times New Roman" w:hAnsi="Times New Roman"/>
          <w:sz w:val="22"/>
          <w:szCs w:val="22"/>
        </w:rPr>
        <w:t xml:space="preserve">onsultative </w:t>
      </w:r>
      <w:r w:rsidR="00CA464A">
        <w:rPr>
          <w:rFonts w:ascii="Times New Roman" w:hAnsi="Times New Roman"/>
          <w:sz w:val="22"/>
          <w:szCs w:val="22"/>
        </w:rPr>
        <w:t>F</w:t>
      </w:r>
      <w:r w:rsidR="00CA464A" w:rsidRPr="00962844">
        <w:rPr>
          <w:rFonts w:ascii="Times New Roman" w:hAnsi="Times New Roman"/>
          <w:sz w:val="22"/>
          <w:szCs w:val="22"/>
        </w:rPr>
        <w:t>orum</w:t>
      </w:r>
      <w:r w:rsidR="00CA464A">
        <w:rPr>
          <w:rFonts w:ascii="Times New Roman" w:hAnsi="Times New Roman"/>
          <w:sz w:val="22"/>
          <w:szCs w:val="22"/>
        </w:rPr>
        <w:t xml:space="preserve"> for medical devices (“</w:t>
      </w:r>
      <w:proofErr w:type="spellStart"/>
      <w:r w:rsidR="00CA464A">
        <w:rPr>
          <w:rFonts w:ascii="Times New Roman" w:hAnsi="Times New Roman"/>
          <w:sz w:val="22"/>
          <w:szCs w:val="22"/>
        </w:rPr>
        <w:t>RegTech</w:t>
      </w:r>
      <w:proofErr w:type="spellEnd"/>
      <w:r w:rsidR="00CA464A">
        <w:rPr>
          <w:rFonts w:ascii="Times New Roman" w:hAnsi="Times New Roman"/>
          <w:sz w:val="22"/>
          <w:szCs w:val="22"/>
        </w:rPr>
        <w:t>”) and Pathology Technology Australia</w:t>
      </w:r>
      <w:r w:rsidR="00CA464A" w:rsidRPr="00CA464A" w:rsidDel="00347E04">
        <w:rPr>
          <w:rFonts w:ascii="Times New Roman" w:hAnsi="Times New Roman"/>
          <w:sz w:val="22"/>
          <w:szCs w:val="22"/>
        </w:rPr>
        <w:t xml:space="preserve"> </w:t>
      </w:r>
      <w:r w:rsidR="00BC24C3" w:rsidRPr="00ED4E9B">
        <w:rPr>
          <w:rFonts w:ascii="Times New Roman" w:hAnsi="Times New Roman"/>
          <w:sz w:val="22"/>
          <w:szCs w:val="22"/>
        </w:rPr>
        <w:t>on the proposal</w:t>
      </w:r>
      <w:r w:rsidR="00CA464A">
        <w:rPr>
          <w:rFonts w:ascii="Times New Roman" w:hAnsi="Times New Roman"/>
          <w:sz w:val="22"/>
          <w:szCs w:val="22"/>
        </w:rPr>
        <w:t>s</w:t>
      </w:r>
      <w:r w:rsidR="00BC24C3" w:rsidRPr="00ED4E9B">
        <w:rPr>
          <w:rFonts w:ascii="Times New Roman" w:hAnsi="Times New Roman"/>
          <w:sz w:val="22"/>
          <w:szCs w:val="22"/>
        </w:rPr>
        <w:t xml:space="preserve"> to </w:t>
      </w:r>
      <w:r w:rsidR="00347E04">
        <w:rPr>
          <w:rFonts w:ascii="Times New Roman" w:hAnsi="Times New Roman"/>
          <w:sz w:val="22"/>
          <w:szCs w:val="22"/>
        </w:rPr>
        <w:t>align with the</w:t>
      </w:r>
      <w:r w:rsidR="00BC24C3" w:rsidRPr="00ED4E9B">
        <w:rPr>
          <w:rFonts w:ascii="Times New Roman" w:hAnsi="Times New Roman"/>
          <w:sz w:val="22"/>
          <w:szCs w:val="22"/>
        </w:rPr>
        <w:t xml:space="preserve"> further extension of EU IVD </w:t>
      </w:r>
      <w:r>
        <w:rPr>
          <w:rFonts w:ascii="Times New Roman" w:hAnsi="Times New Roman"/>
          <w:sz w:val="22"/>
          <w:szCs w:val="22"/>
        </w:rPr>
        <w:t>r</w:t>
      </w:r>
      <w:r w:rsidR="00BC24C3" w:rsidRPr="00ED4E9B">
        <w:rPr>
          <w:rFonts w:ascii="Times New Roman" w:hAnsi="Times New Roman"/>
          <w:sz w:val="22"/>
          <w:szCs w:val="22"/>
        </w:rPr>
        <w:t xml:space="preserve">egulation timelines </w:t>
      </w:r>
      <w:r w:rsidR="00CA464A">
        <w:rPr>
          <w:rFonts w:ascii="Times New Roman" w:hAnsi="Times New Roman"/>
          <w:sz w:val="22"/>
          <w:szCs w:val="22"/>
        </w:rPr>
        <w:t xml:space="preserve">and introduce requirements to provide evidence of compliance with the requirements in Article 110 (3c) of the EU IVD </w:t>
      </w:r>
      <w:proofErr w:type="gramStart"/>
      <w:r w:rsidR="00CA464A">
        <w:rPr>
          <w:rFonts w:ascii="Times New Roman" w:hAnsi="Times New Roman"/>
          <w:sz w:val="22"/>
          <w:szCs w:val="22"/>
        </w:rPr>
        <w:t xml:space="preserve">regulation </w:t>
      </w:r>
      <w:r w:rsidR="00347E04">
        <w:rPr>
          <w:rFonts w:ascii="Times New Roman" w:hAnsi="Times New Roman"/>
          <w:sz w:val="22"/>
          <w:szCs w:val="22"/>
        </w:rPr>
        <w:t>.</w:t>
      </w:r>
      <w:proofErr w:type="gramEnd"/>
      <w:r w:rsidR="00347E04">
        <w:rPr>
          <w:rFonts w:ascii="Times New Roman" w:hAnsi="Times New Roman"/>
          <w:sz w:val="22"/>
          <w:szCs w:val="22"/>
        </w:rPr>
        <w:t xml:space="preserve"> </w:t>
      </w:r>
      <w:proofErr w:type="spellStart"/>
      <w:r w:rsidR="00347E04">
        <w:rPr>
          <w:rFonts w:ascii="Times New Roman" w:hAnsi="Times New Roman"/>
          <w:sz w:val="22"/>
          <w:szCs w:val="22"/>
        </w:rPr>
        <w:t>RegTech</w:t>
      </w:r>
      <w:proofErr w:type="spellEnd"/>
      <w:r w:rsidR="00347E04">
        <w:rPr>
          <w:rFonts w:ascii="Times New Roman" w:hAnsi="Times New Roman"/>
          <w:sz w:val="22"/>
          <w:szCs w:val="22"/>
        </w:rPr>
        <w:t xml:space="preserve"> is a forum of key industry bodies and associations that facilitates consultation between the TGA and the medical device industry. </w:t>
      </w:r>
      <w:r w:rsidR="003C1D30">
        <w:rPr>
          <w:rFonts w:ascii="Times New Roman" w:hAnsi="Times New Roman"/>
          <w:sz w:val="22"/>
          <w:szCs w:val="22"/>
        </w:rPr>
        <w:t>Pathology Technology Australia (</w:t>
      </w:r>
      <w:r w:rsidR="003C1D30" w:rsidRPr="0035184B">
        <w:rPr>
          <w:rFonts w:ascii="Times New Roman" w:hAnsi="Times New Roman"/>
          <w:sz w:val="22"/>
          <w:szCs w:val="22"/>
        </w:rPr>
        <w:t xml:space="preserve">PTA) is </w:t>
      </w:r>
      <w:r w:rsidR="00EE1E1D" w:rsidRPr="0035184B">
        <w:rPr>
          <w:rFonts w:ascii="Times New Roman" w:hAnsi="Times New Roman"/>
          <w:sz w:val="22"/>
          <w:szCs w:val="22"/>
        </w:rPr>
        <w:t xml:space="preserve">the </w:t>
      </w:r>
      <w:r w:rsidR="003C1D30" w:rsidRPr="0035184B">
        <w:rPr>
          <w:rFonts w:ascii="Times New Roman" w:hAnsi="Times New Roman"/>
          <w:sz w:val="22"/>
          <w:szCs w:val="22"/>
        </w:rPr>
        <w:t>peak</w:t>
      </w:r>
      <w:r w:rsidR="003C1D30">
        <w:rPr>
          <w:rFonts w:ascii="Times New Roman" w:hAnsi="Times New Roman"/>
          <w:sz w:val="22"/>
          <w:szCs w:val="22"/>
        </w:rPr>
        <w:t xml:space="preserve"> representative body for</w:t>
      </w:r>
      <w:r>
        <w:rPr>
          <w:rFonts w:ascii="Times New Roman" w:hAnsi="Times New Roman"/>
          <w:sz w:val="22"/>
          <w:szCs w:val="22"/>
        </w:rPr>
        <w:t xml:space="preserve"> the</w:t>
      </w:r>
      <w:r w:rsidR="003C1D30">
        <w:rPr>
          <w:rFonts w:ascii="Times New Roman" w:hAnsi="Times New Roman"/>
          <w:sz w:val="22"/>
          <w:szCs w:val="22"/>
        </w:rPr>
        <w:t xml:space="preserve"> IVD medical device industry. </w:t>
      </w:r>
      <w:r w:rsidR="00CA464A">
        <w:rPr>
          <w:rFonts w:ascii="Times New Roman" w:hAnsi="Times New Roman"/>
          <w:sz w:val="22"/>
          <w:szCs w:val="22"/>
        </w:rPr>
        <w:t>Both</w:t>
      </w:r>
      <w:r w:rsidR="00BC24C3" w:rsidRPr="00ED4E9B">
        <w:rPr>
          <w:rFonts w:ascii="Times New Roman" w:hAnsi="Times New Roman"/>
          <w:sz w:val="22"/>
          <w:szCs w:val="22"/>
        </w:rPr>
        <w:t xml:space="preserve"> proposal</w:t>
      </w:r>
      <w:r w:rsidR="00CA464A">
        <w:rPr>
          <w:rFonts w:ascii="Times New Roman" w:hAnsi="Times New Roman"/>
          <w:sz w:val="22"/>
          <w:szCs w:val="22"/>
        </w:rPr>
        <w:t>s</w:t>
      </w:r>
      <w:r w:rsidR="00BC24C3" w:rsidRPr="00ED4E9B">
        <w:rPr>
          <w:rFonts w:ascii="Times New Roman" w:hAnsi="Times New Roman"/>
          <w:sz w:val="22"/>
          <w:szCs w:val="22"/>
        </w:rPr>
        <w:t xml:space="preserve"> </w:t>
      </w:r>
      <w:r w:rsidR="00CA464A">
        <w:rPr>
          <w:rFonts w:ascii="Times New Roman" w:hAnsi="Times New Roman"/>
          <w:sz w:val="22"/>
          <w:szCs w:val="22"/>
        </w:rPr>
        <w:t>were</w:t>
      </w:r>
      <w:r w:rsidR="00BC24C3" w:rsidRPr="00ED4E9B">
        <w:rPr>
          <w:rFonts w:ascii="Times New Roman" w:hAnsi="Times New Roman"/>
          <w:sz w:val="22"/>
          <w:szCs w:val="22"/>
        </w:rPr>
        <w:t xml:space="preserve"> endorsed and supported</w:t>
      </w:r>
      <w:r w:rsidR="00347E04">
        <w:rPr>
          <w:rFonts w:ascii="Times New Roman" w:hAnsi="Times New Roman"/>
          <w:sz w:val="22"/>
          <w:szCs w:val="22"/>
        </w:rPr>
        <w:t xml:space="preserve"> by </w:t>
      </w:r>
      <w:proofErr w:type="spellStart"/>
      <w:r w:rsidR="00347E04">
        <w:rPr>
          <w:rFonts w:ascii="Times New Roman" w:hAnsi="Times New Roman"/>
          <w:sz w:val="22"/>
          <w:szCs w:val="22"/>
        </w:rPr>
        <w:t>RegTech</w:t>
      </w:r>
      <w:proofErr w:type="spellEnd"/>
      <w:r w:rsidR="003C1D30">
        <w:rPr>
          <w:rFonts w:ascii="Times New Roman" w:hAnsi="Times New Roman"/>
          <w:sz w:val="22"/>
          <w:szCs w:val="22"/>
        </w:rPr>
        <w:t xml:space="preserve"> and PTA</w:t>
      </w:r>
      <w:r w:rsidR="00BC24C3" w:rsidRPr="00ED4E9B">
        <w:rPr>
          <w:rFonts w:ascii="Times New Roman" w:hAnsi="Times New Roman"/>
          <w:sz w:val="22"/>
          <w:szCs w:val="22"/>
        </w:rPr>
        <w:t>.</w:t>
      </w:r>
      <w:r w:rsidR="00347E04">
        <w:rPr>
          <w:rFonts w:ascii="Times New Roman" w:hAnsi="Times New Roman"/>
          <w:sz w:val="22"/>
          <w:szCs w:val="22"/>
        </w:rPr>
        <w:t xml:space="preserve"> </w:t>
      </w:r>
      <w:r w:rsidR="00BC24C3" w:rsidRPr="00ED4E9B">
        <w:rPr>
          <w:rFonts w:ascii="Times New Roman" w:hAnsi="Times New Roman"/>
          <w:sz w:val="22"/>
          <w:szCs w:val="22"/>
        </w:rPr>
        <w:t xml:space="preserve"> </w:t>
      </w:r>
    </w:p>
    <w:p w14:paraId="3A8EF337" w14:textId="77777777" w:rsidR="00347E04" w:rsidRDefault="00347E04" w:rsidP="00E30C11">
      <w:pPr>
        <w:rPr>
          <w:rFonts w:ascii="Times New Roman" w:hAnsi="Times New Roman"/>
          <w:sz w:val="22"/>
          <w:szCs w:val="22"/>
        </w:rPr>
      </w:pPr>
    </w:p>
    <w:p w14:paraId="139D6029" w14:textId="3ACB2844" w:rsidR="00E30C11" w:rsidRPr="00ED4E9B" w:rsidRDefault="00E30C11" w:rsidP="00E30C11">
      <w:pPr>
        <w:rPr>
          <w:rFonts w:ascii="Times New Roman" w:hAnsi="Times New Roman"/>
          <w:sz w:val="22"/>
          <w:szCs w:val="22"/>
          <w:shd w:val="clear" w:color="auto" w:fill="FFFFFF"/>
        </w:rPr>
      </w:pPr>
      <w:r w:rsidRPr="005A7CC2">
        <w:rPr>
          <w:rFonts w:ascii="Times New Roman" w:hAnsi="Times New Roman"/>
          <w:sz w:val="22"/>
          <w:szCs w:val="22"/>
        </w:rPr>
        <w:t>The Office of Impact Analysis has advised that an impact analysis is not required in relation to amendments to the Principal Determination as the proposal</w:t>
      </w:r>
      <w:r w:rsidR="00CA464A">
        <w:rPr>
          <w:rFonts w:ascii="Times New Roman" w:hAnsi="Times New Roman"/>
          <w:sz w:val="22"/>
          <w:szCs w:val="22"/>
        </w:rPr>
        <w:t>s</w:t>
      </w:r>
      <w:r w:rsidRPr="005A7CC2">
        <w:rPr>
          <w:rFonts w:ascii="Times New Roman" w:hAnsi="Times New Roman"/>
          <w:sz w:val="22"/>
          <w:szCs w:val="22"/>
        </w:rPr>
        <w:t xml:space="preserve"> to align the transition timelines </w:t>
      </w:r>
      <w:r w:rsidR="00B139DD" w:rsidRPr="005A7CC2">
        <w:rPr>
          <w:rFonts w:ascii="Times New Roman" w:hAnsi="Times New Roman"/>
          <w:sz w:val="22"/>
          <w:szCs w:val="22"/>
        </w:rPr>
        <w:t xml:space="preserve">with those under the EU </w:t>
      </w:r>
      <w:r w:rsidR="00871EED">
        <w:rPr>
          <w:rFonts w:ascii="Times New Roman" w:hAnsi="Times New Roman"/>
          <w:sz w:val="22"/>
          <w:szCs w:val="22"/>
        </w:rPr>
        <w:t xml:space="preserve">IVD </w:t>
      </w:r>
      <w:r w:rsidR="00B139DD" w:rsidRPr="005A7CC2">
        <w:rPr>
          <w:rFonts w:ascii="Times New Roman" w:hAnsi="Times New Roman"/>
          <w:sz w:val="22"/>
          <w:szCs w:val="22"/>
        </w:rPr>
        <w:t xml:space="preserve">regulation, and </w:t>
      </w:r>
      <w:r w:rsidR="00CA464A">
        <w:rPr>
          <w:rFonts w:ascii="Times New Roman" w:hAnsi="Times New Roman"/>
          <w:sz w:val="22"/>
          <w:szCs w:val="22"/>
        </w:rPr>
        <w:t>to introduce</w:t>
      </w:r>
      <w:r w:rsidR="00871EED">
        <w:rPr>
          <w:rFonts w:ascii="Times New Roman" w:hAnsi="Times New Roman"/>
          <w:sz w:val="22"/>
          <w:szCs w:val="22"/>
        </w:rPr>
        <w:t xml:space="preserve"> </w:t>
      </w:r>
      <w:r w:rsidR="00CA464A">
        <w:rPr>
          <w:rFonts w:ascii="Times New Roman" w:hAnsi="Times New Roman"/>
          <w:sz w:val="22"/>
          <w:szCs w:val="22"/>
        </w:rPr>
        <w:t>a</w:t>
      </w:r>
      <w:r w:rsidR="00871EED">
        <w:rPr>
          <w:rFonts w:ascii="Times New Roman" w:hAnsi="Times New Roman"/>
          <w:sz w:val="22"/>
          <w:szCs w:val="22"/>
        </w:rPr>
        <w:t xml:space="preserve"> requirement for evidence to demonstrate compliance with Article 110(3c) of the EU IVD regulation for</w:t>
      </w:r>
      <w:r w:rsidR="00871EED" w:rsidRPr="005A7CC2">
        <w:rPr>
          <w:rFonts w:ascii="Times New Roman" w:hAnsi="Times New Roman"/>
          <w:sz w:val="22"/>
          <w:szCs w:val="22"/>
        </w:rPr>
        <w:t xml:space="preserve"> Class 2, Class 3 and Class 4 IVD medical devices</w:t>
      </w:r>
      <w:r w:rsidR="00CA464A">
        <w:rPr>
          <w:rFonts w:ascii="Times New Roman" w:hAnsi="Times New Roman"/>
          <w:sz w:val="22"/>
          <w:szCs w:val="22"/>
        </w:rPr>
        <w:t>,</w:t>
      </w:r>
      <w:r w:rsidR="00871EED" w:rsidRPr="005A7CC2" w:rsidDel="00871EED">
        <w:rPr>
          <w:rFonts w:ascii="Times New Roman" w:hAnsi="Times New Roman"/>
          <w:sz w:val="22"/>
          <w:szCs w:val="22"/>
        </w:rPr>
        <w:t xml:space="preserve"> </w:t>
      </w:r>
      <w:r w:rsidRPr="005A7CC2">
        <w:rPr>
          <w:rFonts w:ascii="Times New Roman" w:hAnsi="Times New Roman"/>
          <w:sz w:val="22"/>
          <w:szCs w:val="22"/>
        </w:rPr>
        <w:t>ha</w:t>
      </w:r>
      <w:r w:rsidR="00CA464A">
        <w:rPr>
          <w:rFonts w:ascii="Times New Roman" w:hAnsi="Times New Roman"/>
          <w:sz w:val="22"/>
          <w:szCs w:val="22"/>
        </w:rPr>
        <w:t>ve</w:t>
      </w:r>
      <w:r w:rsidRPr="005A7CC2">
        <w:rPr>
          <w:rFonts w:ascii="Times New Roman" w:hAnsi="Times New Roman"/>
          <w:sz w:val="22"/>
          <w:szCs w:val="22"/>
        </w:rPr>
        <w:t xml:space="preserve"> been assessed as minor (OIA24-08280).</w:t>
      </w:r>
    </w:p>
    <w:p w14:paraId="177EB0A8" w14:textId="77777777" w:rsidR="00E30C11" w:rsidRPr="005A7CC2" w:rsidRDefault="00E30C11" w:rsidP="00E30C11">
      <w:pPr>
        <w:rPr>
          <w:rFonts w:ascii="Times New Roman" w:hAnsi="Times New Roman"/>
          <w:sz w:val="22"/>
          <w:szCs w:val="22"/>
        </w:rPr>
      </w:pPr>
    </w:p>
    <w:p w14:paraId="724BD380" w14:textId="77777777" w:rsidR="00E30C11" w:rsidRPr="005A7CC2" w:rsidRDefault="00E30C11" w:rsidP="00E30C11">
      <w:pPr>
        <w:keepNext/>
        <w:autoSpaceDE w:val="0"/>
        <w:autoSpaceDN w:val="0"/>
        <w:adjustRightInd w:val="0"/>
        <w:contextualSpacing/>
        <w:rPr>
          <w:rFonts w:ascii="Times New Roman" w:hAnsi="Times New Roman"/>
          <w:b/>
          <w:sz w:val="22"/>
          <w:szCs w:val="22"/>
        </w:rPr>
      </w:pPr>
      <w:r w:rsidRPr="005A7CC2">
        <w:rPr>
          <w:rFonts w:ascii="Times New Roman" w:hAnsi="Times New Roman"/>
          <w:b/>
          <w:sz w:val="22"/>
          <w:szCs w:val="22"/>
        </w:rPr>
        <w:t>Other details</w:t>
      </w:r>
    </w:p>
    <w:p w14:paraId="61FDD7B9" w14:textId="77777777" w:rsidR="00E30C11" w:rsidRPr="005A7CC2" w:rsidRDefault="00E30C11" w:rsidP="00E30C11">
      <w:pPr>
        <w:keepNext/>
        <w:contextualSpacing/>
        <w:rPr>
          <w:rFonts w:ascii="Times New Roman" w:hAnsi="Times New Roman"/>
          <w:sz w:val="22"/>
          <w:szCs w:val="22"/>
        </w:rPr>
      </w:pPr>
    </w:p>
    <w:p w14:paraId="6249C8B8" w14:textId="77777777" w:rsidR="00E30C11" w:rsidRPr="005A7CC2" w:rsidRDefault="00E30C11" w:rsidP="00E30C11">
      <w:pPr>
        <w:keepNext/>
        <w:contextualSpacing/>
        <w:rPr>
          <w:rFonts w:ascii="Times New Roman" w:hAnsi="Times New Roman"/>
          <w:sz w:val="22"/>
          <w:szCs w:val="22"/>
        </w:rPr>
      </w:pPr>
      <w:r w:rsidRPr="005A7CC2">
        <w:rPr>
          <w:rFonts w:ascii="Times New Roman" w:hAnsi="Times New Roman"/>
          <w:sz w:val="22"/>
          <w:szCs w:val="22"/>
        </w:rPr>
        <w:t xml:space="preserve">Details of the Amendment Determination are set out in </w:t>
      </w:r>
      <w:r w:rsidRPr="005A7CC2">
        <w:rPr>
          <w:rFonts w:ascii="Times New Roman" w:hAnsi="Times New Roman"/>
          <w:b/>
          <w:sz w:val="22"/>
          <w:szCs w:val="22"/>
        </w:rPr>
        <w:t>Attachment A</w:t>
      </w:r>
      <w:r w:rsidRPr="005A7CC2">
        <w:rPr>
          <w:rFonts w:ascii="Times New Roman" w:hAnsi="Times New Roman"/>
          <w:sz w:val="22"/>
          <w:szCs w:val="22"/>
        </w:rPr>
        <w:t>.</w:t>
      </w:r>
    </w:p>
    <w:p w14:paraId="43A625FE" w14:textId="77777777" w:rsidR="00E30C11" w:rsidRPr="005A7CC2" w:rsidRDefault="00E30C11" w:rsidP="00E30C11">
      <w:pPr>
        <w:rPr>
          <w:rFonts w:ascii="Times New Roman" w:hAnsi="Times New Roman"/>
          <w:sz w:val="22"/>
          <w:szCs w:val="22"/>
        </w:rPr>
      </w:pPr>
    </w:p>
    <w:p w14:paraId="580C515F"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The Amendment Determination is compatible with human rights and freedoms recognised or declared under section 3 of the </w:t>
      </w:r>
      <w:r w:rsidRPr="005A7CC2">
        <w:rPr>
          <w:rFonts w:ascii="Times New Roman" w:hAnsi="Times New Roman"/>
          <w:i/>
          <w:sz w:val="22"/>
          <w:szCs w:val="22"/>
        </w:rPr>
        <w:t>Human Rights (Parliamentary Scrutiny) Act 2011</w:t>
      </w:r>
      <w:r w:rsidRPr="005A7CC2">
        <w:rPr>
          <w:rFonts w:ascii="Times New Roman" w:hAnsi="Times New Roman"/>
          <w:sz w:val="22"/>
          <w:szCs w:val="22"/>
        </w:rPr>
        <w:t xml:space="preserve">. A full statement of compatibility is set out in </w:t>
      </w:r>
      <w:r w:rsidRPr="005A7CC2">
        <w:rPr>
          <w:rFonts w:ascii="Times New Roman" w:hAnsi="Times New Roman"/>
          <w:b/>
          <w:sz w:val="22"/>
          <w:szCs w:val="22"/>
        </w:rPr>
        <w:t>Attachment B</w:t>
      </w:r>
      <w:r w:rsidRPr="005A7CC2">
        <w:rPr>
          <w:rFonts w:ascii="Times New Roman" w:hAnsi="Times New Roman"/>
          <w:bCs/>
          <w:sz w:val="22"/>
          <w:szCs w:val="22"/>
        </w:rPr>
        <w:t>.</w:t>
      </w:r>
    </w:p>
    <w:p w14:paraId="6B9A8A04" w14:textId="77777777" w:rsidR="00E30C11" w:rsidRPr="005A7CC2" w:rsidRDefault="00E30C11" w:rsidP="00E30C11">
      <w:pPr>
        <w:rPr>
          <w:rFonts w:ascii="Times New Roman" w:hAnsi="Times New Roman"/>
          <w:sz w:val="22"/>
          <w:szCs w:val="22"/>
        </w:rPr>
      </w:pPr>
    </w:p>
    <w:p w14:paraId="7DBFF0E1" w14:textId="017060E5"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The Amendment Determination is a disallowable legislative instrument for the purposes of the </w:t>
      </w:r>
      <w:r w:rsidRPr="005A7CC2">
        <w:rPr>
          <w:rFonts w:ascii="Times New Roman" w:hAnsi="Times New Roman"/>
          <w:i/>
          <w:sz w:val="22"/>
          <w:szCs w:val="22"/>
        </w:rPr>
        <w:t xml:space="preserve">Legislation Act </w:t>
      </w:r>
      <w:proofErr w:type="gramStart"/>
      <w:r w:rsidRPr="005A7CC2">
        <w:rPr>
          <w:rFonts w:ascii="Times New Roman" w:hAnsi="Times New Roman"/>
          <w:i/>
          <w:sz w:val="22"/>
          <w:szCs w:val="22"/>
        </w:rPr>
        <w:t>2003</w:t>
      </w:r>
      <w:r w:rsidRPr="005A7CC2">
        <w:rPr>
          <w:rFonts w:ascii="Times New Roman" w:hAnsi="Times New Roman"/>
          <w:iCs/>
          <w:sz w:val="22"/>
          <w:szCs w:val="22"/>
        </w:rPr>
        <w:t>,</w:t>
      </w:r>
      <w:r w:rsidRPr="005A7CC2">
        <w:rPr>
          <w:rFonts w:ascii="Times New Roman" w:hAnsi="Times New Roman"/>
          <w:i/>
          <w:sz w:val="22"/>
          <w:szCs w:val="22"/>
        </w:rPr>
        <w:t xml:space="preserve"> </w:t>
      </w:r>
      <w:r w:rsidRPr="005A7CC2">
        <w:rPr>
          <w:rFonts w:ascii="Times New Roman" w:hAnsi="Times New Roman"/>
          <w:sz w:val="22"/>
          <w:szCs w:val="22"/>
        </w:rPr>
        <w:t>and</w:t>
      </w:r>
      <w:proofErr w:type="gramEnd"/>
      <w:r w:rsidRPr="005A7CC2">
        <w:rPr>
          <w:rFonts w:ascii="Times New Roman" w:hAnsi="Times New Roman"/>
          <w:sz w:val="22"/>
          <w:szCs w:val="22"/>
        </w:rPr>
        <w:t xml:space="preserve"> commences on the day after registration on the Federal Register of Legislation.</w:t>
      </w:r>
      <w:bookmarkEnd w:id="3"/>
      <w:r w:rsidRPr="005A7CC2">
        <w:rPr>
          <w:rFonts w:ascii="Times New Roman" w:hAnsi="Times New Roman"/>
          <w:b/>
          <w:bCs/>
          <w:sz w:val="22"/>
          <w:szCs w:val="22"/>
        </w:rPr>
        <w:br w:type="page"/>
      </w:r>
    </w:p>
    <w:p w14:paraId="4788DE46" w14:textId="77777777" w:rsidR="00E30C11" w:rsidRPr="005A7CC2" w:rsidRDefault="00E30C11" w:rsidP="00E30C11">
      <w:pPr>
        <w:jc w:val="right"/>
        <w:rPr>
          <w:rFonts w:ascii="Times New Roman" w:hAnsi="Times New Roman"/>
          <w:b/>
          <w:bCs/>
          <w:sz w:val="22"/>
          <w:szCs w:val="22"/>
        </w:rPr>
      </w:pPr>
      <w:r w:rsidRPr="005A7CC2">
        <w:rPr>
          <w:rFonts w:ascii="Times New Roman" w:hAnsi="Times New Roman"/>
          <w:b/>
          <w:bCs/>
          <w:sz w:val="22"/>
          <w:szCs w:val="22"/>
        </w:rPr>
        <w:lastRenderedPageBreak/>
        <w:t>Attachment A</w:t>
      </w:r>
    </w:p>
    <w:p w14:paraId="68C40B0E" w14:textId="77777777" w:rsidR="00E30C11" w:rsidRPr="005A7CC2" w:rsidRDefault="00E30C11" w:rsidP="00E30C11">
      <w:pPr>
        <w:rPr>
          <w:rFonts w:ascii="Times New Roman" w:hAnsi="Times New Roman"/>
          <w:b/>
          <w:bCs/>
          <w:sz w:val="22"/>
          <w:szCs w:val="22"/>
        </w:rPr>
      </w:pPr>
    </w:p>
    <w:p w14:paraId="43E8F9F1" w14:textId="77777777" w:rsidR="00E30C11" w:rsidRPr="005A7CC2" w:rsidRDefault="00E30C11" w:rsidP="00E30C11">
      <w:pPr>
        <w:rPr>
          <w:rFonts w:ascii="Times New Roman" w:hAnsi="Times New Roman"/>
          <w:b/>
          <w:bCs/>
          <w:i/>
          <w:sz w:val="22"/>
          <w:szCs w:val="22"/>
        </w:rPr>
      </w:pPr>
      <w:r w:rsidRPr="005A7CC2">
        <w:rPr>
          <w:rFonts w:ascii="Times New Roman" w:hAnsi="Times New Roman"/>
          <w:b/>
          <w:bCs/>
          <w:sz w:val="22"/>
          <w:szCs w:val="22"/>
        </w:rPr>
        <w:t xml:space="preserve">Details of the </w:t>
      </w:r>
      <w:r w:rsidRPr="005A7CC2">
        <w:rPr>
          <w:rFonts w:ascii="Times New Roman" w:hAnsi="Times New Roman"/>
          <w:b/>
          <w:bCs/>
          <w:i/>
          <w:sz w:val="22"/>
          <w:szCs w:val="22"/>
        </w:rPr>
        <w:t>Therapeutic Goods (Medical Devices—Information that Must Accompany Application for Inclusion) Amendment Determination (No. 3) 2024</w:t>
      </w:r>
    </w:p>
    <w:p w14:paraId="5BC974EE" w14:textId="77777777" w:rsidR="00E30C11" w:rsidRPr="005A7CC2" w:rsidRDefault="00E30C11" w:rsidP="00E30C11">
      <w:pPr>
        <w:rPr>
          <w:rFonts w:ascii="Times New Roman" w:hAnsi="Times New Roman"/>
          <w:b/>
          <w:bCs/>
          <w:i/>
          <w:sz w:val="22"/>
          <w:szCs w:val="22"/>
        </w:rPr>
      </w:pPr>
    </w:p>
    <w:p w14:paraId="5A97BB41" w14:textId="77777777" w:rsidR="00E30C11" w:rsidRPr="005A7CC2" w:rsidRDefault="00E30C11" w:rsidP="00E30C11">
      <w:pPr>
        <w:rPr>
          <w:rFonts w:ascii="Times New Roman" w:hAnsi="Times New Roman"/>
          <w:b/>
          <w:bCs/>
          <w:sz w:val="22"/>
          <w:szCs w:val="22"/>
        </w:rPr>
      </w:pPr>
      <w:r w:rsidRPr="005A7CC2">
        <w:rPr>
          <w:rFonts w:ascii="Times New Roman" w:hAnsi="Times New Roman"/>
          <w:b/>
          <w:bCs/>
          <w:sz w:val="22"/>
          <w:szCs w:val="22"/>
        </w:rPr>
        <w:t>Section 1 – Name</w:t>
      </w:r>
    </w:p>
    <w:p w14:paraId="09F7A2EE" w14:textId="77777777" w:rsidR="00E30C11" w:rsidRPr="005A7CC2" w:rsidRDefault="00E30C11" w:rsidP="00E30C11">
      <w:pPr>
        <w:rPr>
          <w:rFonts w:ascii="Times New Roman" w:hAnsi="Times New Roman"/>
          <w:b/>
          <w:bCs/>
          <w:sz w:val="22"/>
          <w:szCs w:val="22"/>
        </w:rPr>
      </w:pPr>
    </w:p>
    <w:p w14:paraId="7C3230AA"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This section provides that the name of the instrument is the </w:t>
      </w:r>
      <w:r w:rsidRPr="005A7CC2">
        <w:rPr>
          <w:rFonts w:ascii="Times New Roman" w:hAnsi="Times New Roman"/>
          <w:i/>
          <w:sz w:val="22"/>
          <w:szCs w:val="22"/>
        </w:rPr>
        <w:t xml:space="preserve">Therapeutic Goods (Medical Devices—Information that Must Accompany Application for Inclusion) Amendment Determination (No. 3) 2024 </w:t>
      </w:r>
      <w:r w:rsidRPr="005A7CC2">
        <w:rPr>
          <w:rFonts w:ascii="Times New Roman" w:hAnsi="Times New Roman"/>
          <w:iCs/>
          <w:sz w:val="22"/>
          <w:szCs w:val="22"/>
        </w:rPr>
        <w:t>(“the Amendment Determination”)</w:t>
      </w:r>
      <w:r w:rsidRPr="005A7CC2">
        <w:rPr>
          <w:rFonts w:ascii="Times New Roman" w:hAnsi="Times New Roman"/>
          <w:i/>
          <w:sz w:val="22"/>
          <w:szCs w:val="22"/>
        </w:rPr>
        <w:t>.</w:t>
      </w:r>
    </w:p>
    <w:p w14:paraId="2C81F068" w14:textId="77777777" w:rsidR="00E30C11" w:rsidRPr="005A7CC2" w:rsidRDefault="00E30C11" w:rsidP="00E30C11">
      <w:pPr>
        <w:rPr>
          <w:rFonts w:ascii="Times New Roman" w:hAnsi="Times New Roman"/>
          <w:bCs/>
          <w:sz w:val="22"/>
          <w:szCs w:val="22"/>
        </w:rPr>
      </w:pPr>
    </w:p>
    <w:p w14:paraId="0FF088FF" w14:textId="77777777" w:rsidR="00E30C11" w:rsidRPr="005A7CC2" w:rsidRDefault="00E30C11" w:rsidP="00E30C11">
      <w:pPr>
        <w:rPr>
          <w:rFonts w:ascii="Times New Roman" w:hAnsi="Times New Roman"/>
          <w:b/>
          <w:bCs/>
          <w:sz w:val="22"/>
          <w:szCs w:val="22"/>
        </w:rPr>
      </w:pPr>
      <w:r w:rsidRPr="005A7CC2">
        <w:rPr>
          <w:rFonts w:ascii="Times New Roman" w:hAnsi="Times New Roman"/>
          <w:b/>
          <w:bCs/>
          <w:sz w:val="22"/>
          <w:szCs w:val="22"/>
        </w:rPr>
        <w:t>Section 2 – Commencement</w:t>
      </w:r>
    </w:p>
    <w:p w14:paraId="19C44F7E" w14:textId="77777777" w:rsidR="00E30C11" w:rsidRPr="005A7CC2" w:rsidRDefault="00E30C11" w:rsidP="00E30C11">
      <w:pPr>
        <w:rPr>
          <w:rFonts w:ascii="Times New Roman" w:hAnsi="Times New Roman"/>
          <w:bCs/>
          <w:sz w:val="22"/>
          <w:szCs w:val="22"/>
        </w:rPr>
      </w:pPr>
    </w:p>
    <w:p w14:paraId="1B2A58BC" w14:textId="77777777" w:rsidR="00E30C11" w:rsidRPr="005A7CC2" w:rsidRDefault="00E30C11" w:rsidP="00E30C11">
      <w:pPr>
        <w:rPr>
          <w:rFonts w:ascii="Times New Roman" w:hAnsi="Times New Roman"/>
          <w:bCs/>
          <w:sz w:val="22"/>
          <w:szCs w:val="22"/>
        </w:rPr>
      </w:pPr>
      <w:r w:rsidRPr="005A7CC2">
        <w:rPr>
          <w:rFonts w:ascii="Times New Roman" w:hAnsi="Times New Roman"/>
          <w:bCs/>
          <w:sz w:val="22"/>
          <w:szCs w:val="22"/>
        </w:rPr>
        <w:t>This section provides that the Amendment Determination commences on the day after it is registered on the Federal Register of Legislation.</w:t>
      </w:r>
    </w:p>
    <w:p w14:paraId="429AF478" w14:textId="77777777" w:rsidR="00E30C11" w:rsidRPr="005A7CC2" w:rsidRDefault="00E30C11" w:rsidP="00E30C11">
      <w:pPr>
        <w:rPr>
          <w:rFonts w:ascii="Times New Roman" w:hAnsi="Times New Roman"/>
          <w:bCs/>
          <w:sz w:val="22"/>
          <w:szCs w:val="22"/>
        </w:rPr>
      </w:pPr>
    </w:p>
    <w:p w14:paraId="4DA18712" w14:textId="77777777" w:rsidR="00E30C11" w:rsidRPr="005A7CC2" w:rsidRDefault="00E30C11" w:rsidP="00E30C11">
      <w:pPr>
        <w:rPr>
          <w:rFonts w:ascii="Times New Roman" w:hAnsi="Times New Roman"/>
          <w:b/>
          <w:bCs/>
          <w:sz w:val="22"/>
          <w:szCs w:val="22"/>
        </w:rPr>
      </w:pPr>
      <w:r w:rsidRPr="005A7CC2">
        <w:rPr>
          <w:rFonts w:ascii="Times New Roman" w:hAnsi="Times New Roman"/>
          <w:b/>
          <w:bCs/>
          <w:sz w:val="22"/>
          <w:szCs w:val="22"/>
        </w:rPr>
        <w:t>Section 3 – Authority</w:t>
      </w:r>
    </w:p>
    <w:p w14:paraId="48C79175" w14:textId="77777777" w:rsidR="00E30C11" w:rsidRPr="005A7CC2" w:rsidRDefault="00E30C11" w:rsidP="00E30C11">
      <w:pPr>
        <w:rPr>
          <w:rFonts w:ascii="Times New Roman" w:hAnsi="Times New Roman"/>
          <w:b/>
          <w:bCs/>
          <w:sz w:val="22"/>
          <w:szCs w:val="22"/>
        </w:rPr>
      </w:pPr>
    </w:p>
    <w:p w14:paraId="2B242021" w14:textId="7FEF818A" w:rsidR="00E30C11" w:rsidRPr="005A7CC2" w:rsidRDefault="00E30C11" w:rsidP="00E30C11">
      <w:pPr>
        <w:rPr>
          <w:rFonts w:ascii="Times New Roman" w:hAnsi="Times New Roman"/>
          <w:bCs/>
          <w:sz w:val="22"/>
          <w:szCs w:val="22"/>
        </w:rPr>
      </w:pPr>
      <w:r w:rsidRPr="005A7CC2">
        <w:rPr>
          <w:rFonts w:ascii="Times New Roman" w:hAnsi="Times New Roman"/>
          <w:bCs/>
          <w:sz w:val="22"/>
          <w:szCs w:val="22"/>
        </w:rPr>
        <w:t>This section provides that the legislative authority for making the Amendment Determination is subsection 41</w:t>
      </w:r>
      <w:proofErr w:type="gramStart"/>
      <w:r w:rsidRPr="005A7CC2">
        <w:rPr>
          <w:rFonts w:ascii="Times New Roman" w:hAnsi="Times New Roman"/>
          <w:bCs/>
          <w:sz w:val="22"/>
          <w:szCs w:val="22"/>
        </w:rPr>
        <w:t>FDB(</w:t>
      </w:r>
      <w:proofErr w:type="gramEnd"/>
      <w:r w:rsidRPr="005A7CC2">
        <w:rPr>
          <w:rFonts w:ascii="Times New Roman" w:hAnsi="Times New Roman"/>
          <w:bCs/>
          <w:sz w:val="22"/>
          <w:szCs w:val="22"/>
        </w:rPr>
        <w:t xml:space="preserve">7) of the </w:t>
      </w:r>
      <w:r w:rsidRPr="005A7CC2">
        <w:rPr>
          <w:rFonts w:ascii="Times New Roman" w:hAnsi="Times New Roman"/>
          <w:bCs/>
          <w:i/>
          <w:iCs/>
          <w:sz w:val="22"/>
          <w:szCs w:val="22"/>
        </w:rPr>
        <w:t>Therapeutic Goods Act 1989</w:t>
      </w:r>
      <w:r w:rsidR="00037ACE" w:rsidRPr="005A7CC2">
        <w:rPr>
          <w:rFonts w:ascii="Times New Roman" w:hAnsi="Times New Roman"/>
          <w:bCs/>
          <w:i/>
          <w:iCs/>
          <w:sz w:val="22"/>
          <w:szCs w:val="22"/>
        </w:rPr>
        <w:t xml:space="preserve"> </w:t>
      </w:r>
      <w:r w:rsidR="00037ACE" w:rsidRPr="005A7CC2">
        <w:rPr>
          <w:rFonts w:ascii="Times New Roman" w:hAnsi="Times New Roman"/>
          <w:bCs/>
          <w:sz w:val="22"/>
          <w:szCs w:val="22"/>
        </w:rPr>
        <w:t>(“the Act”).</w:t>
      </w:r>
    </w:p>
    <w:p w14:paraId="23F157AC" w14:textId="77777777" w:rsidR="00E30C11" w:rsidRPr="005A7CC2" w:rsidRDefault="00E30C11" w:rsidP="00E30C11">
      <w:pPr>
        <w:rPr>
          <w:rFonts w:ascii="Times New Roman" w:hAnsi="Times New Roman"/>
          <w:bCs/>
          <w:sz w:val="22"/>
          <w:szCs w:val="22"/>
        </w:rPr>
      </w:pPr>
    </w:p>
    <w:p w14:paraId="7CBD3879" w14:textId="77777777" w:rsidR="00E30C11" w:rsidRPr="005A7CC2" w:rsidRDefault="00E30C11" w:rsidP="00E30C11">
      <w:pPr>
        <w:rPr>
          <w:rFonts w:ascii="Times New Roman" w:hAnsi="Times New Roman"/>
          <w:bCs/>
          <w:sz w:val="22"/>
          <w:szCs w:val="22"/>
        </w:rPr>
      </w:pPr>
      <w:r w:rsidRPr="005A7CC2">
        <w:rPr>
          <w:rFonts w:ascii="Times New Roman" w:hAnsi="Times New Roman"/>
          <w:bCs/>
          <w:sz w:val="22"/>
          <w:szCs w:val="22"/>
        </w:rPr>
        <w:t xml:space="preserve">Subsection 33(3) of the </w:t>
      </w:r>
      <w:r w:rsidRPr="005A7CC2">
        <w:rPr>
          <w:rFonts w:ascii="Times New Roman" w:hAnsi="Times New Roman"/>
          <w:bCs/>
          <w:i/>
          <w:sz w:val="22"/>
          <w:szCs w:val="22"/>
        </w:rPr>
        <w:t>Acts Interpretation Act 1901</w:t>
      </w:r>
      <w:r w:rsidRPr="005A7CC2">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022C75BE" w14:textId="77777777" w:rsidR="00E30C11" w:rsidRPr="005A7CC2" w:rsidRDefault="00E30C11" w:rsidP="00E30C11">
      <w:pPr>
        <w:rPr>
          <w:rFonts w:ascii="Times New Roman" w:hAnsi="Times New Roman"/>
          <w:b/>
          <w:bCs/>
          <w:sz w:val="22"/>
          <w:szCs w:val="22"/>
        </w:rPr>
      </w:pPr>
    </w:p>
    <w:p w14:paraId="7EADB031" w14:textId="77777777" w:rsidR="00E30C11" w:rsidRPr="005A7CC2" w:rsidRDefault="00E30C11" w:rsidP="00E30C11">
      <w:pPr>
        <w:rPr>
          <w:rFonts w:ascii="Times New Roman" w:hAnsi="Times New Roman"/>
          <w:b/>
          <w:bCs/>
          <w:sz w:val="22"/>
          <w:szCs w:val="22"/>
        </w:rPr>
      </w:pPr>
      <w:r w:rsidRPr="005A7CC2">
        <w:rPr>
          <w:rFonts w:ascii="Times New Roman" w:hAnsi="Times New Roman"/>
          <w:b/>
          <w:bCs/>
          <w:sz w:val="22"/>
          <w:szCs w:val="22"/>
        </w:rPr>
        <w:t>Section 4 – Schedules</w:t>
      </w:r>
    </w:p>
    <w:p w14:paraId="684D5484" w14:textId="77777777" w:rsidR="00E30C11" w:rsidRPr="005A7CC2" w:rsidRDefault="00E30C11" w:rsidP="00E30C11">
      <w:pPr>
        <w:rPr>
          <w:rFonts w:ascii="Times New Roman" w:hAnsi="Times New Roman"/>
          <w:bCs/>
          <w:sz w:val="22"/>
          <w:szCs w:val="22"/>
        </w:rPr>
      </w:pPr>
    </w:p>
    <w:p w14:paraId="79B04183" w14:textId="77777777" w:rsidR="00E30C11" w:rsidRPr="005A7CC2" w:rsidRDefault="00E30C11" w:rsidP="00E30C11">
      <w:pPr>
        <w:rPr>
          <w:rFonts w:ascii="Times New Roman" w:hAnsi="Times New Roman"/>
          <w:bCs/>
          <w:sz w:val="22"/>
          <w:szCs w:val="22"/>
        </w:rPr>
      </w:pPr>
      <w:r w:rsidRPr="005A7CC2">
        <w:rPr>
          <w:rFonts w:ascii="Times New Roman" w:hAnsi="Times New Roman"/>
          <w:bCs/>
          <w:sz w:val="22"/>
          <w:szCs w:val="22"/>
        </w:rPr>
        <w:t>This section gives legal effect to the amendments in Schedule 1 to the Amendment Determination.</w:t>
      </w:r>
    </w:p>
    <w:p w14:paraId="79CE3E90" w14:textId="77777777" w:rsidR="00E30C11" w:rsidRPr="005A7CC2" w:rsidRDefault="00E30C11" w:rsidP="00E30C11">
      <w:pPr>
        <w:rPr>
          <w:rFonts w:ascii="Times New Roman" w:hAnsi="Times New Roman"/>
          <w:bCs/>
          <w:sz w:val="22"/>
          <w:szCs w:val="22"/>
        </w:rPr>
      </w:pPr>
    </w:p>
    <w:p w14:paraId="784323CE" w14:textId="77777777" w:rsidR="00E30C11" w:rsidRPr="005A7CC2" w:rsidRDefault="00E30C11" w:rsidP="00E30C11">
      <w:pPr>
        <w:keepNext/>
        <w:rPr>
          <w:rFonts w:ascii="Times New Roman" w:hAnsi="Times New Roman"/>
          <w:b/>
          <w:bCs/>
          <w:sz w:val="22"/>
          <w:szCs w:val="22"/>
        </w:rPr>
      </w:pPr>
      <w:r w:rsidRPr="005A7CC2">
        <w:rPr>
          <w:rFonts w:ascii="Times New Roman" w:hAnsi="Times New Roman"/>
          <w:b/>
          <w:bCs/>
          <w:sz w:val="22"/>
          <w:szCs w:val="22"/>
        </w:rPr>
        <w:t>Schedule 1 – Amendments</w:t>
      </w:r>
    </w:p>
    <w:p w14:paraId="42C17BAA" w14:textId="77777777" w:rsidR="00E30C11" w:rsidRPr="005A7CC2" w:rsidRDefault="00E30C11" w:rsidP="00E30C11">
      <w:pPr>
        <w:keepNext/>
        <w:rPr>
          <w:rFonts w:ascii="Times New Roman" w:hAnsi="Times New Roman"/>
          <w:b/>
          <w:bCs/>
          <w:sz w:val="22"/>
          <w:szCs w:val="22"/>
        </w:rPr>
      </w:pPr>
    </w:p>
    <w:p w14:paraId="13B1FCE8"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This Schedule amends the </w:t>
      </w:r>
      <w:r w:rsidRPr="005A7CC2">
        <w:rPr>
          <w:rFonts w:ascii="Times New Roman" w:hAnsi="Times New Roman"/>
          <w:i/>
          <w:iCs/>
          <w:sz w:val="22"/>
          <w:szCs w:val="22"/>
        </w:rPr>
        <w:t>Therapeutic Goods (Medical Devices—Information that Must Accompany Application for Inclusion) Determination 2018</w:t>
      </w:r>
      <w:r w:rsidRPr="005A7CC2">
        <w:rPr>
          <w:rFonts w:ascii="Times New Roman" w:hAnsi="Times New Roman"/>
          <w:sz w:val="22"/>
          <w:szCs w:val="22"/>
        </w:rPr>
        <w:t xml:space="preserve"> (“the Principal Determination”).</w:t>
      </w:r>
    </w:p>
    <w:p w14:paraId="2E400316" w14:textId="77777777" w:rsidR="00E30C11" w:rsidRPr="005A7CC2" w:rsidRDefault="00E30C11" w:rsidP="00E30C11">
      <w:pPr>
        <w:rPr>
          <w:rFonts w:ascii="Times New Roman" w:hAnsi="Times New Roman"/>
          <w:bCs/>
          <w:sz w:val="22"/>
          <w:szCs w:val="22"/>
        </w:rPr>
      </w:pPr>
    </w:p>
    <w:p w14:paraId="34796EB5" w14:textId="618E8359" w:rsidR="00862FBB" w:rsidRPr="005A7CC2" w:rsidRDefault="00862FBB" w:rsidP="00E30C11">
      <w:pPr>
        <w:keepNext/>
        <w:contextualSpacing/>
        <w:rPr>
          <w:rFonts w:ascii="Times New Roman" w:hAnsi="Times New Roman"/>
          <w:b/>
          <w:bCs/>
          <w:i/>
          <w:iCs/>
          <w:sz w:val="22"/>
          <w:szCs w:val="22"/>
        </w:rPr>
      </w:pPr>
      <w:r w:rsidRPr="005A7CC2">
        <w:rPr>
          <w:rFonts w:ascii="Times New Roman" w:hAnsi="Times New Roman"/>
          <w:b/>
          <w:bCs/>
          <w:sz w:val="22"/>
          <w:szCs w:val="22"/>
        </w:rPr>
        <w:t xml:space="preserve">Item 1 – Section 4 (definition of </w:t>
      </w:r>
      <w:r w:rsidRPr="005A7CC2">
        <w:rPr>
          <w:rFonts w:ascii="Times New Roman" w:hAnsi="Times New Roman"/>
          <w:b/>
          <w:bCs/>
          <w:i/>
          <w:iCs/>
          <w:sz w:val="22"/>
          <w:szCs w:val="22"/>
        </w:rPr>
        <w:t>EU IVD regulation)</w:t>
      </w:r>
    </w:p>
    <w:p w14:paraId="45D5CE56" w14:textId="77777777" w:rsidR="00862FBB" w:rsidRPr="005A7CC2" w:rsidRDefault="00862FBB" w:rsidP="00E30C11">
      <w:pPr>
        <w:keepNext/>
        <w:contextualSpacing/>
        <w:rPr>
          <w:rFonts w:ascii="Times New Roman" w:hAnsi="Times New Roman"/>
          <w:b/>
          <w:bCs/>
          <w:sz w:val="22"/>
          <w:szCs w:val="22"/>
        </w:rPr>
      </w:pPr>
    </w:p>
    <w:p w14:paraId="6D05607D" w14:textId="46483047" w:rsidR="00862FBB" w:rsidRPr="005A7CC2" w:rsidRDefault="00862FBB" w:rsidP="00E30C11">
      <w:pPr>
        <w:keepNext/>
        <w:contextualSpacing/>
        <w:rPr>
          <w:rFonts w:ascii="Times New Roman" w:hAnsi="Times New Roman"/>
          <w:sz w:val="22"/>
          <w:szCs w:val="22"/>
        </w:rPr>
      </w:pPr>
      <w:r w:rsidRPr="005A7CC2">
        <w:rPr>
          <w:rFonts w:ascii="Times New Roman" w:hAnsi="Times New Roman"/>
          <w:sz w:val="22"/>
          <w:szCs w:val="22"/>
        </w:rPr>
        <w:t xml:space="preserve">This item replaces the definition of ‘EU IVD regulation’ in section 4 to reflect that ‘EU IVD regulation” means </w:t>
      </w:r>
      <w:r w:rsidRPr="005A7CC2">
        <w:rPr>
          <w:rFonts w:ascii="Times New Roman" w:hAnsi="Times New Roman"/>
          <w:i/>
          <w:iCs/>
          <w:sz w:val="22"/>
          <w:szCs w:val="22"/>
        </w:rPr>
        <w:t xml:space="preserve">Regulation (EU) 2017/746 of the European Parliament and of the Council of 5 April 2017 on in vitro diagnostic medical devices, </w:t>
      </w:r>
      <w:r w:rsidRPr="005A7CC2">
        <w:rPr>
          <w:rFonts w:ascii="Times New Roman" w:hAnsi="Times New Roman"/>
          <w:sz w:val="22"/>
          <w:szCs w:val="22"/>
        </w:rPr>
        <w:t xml:space="preserve">as in force on 1 </w:t>
      </w:r>
      <w:r w:rsidR="005A7CC2" w:rsidRPr="00ED4E9B">
        <w:rPr>
          <w:rFonts w:ascii="Times New Roman" w:hAnsi="Times New Roman"/>
          <w:sz w:val="22"/>
          <w:szCs w:val="22"/>
        </w:rPr>
        <w:t>December</w:t>
      </w:r>
      <w:r w:rsidR="005A7CC2" w:rsidRPr="005A7CC2">
        <w:rPr>
          <w:rFonts w:ascii="Times New Roman" w:hAnsi="Times New Roman"/>
          <w:sz w:val="22"/>
          <w:szCs w:val="22"/>
        </w:rPr>
        <w:t xml:space="preserve"> </w:t>
      </w:r>
      <w:r w:rsidRPr="005A7CC2">
        <w:rPr>
          <w:rFonts w:ascii="Times New Roman" w:hAnsi="Times New Roman"/>
          <w:sz w:val="22"/>
          <w:szCs w:val="22"/>
        </w:rPr>
        <w:t xml:space="preserve">2024 (“EU IVD regulation”). </w:t>
      </w:r>
      <w:r w:rsidR="005632E4">
        <w:rPr>
          <w:rFonts w:ascii="Times New Roman" w:hAnsi="Times New Roman"/>
          <w:sz w:val="22"/>
          <w:szCs w:val="22"/>
        </w:rPr>
        <w:t>The effect of this amendment is to incorporate the EU IVD regulation, including any amendments made to the EU IVD regulation prior to 1 December 2024.</w:t>
      </w:r>
    </w:p>
    <w:p w14:paraId="545D4127" w14:textId="77777777" w:rsidR="00862FBB" w:rsidRPr="005A7CC2" w:rsidRDefault="00862FBB" w:rsidP="00E30C11">
      <w:pPr>
        <w:keepNext/>
        <w:contextualSpacing/>
        <w:rPr>
          <w:rFonts w:ascii="Times New Roman" w:hAnsi="Times New Roman"/>
          <w:sz w:val="22"/>
          <w:szCs w:val="22"/>
        </w:rPr>
      </w:pPr>
    </w:p>
    <w:p w14:paraId="68C31C4F" w14:textId="319B8333" w:rsidR="00E30C11" w:rsidRPr="005A7CC2" w:rsidRDefault="00E30C11" w:rsidP="00E30C11">
      <w:pPr>
        <w:keepNext/>
        <w:contextualSpacing/>
        <w:rPr>
          <w:rFonts w:ascii="Times New Roman" w:hAnsi="Times New Roman"/>
          <w:b/>
          <w:bCs/>
          <w:sz w:val="22"/>
          <w:szCs w:val="22"/>
        </w:rPr>
      </w:pPr>
      <w:r w:rsidRPr="005A7CC2">
        <w:rPr>
          <w:rFonts w:ascii="Times New Roman" w:hAnsi="Times New Roman"/>
          <w:b/>
          <w:bCs/>
          <w:sz w:val="22"/>
          <w:szCs w:val="22"/>
        </w:rPr>
        <w:t xml:space="preserve">Items </w:t>
      </w:r>
      <w:r w:rsidR="00862FBB" w:rsidRPr="005A7CC2">
        <w:rPr>
          <w:rFonts w:ascii="Times New Roman" w:hAnsi="Times New Roman"/>
          <w:b/>
          <w:bCs/>
          <w:sz w:val="22"/>
          <w:szCs w:val="22"/>
        </w:rPr>
        <w:t>2</w:t>
      </w:r>
      <w:r w:rsidR="002F411F" w:rsidRPr="005A7CC2">
        <w:rPr>
          <w:rFonts w:ascii="Times New Roman" w:hAnsi="Times New Roman"/>
          <w:b/>
          <w:bCs/>
          <w:sz w:val="22"/>
          <w:szCs w:val="22"/>
        </w:rPr>
        <w:t>,</w:t>
      </w:r>
      <w:r w:rsidR="00862FBB" w:rsidRPr="005A7CC2">
        <w:rPr>
          <w:rFonts w:ascii="Times New Roman" w:hAnsi="Times New Roman"/>
          <w:b/>
          <w:bCs/>
          <w:sz w:val="22"/>
          <w:szCs w:val="22"/>
        </w:rPr>
        <w:t xml:space="preserve"> 3 </w:t>
      </w:r>
      <w:r w:rsidR="00C97B71" w:rsidRPr="005A7CC2">
        <w:rPr>
          <w:rFonts w:ascii="Times New Roman" w:hAnsi="Times New Roman"/>
          <w:b/>
          <w:bCs/>
          <w:sz w:val="22"/>
          <w:szCs w:val="22"/>
        </w:rPr>
        <w:t xml:space="preserve">and 4 </w:t>
      </w:r>
      <w:r w:rsidRPr="005A7CC2">
        <w:rPr>
          <w:rFonts w:ascii="Times New Roman" w:hAnsi="Times New Roman"/>
          <w:b/>
          <w:bCs/>
          <w:sz w:val="22"/>
          <w:szCs w:val="22"/>
        </w:rPr>
        <w:t>–</w:t>
      </w:r>
      <w:r w:rsidR="00862FBB" w:rsidRPr="005A7CC2">
        <w:rPr>
          <w:rFonts w:ascii="Times New Roman" w:hAnsi="Times New Roman"/>
          <w:b/>
          <w:bCs/>
          <w:sz w:val="22"/>
          <w:szCs w:val="22"/>
        </w:rPr>
        <w:t xml:space="preserve"> </w:t>
      </w:r>
      <w:r w:rsidR="00B139DD" w:rsidRPr="005A7CC2">
        <w:rPr>
          <w:rFonts w:ascii="Times New Roman" w:hAnsi="Times New Roman"/>
          <w:b/>
          <w:bCs/>
          <w:sz w:val="22"/>
          <w:szCs w:val="22"/>
        </w:rPr>
        <w:t>A</w:t>
      </w:r>
      <w:r w:rsidRPr="005A7CC2">
        <w:rPr>
          <w:rFonts w:ascii="Times New Roman" w:hAnsi="Times New Roman"/>
          <w:b/>
          <w:bCs/>
          <w:sz w:val="22"/>
          <w:szCs w:val="22"/>
        </w:rPr>
        <w:t>t the end of</w:t>
      </w:r>
      <w:r w:rsidR="00024B5E" w:rsidRPr="005A7CC2">
        <w:rPr>
          <w:rFonts w:ascii="Times New Roman" w:hAnsi="Times New Roman"/>
          <w:b/>
          <w:bCs/>
          <w:sz w:val="22"/>
          <w:szCs w:val="22"/>
        </w:rPr>
        <w:t xml:space="preserve"> subsection 6(1)</w:t>
      </w:r>
      <w:r w:rsidR="005A7CC2">
        <w:rPr>
          <w:rFonts w:ascii="Times New Roman" w:hAnsi="Times New Roman"/>
          <w:b/>
          <w:bCs/>
          <w:sz w:val="22"/>
          <w:szCs w:val="22"/>
        </w:rPr>
        <w:t>,</w:t>
      </w:r>
      <w:r w:rsidRPr="005A7CC2">
        <w:rPr>
          <w:rFonts w:ascii="Times New Roman" w:hAnsi="Times New Roman"/>
          <w:b/>
          <w:bCs/>
          <w:sz w:val="22"/>
          <w:szCs w:val="22"/>
        </w:rPr>
        <w:t xml:space="preserve"> at the end of </w:t>
      </w:r>
      <w:r w:rsidR="00024B5E" w:rsidRPr="005A7CC2">
        <w:rPr>
          <w:rFonts w:ascii="Times New Roman" w:hAnsi="Times New Roman"/>
          <w:b/>
          <w:bCs/>
          <w:sz w:val="22"/>
          <w:szCs w:val="22"/>
        </w:rPr>
        <w:t>subsection 6(3)</w:t>
      </w:r>
      <w:r w:rsidR="005A7CC2">
        <w:rPr>
          <w:rFonts w:ascii="Times New Roman" w:hAnsi="Times New Roman"/>
          <w:b/>
          <w:bCs/>
          <w:sz w:val="22"/>
          <w:szCs w:val="22"/>
        </w:rPr>
        <w:t xml:space="preserve"> and at the end of subsection 6(5)</w:t>
      </w:r>
    </w:p>
    <w:p w14:paraId="2022012E" w14:textId="77777777" w:rsidR="00E30C11" w:rsidRPr="005A7CC2" w:rsidRDefault="00E30C11" w:rsidP="00E30C11">
      <w:pPr>
        <w:keepNext/>
        <w:contextualSpacing/>
        <w:rPr>
          <w:rFonts w:ascii="Times New Roman" w:hAnsi="Times New Roman"/>
          <w:b/>
          <w:bCs/>
          <w:sz w:val="22"/>
          <w:szCs w:val="22"/>
        </w:rPr>
      </w:pPr>
    </w:p>
    <w:p w14:paraId="53940C90" w14:textId="09905CB0" w:rsidR="00E30C11" w:rsidRPr="005A7CC2" w:rsidRDefault="00E30C11" w:rsidP="00E30C11">
      <w:pPr>
        <w:keepNext/>
        <w:contextualSpacing/>
        <w:rPr>
          <w:rFonts w:ascii="Times New Roman" w:hAnsi="Times New Roman"/>
          <w:bCs/>
          <w:sz w:val="22"/>
          <w:szCs w:val="22"/>
        </w:rPr>
      </w:pPr>
      <w:r w:rsidRPr="005A7CC2">
        <w:rPr>
          <w:rFonts w:ascii="Times New Roman" w:hAnsi="Times New Roman"/>
          <w:sz w:val="22"/>
          <w:szCs w:val="22"/>
        </w:rPr>
        <w:t xml:space="preserve">These items introduce new requirements for applications for </w:t>
      </w:r>
      <w:r w:rsidR="005632E4">
        <w:rPr>
          <w:rFonts w:ascii="Times New Roman" w:hAnsi="Times New Roman"/>
          <w:sz w:val="22"/>
          <w:szCs w:val="22"/>
        </w:rPr>
        <w:t xml:space="preserve">inclusion of </w:t>
      </w:r>
      <w:r w:rsidRPr="005A7CC2">
        <w:rPr>
          <w:rFonts w:ascii="Times New Roman" w:hAnsi="Times New Roman"/>
          <w:bCs/>
          <w:sz w:val="22"/>
          <w:szCs w:val="22"/>
        </w:rPr>
        <w:t>Class 2</w:t>
      </w:r>
      <w:r w:rsidR="00751454" w:rsidRPr="005A7CC2">
        <w:rPr>
          <w:rFonts w:ascii="Times New Roman" w:hAnsi="Times New Roman"/>
          <w:bCs/>
          <w:sz w:val="22"/>
          <w:szCs w:val="22"/>
        </w:rPr>
        <w:t>,</w:t>
      </w:r>
      <w:r w:rsidRPr="005A7CC2">
        <w:rPr>
          <w:rFonts w:ascii="Times New Roman" w:hAnsi="Times New Roman"/>
          <w:bCs/>
          <w:sz w:val="22"/>
          <w:szCs w:val="22"/>
        </w:rPr>
        <w:t xml:space="preserve"> Class</w:t>
      </w:r>
      <w:r w:rsidR="002F411F" w:rsidRPr="005A7CC2">
        <w:rPr>
          <w:rFonts w:ascii="Times New Roman" w:hAnsi="Times New Roman"/>
          <w:bCs/>
          <w:sz w:val="22"/>
          <w:szCs w:val="22"/>
        </w:rPr>
        <w:t> </w:t>
      </w:r>
      <w:r w:rsidRPr="005A7CC2">
        <w:rPr>
          <w:rFonts w:ascii="Times New Roman" w:hAnsi="Times New Roman"/>
          <w:bCs/>
          <w:sz w:val="22"/>
          <w:szCs w:val="22"/>
        </w:rPr>
        <w:t xml:space="preserve">3 </w:t>
      </w:r>
      <w:r w:rsidR="005F7151" w:rsidRPr="005A7CC2">
        <w:rPr>
          <w:rFonts w:ascii="Times New Roman" w:hAnsi="Times New Roman"/>
          <w:bCs/>
          <w:sz w:val="22"/>
          <w:szCs w:val="22"/>
        </w:rPr>
        <w:t>and Class</w:t>
      </w:r>
      <w:r w:rsidR="002F411F" w:rsidRPr="005A7CC2">
        <w:rPr>
          <w:rFonts w:ascii="Times New Roman" w:hAnsi="Times New Roman"/>
          <w:bCs/>
          <w:sz w:val="22"/>
          <w:szCs w:val="22"/>
        </w:rPr>
        <w:t> </w:t>
      </w:r>
      <w:r w:rsidR="005F7151" w:rsidRPr="005A7CC2">
        <w:rPr>
          <w:rFonts w:ascii="Times New Roman" w:hAnsi="Times New Roman"/>
          <w:bCs/>
          <w:sz w:val="22"/>
          <w:szCs w:val="22"/>
        </w:rPr>
        <w:t xml:space="preserve">4 </w:t>
      </w:r>
      <w:r w:rsidRPr="005A7CC2">
        <w:rPr>
          <w:rFonts w:ascii="Times New Roman" w:hAnsi="Times New Roman"/>
          <w:bCs/>
          <w:sz w:val="22"/>
          <w:szCs w:val="22"/>
        </w:rPr>
        <w:t xml:space="preserve">in vitro </w:t>
      </w:r>
      <w:r w:rsidR="005632E4">
        <w:rPr>
          <w:rFonts w:ascii="Times New Roman" w:hAnsi="Times New Roman"/>
          <w:bCs/>
          <w:sz w:val="22"/>
          <w:szCs w:val="22"/>
        </w:rPr>
        <w:t xml:space="preserve">diagnostic </w:t>
      </w:r>
      <w:r w:rsidRPr="005A7CC2">
        <w:rPr>
          <w:rFonts w:ascii="Times New Roman" w:hAnsi="Times New Roman"/>
          <w:bCs/>
          <w:sz w:val="22"/>
          <w:szCs w:val="22"/>
        </w:rPr>
        <w:t>medical devices (</w:t>
      </w:r>
      <w:r w:rsidR="00545194" w:rsidRPr="005A7CC2">
        <w:rPr>
          <w:rFonts w:ascii="Times New Roman" w:hAnsi="Times New Roman"/>
          <w:bCs/>
          <w:sz w:val="22"/>
          <w:szCs w:val="22"/>
        </w:rPr>
        <w:t>“</w:t>
      </w:r>
      <w:r w:rsidRPr="005A7CC2">
        <w:rPr>
          <w:rFonts w:ascii="Times New Roman" w:hAnsi="Times New Roman"/>
          <w:bCs/>
          <w:sz w:val="22"/>
          <w:szCs w:val="22"/>
        </w:rPr>
        <w:t>IVD medical devices</w:t>
      </w:r>
      <w:r w:rsidR="00545194" w:rsidRPr="005A7CC2">
        <w:rPr>
          <w:rFonts w:ascii="Times New Roman" w:hAnsi="Times New Roman"/>
          <w:bCs/>
          <w:sz w:val="22"/>
          <w:szCs w:val="22"/>
        </w:rPr>
        <w:t>”</w:t>
      </w:r>
      <w:r w:rsidRPr="005A7CC2">
        <w:rPr>
          <w:rFonts w:ascii="Times New Roman" w:hAnsi="Times New Roman"/>
          <w:bCs/>
          <w:sz w:val="22"/>
          <w:szCs w:val="22"/>
        </w:rPr>
        <w:t>)</w:t>
      </w:r>
      <w:r w:rsidR="00076DD4" w:rsidRPr="005A7CC2">
        <w:rPr>
          <w:rFonts w:ascii="Times New Roman" w:hAnsi="Times New Roman"/>
          <w:bCs/>
          <w:sz w:val="22"/>
          <w:szCs w:val="22"/>
        </w:rPr>
        <w:t xml:space="preserve"> </w:t>
      </w:r>
      <w:r w:rsidR="00B139DD" w:rsidRPr="005A7CC2">
        <w:rPr>
          <w:rFonts w:ascii="Times New Roman" w:hAnsi="Times New Roman"/>
          <w:bCs/>
          <w:sz w:val="22"/>
          <w:szCs w:val="22"/>
        </w:rPr>
        <w:t xml:space="preserve">that are accompanied by conformity assessment documents </w:t>
      </w:r>
      <w:r w:rsidR="00076DD4" w:rsidRPr="005A7CC2">
        <w:rPr>
          <w:rFonts w:ascii="Times New Roman" w:hAnsi="Times New Roman"/>
          <w:bCs/>
          <w:sz w:val="22"/>
          <w:szCs w:val="22"/>
        </w:rPr>
        <w:t>recognised by a notified body</w:t>
      </w:r>
      <w:r w:rsidR="005632E4">
        <w:rPr>
          <w:rFonts w:ascii="Times New Roman" w:hAnsi="Times New Roman"/>
          <w:bCs/>
          <w:sz w:val="22"/>
          <w:szCs w:val="22"/>
        </w:rPr>
        <w:t xml:space="preserve"> </w:t>
      </w:r>
      <w:r w:rsidR="00076DD4" w:rsidRPr="005A7CC2">
        <w:rPr>
          <w:rFonts w:ascii="Times New Roman" w:hAnsi="Times New Roman"/>
          <w:bCs/>
          <w:sz w:val="22"/>
          <w:szCs w:val="22"/>
        </w:rPr>
        <w:t xml:space="preserve">within the meaning </w:t>
      </w:r>
      <w:r w:rsidR="00024B5E" w:rsidRPr="005A7CC2">
        <w:rPr>
          <w:rFonts w:ascii="Times New Roman" w:hAnsi="Times New Roman"/>
          <w:bCs/>
          <w:sz w:val="22"/>
          <w:szCs w:val="22"/>
        </w:rPr>
        <w:t xml:space="preserve">of </w:t>
      </w:r>
      <w:r w:rsidR="00024B5E" w:rsidRPr="005A7CC2">
        <w:rPr>
          <w:rFonts w:ascii="Times New Roman" w:hAnsi="Times New Roman"/>
          <w:i/>
          <w:iCs/>
          <w:sz w:val="22"/>
          <w:szCs w:val="22"/>
        </w:rPr>
        <w:t xml:space="preserve">Directive 98/79/EC of the European Parliament and of the Council of 27 October 1998 on in vitro diagnostic medical devices </w:t>
      </w:r>
      <w:r w:rsidR="00024B5E" w:rsidRPr="005A7CC2">
        <w:rPr>
          <w:rFonts w:ascii="Times New Roman" w:hAnsi="Times New Roman"/>
          <w:sz w:val="22"/>
          <w:szCs w:val="22"/>
        </w:rPr>
        <w:t>(“Directive 98/79/EC”).</w:t>
      </w:r>
    </w:p>
    <w:p w14:paraId="71B2DBC2" w14:textId="77777777" w:rsidR="00E30C11" w:rsidRPr="005A7CC2" w:rsidRDefault="00E30C11" w:rsidP="00E30C11">
      <w:pPr>
        <w:keepNext/>
        <w:contextualSpacing/>
        <w:rPr>
          <w:rFonts w:ascii="Times New Roman" w:hAnsi="Times New Roman"/>
          <w:bCs/>
          <w:sz w:val="22"/>
          <w:szCs w:val="22"/>
        </w:rPr>
      </w:pPr>
    </w:p>
    <w:p w14:paraId="75A58D72" w14:textId="788DE6AE" w:rsidR="00E30C11" w:rsidRPr="005A7CC2" w:rsidRDefault="00E30C11" w:rsidP="00E30C11">
      <w:pPr>
        <w:keepNext/>
        <w:contextualSpacing/>
        <w:rPr>
          <w:rFonts w:ascii="Times New Roman" w:hAnsi="Times New Roman"/>
          <w:sz w:val="22"/>
          <w:szCs w:val="22"/>
        </w:rPr>
      </w:pPr>
      <w:r w:rsidRPr="005A7CC2">
        <w:rPr>
          <w:rFonts w:ascii="Times New Roman" w:hAnsi="Times New Roman"/>
          <w:bCs/>
          <w:sz w:val="22"/>
          <w:szCs w:val="22"/>
        </w:rPr>
        <w:t xml:space="preserve">The requirements set out in </w:t>
      </w:r>
      <w:r w:rsidR="00B139DD" w:rsidRPr="005A7CC2">
        <w:rPr>
          <w:rFonts w:ascii="Times New Roman" w:hAnsi="Times New Roman"/>
          <w:bCs/>
          <w:sz w:val="22"/>
          <w:szCs w:val="22"/>
        </w:rPr>
        <w:t xml:space="preserve">new </w:t>
      </w:r>
      <w:r w:rsidRPr="005A7CC2">
        <w:rPr>
          <w:rFonts w:ascii="Times New Roman" w:hAnsi="Times New Roman"/>
          <w:bCs/>
          <w:sz w:val="22"/>
          <w:szCs w:val="22"/>
        </w:rPr>
        <w:t>paragraphs 6(1)(c)</w:t>
      </w:r>
      <w:r w:rsidR="008742BD" w:rsidRPr="005A7CC2">
        <w:rPr>
          <w:rFonts w:ascii="Times New Roman" w:hAnsi="Times New Roman"/>
          <w:bCs/>
          <w:sz w:val="22"/>
          <w:szCs w:val="22"/>
        </w:rPr>
        <w:t>,</w:t>
      </w:r>
      <w:r w:rsidRPr="005A7CC2">
        <w:rPr>
          <w:rFonts w:ascii="Times New Roman" w:hAnsi="Times New Roman"/>
          <w:bCs/>
          <w:sz w:val="22"/>
          <w:szCs w:val="22"/>
        </w:rPr>
        <w:t xml:space="preserve"> 6(3)(c)</w:t>
      </w:r>
      <w:r w:rsidR="005F7151" w:rsidRPr="005A7CC2">
        <w:rPr>
          <w:rFonts w:ascii="Times New Roman" w:hAnsi="Times New Roman"/>
          <w:bCs/>
          <w:sz w:val="22"/>
          <w:szCs w:val="22"/>
        </w:rPr>
        <w:t xml:space="preserve"> and 6(5)(c)</w:t>
      </w:r>
      <w:r w:rsidRPr="005A7CC2">
        <w:rPr>
          <w:rFonts w:ascii="Times New Roman" w:hAnsi="Times New Roman"/>
          <w:bCs/>
          <w:sz w:val="22"/>
          <w:szCs w:val="22"/>
        </w:rPr>
        <w:t xml:space="preserve"> apply to applications for inclusion of Class 2</w:t>
      </w:r>
      <w:r w:rsidR="008742BD" w:rsidRPr="005A7CC2">
        <w:rPr>
          <w:rFonts w:ascii="Times New Roman" w:hAnsi="Times New Roman"/>
          <w:bCs/>
          <w:sz w:val="22"/>
          <w:szCs w:val="22"/>
        </w:rPr>
        <w:t>,</w:t>
      </w:r>
      <w:r w:rsidRPr="005A7CC2">
        <w:rPr>
          <w:rFonts w:ascii="Times New Roman" w:hAnsi="Times New Roman"/>
          <w:bCs/>
          <w:sz w:val="22"/>
          <w:szCs w:val="22"/>
        </w:rPr>
        <w:t xml:space="preserve"> Class 3 </w:t>
      </w:r>
      <w:r w:rsidR="005F7151" w:rsidRPr="005A7CC2">
        <w:rPr>
          <w:rFonts w:ascii="Times New Roman" w:hAnsi="Times New Roman"/>
          <w:bCs/>
          <w:sz w:val="22"/>
          <w:szCs w:val="22"/>
        </w:rPr>
        <w:t xml:space="preserve">and Class 4 IVD </w:t>
      </w:r>
      <w:r w:rsidRPr="005A7CC2">
        <w:rPr>
          <w:rFonts w:ascii="Times New Roman" w:hAnsi="Times New Roman"/>
          <w:bCs/>
          <w:sz w:val="22"/>
          <w:szCs w:val="22"/>
        </w:rPr>
        <w:t>medical devices submitted before 1</w:t>
      </w:r>
      <w:r w:rsidR="00207AA8">
        <w:rPr>
          <w:rFonts w:ascii="Times New Roman" w:hAnsi="Times New Roman"/>
          <w:bCs/>
          <w:sz w:val="22"/>
          <w:szCs w:val="22"/>
        </w:rPr>
        <w:t> </w:t>
      </w:r>
      <w:r w:rsidR="00024B5E" w:rsidRPr="005A7CC2">
        <w:rPr>
          <w:rFonts w:ascii="Times New Roman" w:hAnsi="Times New Roman"/>
          <w:bCs/>
          <w:sz w:val="22"/>
          <w:szCs w:val="22"/>
        </w:rPr>
        <w:t>January 2030</w:t>
      </w:r>
      <w:r w:rsidR="008742BD" w:rsidRPr="005A7CC2">
        <w:rPr>
          <w:rFonts w:ascii="Times New Roman" w:hAnsi="Times New Roman"/>
          <w:bCs/>
          <w:sz w:val="22"/>
          <w:szCs w:val="22"/>
        </w:rPr>
        <w:t>,</w:t>
      </w:r>
      <w:r w:rsidR="00024B5E" w:rsidRPr="005A7CC2">
        <w:rPr>
          <w:rFonts w:ascii="Times New Roman" w:hAnsi="Times New Roman"/>
          <w:bCs/>
          <w:sz w:val="22"/>
          <w:szCs w:val="22"/>
        </w:rPr>
        <w:t xml:space="preserve"> 1 January 2029 </w:t>
      </w:r>
      <w:r w:rsidR="00927E72" w:rsidRPr="005A7CC2">
        <w:rPr>
          <w:rFonts w:ascii="Times New Roman" w:hAnsi="Times New Roman"/>
          <w:bCs/>
          <w:sz w:val="22"/>
          <w:szCs w:val="22"/>
        </w:rPr>
        <w:t>and 1 January 2028</w:t>
      </w:r>
      <w:r w:rsidR="00207AA8">
        <w:rPr>
          <w:rFonts w:ascii="Times New Roman" w:hAnsi="Times New Roman"/>
          <w:bCs/>
          <w:sz w:val="22"/>
          <w:szCs w:val="22"/>
        </w:rPr>
        <w:t>,</w:t>
      </w:r>
      <w:r w:rsidR="00927E72" w:rsidRPr="005A7CC2">
        <w:rPr>
          <w:rFonts w:ascii="Times New Roman" w:hAnsi="Times New Roman"/>
          <w:bCs/>
          <w:sz w:val="22"/>
          <w:szCs w:val="22"/>
        </w:rPr>
        <w:t xml:space="preserve"> </w:t>
      </w:r>
      <w:r w:rsidRPr="005A7CC2">
        <w:rPr>
          <w:rFonts w:ascii="Times New Roman" w:hAnsi="Times New Roman"/>
          <w:bCs/>
          <w:sz w:val="22"/>
          <w:szCs w:val="22"/>
        </w:rPr>
        <w:t xml:space="preserve">respectively. In addition to the information specified in </w:t>
      </w:r>
      <w:r w:rsidR="00B139DD" w:rsidRPr="005A7CC2">
        <w:rPr>
          <w:rFonts w:ascii="Times New Roman" w:hAnsi="Times New Roman"/>
          <w:bCs/>
          <w:sz w:val="22"/>
          <w:szCs w:val="22"/>
        </w:rPr>
        <w:t xml:space="preserve">item </w:t>
      </w:r>
      <w:r w:rsidR="00927E72" w:rsidRPr="005A7CC2">
        <w:rPr>
          <w:rFonts w:ascii="Times New Roman" w:hAnsi="Times New Roman"/>
          <w:bCs/>
          <w:sz w:val="22"/>
          <w:szCs w:val="22"/>
        </w:rPr>
        <w:t>2</w:t>
      </w:r>
      <w:r w:rsidR="002F411F" w:rsidRPr="005A7CC2">
        <w:rPr>
          <w:rFonts w:ascii="Times New Roman" w:hAnsi="Times New Roman"/>
          <w:bCs/>
          <w:sz w:val="22"/>
          <w:szCs w:val="22"/>
        </w:rPr>
        <w:t xml:space="preserve"> or </w:t>
      </w:r>
      <w:r w:rsidR="00B139DD" w:rsidRPr="005A7CC2">
        <w:rPr>
          <w:rFonts w:ascii="Times New Roman" w:hAnsi="Times New Roman"/>
          <w:bCs/>
          <w:sz w:val="22"/>
          <w:szCs w:val="22"/>
        </w:rPr>
        <w:t xml:space="preserve">2B in Part 1 </w:t>
      </w:r>
      <w:r w:rsidR="002F411F" w:rsidRPr="005A7CC2">
        <w:rPr>
          <w:rFonts w:ascii="Times New Roman" w:hAnsi="Times New Roman"/>
          <w:bCs/>
          <w:sz w:val="22"/>
          <w:szCs w:val="22"/>
        </w:rPr>
        <w:t>of Schedule 2,</w:t>
      </w:r>
      <w:r w:rsidR="00B139DD" w:rsidRPr="005A7CC2">
        <w:rPr>
          <w:rFonts w:ascii="Times New Roman" w:hAnsi="Times New Roman"/>
          <w:bCs/>
          <w:sz w:val="22"/>
          <w:szCs w:val="22"/>
        </w:rPr>
        <w:t xml:space="preserve"> item </w:t>
      </w:r>
      <w:r w:rsidR="00927E72" w:rsidRPr="005A7CC2">
        <w:rPr>
          <w:rFonts w:ascii="Times New Roman" w:hAnsi="Times New Roman"/>
          <w:bCs/>
          <w:sz w:val="22"/>
          <w:szCs w:val="22"/>
        </w:rPr>
        <w:t xml:space="preserve">3, </w:t>
      </w:r>
      <w:r w:rsidR="00B139DD" w:rsidRPr="005A7CC2">
        <w:rPr>
          <w:rFonts w:ascii="Times New Roman" w:hAnsi="Times New Roman"/>
          <w:bCs/>
          <w:sz w:val="22"/>
          <w:szCs w:val="22"/>
        </w:rPr>
        <w:t>3B</w:t>
      </w:r>
      <w:r w:rsidR="00927E72" w:rsidRPr="005A7CC2">
        <w:rPr>
          <w:rFonts w:ascii="Times New Roman" w:hAnsi="Times New Roman"/>
          <w:bCs/>
          <w:sz w:val="22"/>
          <w:szCs w:val="22"/>
        </w:rPr>
        <w:t xml:space="preserve"> </w:t>
      </w:r>
      <w:r w:rsidR="002F411F" w:rsidRPr="005A7CC2">
        <w:rPr>
          <w:rFonts w:ascii="Times New Roman" w:hAnsi="Times New Roman"/>
          <w:bCs/>
          <w:sz w:val="22"/>
          <w:szCs w:val="22"/>
        </w:rPr>
        <w:t>or</w:t>
      </w:r>
      <w:r w:rsidR="00927E72" w:rsidRPr="005A7CC2">
        <w:rPr>
          <w:rFonts w:ascii="Times New Roman" w:hAnsi="Times New Roman"/>
          <w:bCs/>
          <w:sz w:val="22"/>
          <w:szCs w:val="22"/>
        </w:rPr>
        <w:t xml:space="preserve"> 4</w:t>
      </w:r>
      <w:r w:rsidR="00B139DD" w:rsidRPr="005A7CC2">
        <w:rPr>
          <w:rFonts w:ascii="Times New Roman" w:hAnsi="Times New Roman"/>
          <w:bCs/>
          <w:sz w:val="22"/>
          <w:szCs w:val="22"/>
        </w:rPr>
        <w:t xml:space="preserve"> in Part 2 </w:t>
      </w:r>
      <w:r w:rsidR="00037ACE" w:rsidRPr="005A7CC2">
        <w:rPr>
          <w:rFonts w:ascii="Times New Roman" w:hAnsi="Times New Roman"/>
          <w:bCs/>
          <w:sz w:val="22"/>
          <w:szCs w:val="22"/>
        </w:rPr>
        <w:t>of Schedule 2</w:t>
      </w:r>
      <w:r w:rsidR="002F411F" w:rsidRPr="005A7CC2">
        <w:rPr>
          <w:rFonts w:ascii="Times New Roman" w:hAnsi="Times New Roman"/>
          <w:bCs/>
          <w:sz w:val="22"/>
          <w:szCs w:val="22"/>
        </w:rPr>
        <w:t>,</w:t>
      </w:r>
      <w:r w:rsidR="00927E72" w:rsidRPr="005A7CC2">
        <w:rPr>
          <w:rFonts w:ascii="Times New Roman" w:hAnsi="Times New Roman"/>
          <w:bCs/>
          <w:sz w:val="22"/>
          <w:szCs w:val="22"/>
        </w:rPr>
        <w:t xml:space="preserve"> and item 3 </w:t>
      </w:r>
      <w:r w:rsidR="002F411F" w:rsidRPr="005A7CC2">
        <w:rPr>
          <w:rFonts w:ascii="Times New Roman" w:hAnsi="Times New Roman"/>
          <w:bCs/>
          <w:sz w:val="22"/>
          <w:szCs w:val="22"/>
        </w:rPr>
        <w:t>or</w:t>
      </w:r>
      <w:r w:rsidR="00927E72" w:rsidRPr="005A7CC2">
        <w:rPr>
          <w:rFonts w:ascii="Times New Roman" w:hAnsi="Times New Roman"/>
          <w:bCs/>
          <w:sz w:val="22"/>
          <w:szCs w:val="22"/>
        </w:rPr>
        <w:t xml:space="preserve"> 4 in Part 3 of </w:t>
      </w:r>
      <w:r w:rsidR="00927E72" w:rsidRPr="005A7CC2">
        <w:rPr>
          <w:rFonts w:ascii="Times New Roman" w:hAnsi="Times New Roman"/>
          <w:bCs/>
          <w:sz w:val="22"/>
          <w:szCs w:val="22"/>
        </w:rPr>
        <w:lastRenderedPageBreak/>
        <w:t>Schedule 2</w:t>
      </w:r>
      <w:r w:rsidR="00037ACE" w:rsidRPr="005A7CC2">
        <w:rPr>
          <w:rFonts w:ascii="Times New Roman" w:hAnsi="Times New Roman"/>
          <w:bCs/>
          <w:sz w:val="22"/>
          <w:szCs w:val="22"/>
        </w:rPr>
        <w:t xml:space="preserve">, </w:t>
      </w:r>
      <w:r w:rsidRPr="005A7CC2">
        <w:rPr>
          <w:rFonts w:ascii="Times New Roman" w:hAnsi="Times New Roman"/>
          <w:bCs/>
          <w:sz w:val="22"/>
          <w:szCs w:val="22"/>
        </w:rPr>
        <w:t xml:space="preserve">such applications must also be accompanied by </w:t>
      </w:r>
      <w:r w:rsidRPr="005A7CC2">
        <w:rPr>
          <w:rFonts w:ascii="Times New Roman" w:hAnsi="Times New Roman"/>
          <w:sz w:val="22"/>
          <w:szCs w:val="22"/>
        </w:rPr>
        <w:t>evidence to demonstrate compliance with Article 110(3c) of the</w:t>
      </w:r>
      <w:r w:rsidR="00862FBB" w:rsidRPr="005A7CC2">
        <w:rPr>
          <w:rFonts w:ascii="Times New Roman" w:hAnsi="Times New Roman"/>
          <w:i/>
          <w:iCs/>
          <w:sz w:val="22"/>
          <w:szCs w:val="22"/>
        </w:rPr>
        <w:t xml:space="preserve"> </w:t>
      </w:r>
      <w:r w:rsidR="00862FBB" w:rsidRPr="005A7CC2">
        <w:rPr>
          <w:rFonts w:ascii="Times New Roman" w:hAnsi="Times New Roman"/>
          <w:sz w:val="22"/>
          <w:szCs w:val="22"/>
        </w:rPr>
        <w:t>EU IVD regulation.</w:t>
      </w:r>
    </w:p>
    <w:p w14:paraId="6B3044E0" w14:textId="77777777" w:rsidR="00E30C11" w:rsidRPr="005A7CC2" w:rsidRDefault="00E30C11" w:rsidP="00024B5E">
      <w:pPr>
        <w:contextualSpacing/>
        <w:rPr>
          <w:rFonts w:ascii="Times New Roman" w:hAnsi="Times New Roman"/>
          <w:sz w:val="22"/>
          <w:szCs w:val="22"/>
        </w:rPr>
      </w:pPr>
    </w:p>
    <w:p w14:paraId="35CF25F5" w14:textId="77777777" w:rsidR="00E30C11" w:rsidRPr="005A7CC2" w:rsidRDefault="00E30C11" w:rsidP="00024B5E">
      <w:pPr>
        <w:contextualSpacing/>
        <w:rPr>
          <w:rFonts w:ascii="Times New Roman" w:hAnsi="Times New Roman"/>
          <w:bCs/>
          <w:sz w:val="22"/>
          <w:szCs w:val="22"/>
        </w:rPr>
      </w:pPr>
      <w:r w:rsidRPr="005A7CC2">
        <w:rPr>
          <w:rFonts w:ascii="Times New Roman" w:hAnsi="Times New Roman"/>
          <w:bCs/>
          <w:sz w:val="22"/>
          <w:szCs w:val="22"/>
        </w:rPr>
        <w:t>Compliance could be demonstrated by evidence such as:</w:t>
      </w:r>
    </w:p>
    <w:p w14:paraId="66F00716" w14:textId="04391FED" w:rsidR="00E30C11" w:rsidRPr="005A7CC2" w:rsidRDefault="00E30C11" w:rsidP="00024B5E">
      <w:pPr>
        <w:pStyle w:val="ListParagraph"/>
        <w:numPr>
          <w:ilvl w:val="0"/>
          <w:numId w:val="1"/>
        </w:numPr>
        <w:rPr>
          <w:rFonts w:ascii="Times New Roman" w:hAnsi="Times New Roman"/>
          <w:bCs/>
          <w:sz w:val="22"/>
          <w:szCs w:val="22"/>
        </w:rPr>
      </w:pPr>
      <w:r w:rsidRPr="005A7CC2">
        <w:rPr>
          <w:rFonts w:ascii="Times New Roman" w:hAnsi="Times New Roman"/>
          <w:bCs/>
          <w:sz w:val="22"/>
          <w:szCs w:val="22"/>
        </w:rPr>
        <w:t>a self-declaration by the manufacturer confirming that the conditions for the extension are fulfilled;</w:t>
      </w:r>
      <w:r w:rsidR="00724309">
        <w:rPr>
          <w:rFonts w:ascii="Times New Roman" w:hAnsi="Times New Roman"/>
          <w:bCs/>
          <w:sz w:val="22"/>
          <w:szCs w:val="22"/>
        </w:rPr>
        <w:t xml:space="preserve"> or</w:t>
      </w:r>
    </w:p>
    <w:p w14:paraId="214CC417" w14:textId="77777777" w:rsidR="00E30C11" w:rsidRPr="005A7CC2" w:rsidRDefault="00E30C11" w:rsidP="00024B5E">
      <w:pPr>
        <w:pStyle w:val="ListParagraph"/>
        <w:numPr>
          <w:ilvl w:val="0"/>
          <w:numId w:val="1"/>
        </w:numPr>
        <w:rPr>
          <w:rFonts w:ascii="Times New Roman" w:hAnsi="Times New Roman"/>
          <w:bCs/>
          <w:sz w:val="22"/>
          <w:szCs w:val="22"/>
        </w:rPr>
      </w:pPr>
      <w:r w:rsidRPr="005A7CC2">
        <w:rPr>
          <w:rFonts w:ascii="Times New Roman" w:hAnsi="Times New Roman"/>
          <w:bCs/>
          <w:sz w:val="22"/>
          <w:szCs w:val="22"/>
        </w:rPr>
        <w:t xml:space="preserve">a ‘confirmation letter’ issued by the notified body stating the receipt of the manufacturer’s application for conformity assessment and the conclusion of a written agreement; or </w:t>
      </w:r>
    </w:p>
    <w:p w14:paraId="190B6BD1" w14:textId="77777777" w:rsidR="00E30C11" w:rsidRPr="005A7CC2" w:rsidRDefault="00E30C11" w:rsidP="00024B5E">
      <w:pPr>
        <w:pStyle w:val="ListParagraph"/>
        <w:numPr>
          <w:ilvl w:val="0"/>
          <w:numId w:val="1"/>
        </w:numPr>
        <w:rPr>
          <w:rFonts w:ascii="Times New Roman" w:hAnsi="Times New Roman"/>
          <w:bCs/>
          <w:sz w:val="22"/>
          <w:szCs w:val="22"/>
        </w:rPr>
      </w:pPr>
      <w:r w:rsidRPr="005A7CC2">
        <w:rPr>
          <w:rFonts w:ascii="Times New Roman" w:hAnsi="Times New Roman"/>
          <w:bCs/>
          <w:sz w:val="22"/>
          <w:szCs w:val="22"/>
        </w:rPr>
        <w:t>supporting documentation demonstrating that the manufacturer has lodged an application for conformity assessment and/or concluded a written agreement with a notified body also by other means.</w:t>
      </w:r>
    </w:p>
    <w:p w14:paraId="032E912A" w14:textId="77777777" w:rsidR="00FC64A3" w:rsidRPr="005A7CC2" w:rsidRDefault="00FC64A3" w:rsidP="00024B5E">
      <w:pPr>
        <w:rPr>
          <w:rFonts w:ascii="Times New Roman" w:hAnsi="Times New Roman"/>
          <w:sz w:val="22"/>
          <w:szCs w:val="22"/>
        </w:rPr>
      </w:pPr>
    </w:p>
    <w:p w14:paraId="6818E06C" w14:textId="6E77C0DB" w:rsidR="00FC64A3" w:rsidRPr="005A7CC2" w:rsidRDefault="00FC64A3" w:rsidP="00024B5E">
      <w:pPr>
        <w:rPr>
          <w:rFonts w:ascii="Times New Roman" w:hAnsi="Times New Roman"/>
          <w:bCs/>
          <w:sz w:val="22"/>
          <w:szCs w:val="22"/>
        </w:rPr>
      </w:pPr>
      <w:r w:rsidRPr="005A7CC2">
        <w:rPr>
          <w:rFonts w:ascii="Times New Roman" w:hAnsi="Times New Roman"/>
          <w:sz w:val="22"/>
          <w:szCs w:val="22"/>
        </w:rPr>
        <w:t>If an application for inclusion is not accompanied by the kind of information prescribed in the Principal Determination, the application will not pass preliminary assessment, and the Secretary must refuse the application (subsection 41FDB of the Act refers).</w:t>
      </w:r>
    </w:p>
    <w:p w14:paraId="6633F303" w14:textId="77777777" w:rsidR="00E30C11" w:rsidRPr="005A7CC2" w:rsidRDefault="00E30C11" w:rsidP="00E30C11">
      <w:pPr>
        <w:keepNext/>
        <w:contextualSpacing/>
        <w:rPr>
          <w:rFonts w:ascii="Times New Roman" w:hAnsi="Times New Roman"/>
          <w:sz w:val="22"/>
          <w:szCs w:val="22"/>
        </w:rPr>
      </w:pPr>
    </w:p>
    <w:p w14:paraId="1CA1EE1E" w14:textId="76D79798" w:rsidR="00E30C11" w:rsidRPr="005A7CC2" w:rsidRDefault="00E30C11" w:rsidP="00E30C11">
      <w:pPr>
        <w:keepNext/>
        <w:contextualSpacing/>
        <w:rPr>
          <w:rFonts w:ascii="Times New Roman" w:hAnsi="Times New Roman"/>
          <w:b/>
          <w:bCs/>
          <w:sz w:val="22"/>
          <w:szCs w:val="22"/>
        </w:rPr>
      </w:pPr>
      <w:r w:rsidRPr="005A7CC2">
        <w:rPr>
          <w:rFonts w:ascii="Times New Roman" w:hAnsi="Times New Roman"/>
          <w:b/>
          <w:bCs/>
          <w:sz w:val="22"/>
          <w:szCs w:val="22"/>
        </w:rPr>
        <w:t>Item</w:t>
      </w:r>
      <w:r w:rsidR="00024B5E" w:rsidRPr="005A7CC2">
        <w:rPr>
          <w:rFonts w:ascii="Times New Roman" w:hAnsi="Times New Roman"/>
          <w:b/>
          <w:bCs/>
          <w:sz w:val="22"/>
          <w:szCs w:val="22"/>
        </w:rPr>
        <w:t xml:space="preserve"> </w:t>
      </w:r>
      <w:r w:rsidR="00C97B71" w:rsidRPr="005A7CC2">
        <w:rPr>
          <w:rFonts w:ascii="Times New Roman" w:hAnsi="Times New Roman"/>
          <w:b/>
          <w:bCs/>
          <w:sz w:val="22"/>
          <w:szCs w:val="22"/>
        </w:rPr>
        <w:t>5</w:t>
      </w:r>
      <w:r w:rsidR="00024B5E" w:rsidRPr="005A7CC2">
        <w:rPr>
          <w:rFonts w:ascii="Times New Roman" w:hAnsi="Times New Roman"/>
          <w:b/>
          <w:bCs/>
          <w:sz w:val="22"/>
          <w:szCs w:val="22"/>
        </w:rPr>
        <w:t xml:space="preserve"> –</w:t>
      </w:r>
      <w:r w:rsidRPr="005A7CC2">
        <w:rPr>
          <w:rFonts w:ascii="Times New Roman" w:hAnsi="Times New Roman"/>
          <w:b/>
          <w:bCs/>
          <w:sz w:val="22"/>
          <w:szCs w:val="22"/>
        </w:rPr>
        <w:t xml:space="preserve"> Part 1 of Schedule 2 (</w:t>
      </w:r>
      <w:r w:rsidR="00F657F9" w:rsidRPr="005A7CC2">
        <w:rPr>
          <w:rFonts w:ascii="Times New Roman" w:hAnsi="Times New Roman"/>
          <w:b/>
          <w:bCs/>
          <w:sz w:val="22"/>
          <w:szCs w:val="22"/>
        </w:rPr>
        <w:t xml:space="preserve">cell at </w:t>
      </w:r>
      <w:r w:rsidRPr="005A7CC2">
        <w:rPr>
          <w:rFonts w:ascii="Times New Roman" w:hAnsi="Times New Roman"/>
          <w:b/>
          <w:bCs/>
          <w:sz w:val="22"/>
          <w:szCs w:val="22"/>
        </w:rPr>
        <w:t>table item 2, column 3)</w:t>
      </w:r>
    </w:p>
    <w:p w14:paraId="0B38C766" w14:textId="77777777" w:rsidR="00E30C11" w:rsidRPr="005A7CC2" w:rsidRDefault="00E30C11" w:rsidP="00E30C11">
      <w:pPr>
        <w:keepNext/>
        <w:rPr>
          <w:rFonts w:ascii="Times New Roman" w:hAnsi="Times New Roman"/>
          <w:sz w:val="22"/>
          <w:szCs w:val="22"/>
        </w:rPr>
      </w:pPr>
    </w:p>
    <w:p w14:paraId="1C464702" w14:textId="660537EC" w:rsidR="00E30C11" w:rsidRPr="005A7CC2" w:rsidRDefault="00E30C11" w:rsidP="00E30C11">
      <w:pPr>
        <w:keepNext/>
        <w:rPr>
          <w:rFonts w:ascii="Times New Roman" w:hAnsi="Times New Roman"/>
          <w:sz w:val="22"/>
          <w:szCs w:val="22"/>
        </w:rPr>
      </w:pPr>
      <w:r w:rsidRPr="005A7CC2">
        <w:rPr>
          <w:rFonts w:ascii="Times New Roman" w:hAnsi="Times New Roman"/>
          <w:sz w:val="22"/>
          <w:szCs w:val="22"/>
        </w:rPr>
        <w:t xml:space="preserve">This item repeals </w:t>
      </w:r>
      <w:r w:rsidR="00DB6296" w:rsidRPr="005A7CC2">
        <w:rPr>
          <w:rFonts w:ascii="Times New Roman" w:hAnsi="Times New Roman"/>
          <w:sz w:val="22"/>
          <w:szCs w:val="22"/>
        </w:rPr>
        <w:t>and replaces the cell in column 3 of</w:t>
      </w:r>
      <w:r w:rsidRPr="005A7CC2">
        <w:rPr>
          <w:rFonts w:ascii="Times New Roman" w:hAnsi="Times New Roman"/>
          <w:sz w:val="22"/>
          <w:szCs w:val="22"/>
        </w:rPr>
        <w:t xml:space="preserve"> table item </w:t>
      </w:r>
      <w:r w:rsidR="00DB6296" w:rsidRPr="005A7CC2">
        <w:rPr>
          <w:rFonts w:ascii="Times New Roman" w:hAnsi="Times New Roman"/>
          <w:sz w:val="22"/>
          <w:szCs w:val="22"/>
        </w:rPr>
        <w:t xml:space="preserve">2 in Part 1 of Schedule 2. The effect of this amendment is that </w:t>
      </w:r>
      <w:r w:rsidRPr="005A7CC2">
        <w:rPr>
          <w:rFonts w:ascii="Times New Roman" w:hAnsi="Times New Roman"/>
          <w:sz w:val="22"/>
          <w:szCs w:val="22"/>
        </w:rPr>
        <w:t>an application for inclusion of a Class</w:t>
      </w:r>
      <w:r w:rsidR="005F2FE1" w:rsidRPr="005A7CC2">
        <w:rPr>
          <w:rFonts w:ascii="Times New Roman" w:hAnsi="Times New Roman"/>
          <w:sz w:val="22"/>
          <w:szCs w:val="22"/>
        </w:rPr>
        <w:t> </w:t>
      </w:r>
      <w:r w:rsidRPr="005A7CC2">
        <w:rPr>
          <w:rFonts w:ascii="Times New Roman" w:hAnsi="Times New Roman"/>
          <w:sz w:val="22"/>
          <w:szCs w:val="22"/>
        </w:rPr>
        <w:t>2 IVD medical device</w:t>
      </w:r>
      <w:r w:rsidR="00F657F9" w:rsidRPr="005A7CC2">
        <w:rPr>
          <w:rFonts w:ascii="Times New Roman" w:hAnsi="Times New Roman"/>
          <w:sz w:val="22"/>
          <w:szCs w:val="22"/>
        </w:rPr>
        <w:t>, that</w:t>
      </w:r>
      <w:r w:rsidR="00545194" w:rsidRPr="005A7CC2">
        <w:rPr>
          <w:rFonts w:ascii="Times New Roman" w:hAnsi="Times New Roman"/>
          <w:sz w:val="22"/>
          <w:szCs w:val="22"/>
        </w:rPr>
        <w:t xml:space="preserve"> </w:t>
      </w:r>
      <w:r w:rsidRPr="005A7CC2">
        <w:rPr>
          <w:rFonts w:ascii="Times New Roman" w:hAnsi="Times New Roman"/>
          <w:sz w:val="22"/>
          <w:szCs w:val="22"/>
        </w:rPr>
        <w:t>is submitted before 1</w:t>
      </w:r>
      <w:r w:rsidR="005F2FE1" w:rsidRPr="005A7CC2">
        <w:rPr>
          <w:rFonts w:ascii="Times New Roman" w:hAnsi="Times New Roman"/>
          <w:sz w:val="22"/>
          <w:szCs w:val="22"/>
        </w:rPr>
        <w:t> </w:t>
      </w:r>
      <w:r w:rsidR="00024B5E" w:rsidRPr="005A7CC2">
        <w:rPr>
          <w:rFonts w:ascii="Times New Roman" w:hAnsi="Times New Roman"/>
          <w:sz w:val="22"/>
          <w:szCs w:val="22"/>
        </w:rPr>
        <w:t>January</w:t>
      </w:r>
      <w:r w:rsidR="005F2FE1" w:rsidRPr="005A7CC2">
        <w:rPr>
          <w:rFonts w:ascii="Times New Roman" w:hAnsi="Times New Roman"/>
          <w:sz w:val="22"/>
          <w:szCs w:val="22"/>
        </w:rPr>
        <w:t> </w:t>
      </w:r>
      <w:r w:rsidRPr="005A7CC2">
        <w:rPr>
          <w:rFonts w:ascii="Times New Roman" w:hAnsi="Times New Roman"/>
          <w:sz w:val="22"/>
          <w:szCs w:val="22"/>
        </w:rPr>
        <w:t>20</w:t>
      </w:r>
      <w:r w:rsidR="00024B5E" w:rsidRPr="005A7CC2">
        <w:rPr>
          <w:rFonts w:ascii="Times New Roman" w:hAnsi="Times New Roman"/>
          <w:sz w:val="22"/>
          <w:szCs w:val="22"/>
        </w:rPr>
        <w:t>30</w:t>
      </w:r>
      <w:r w:rsidR="00856143" w:rsidRPr="005A7CC2">
        <w:rPr>
          <w:rFonts w:ascii="Times New Roman" w:hAnsi="Times New Roman"/>
          <w:sz w:val="22"/>
          <w:szCs w:val="22"/>
        </w:rPr>
        <w:t>, must</w:t>
      </w:r>
      <w:r w:rsidRPr="005A7CC2">
        <w:rPr>
          <w:rFonts w:ascii="Times New Roman" w:hAnsi="Times New Roman"/>
          <w:sz w:val="22"/>
          <w:szCs w:val="22"/>
        </w:rPr>
        <w:t xml:space="preserve"> be </w:t>
      </w:r>
      <w:r w:rsidR="00F657F9" w:rsidRPr="005A7CC2">
        <w:rPr>
          <w:rFonts w:ascii="Times New Roman" w:hAnsi="Times New Roman"/>
          <w:sz w:val="22"/>
          <w:szCs w:val="22"/>
        </w:rPr>
        <w:t xml:space="preserve">accompanied </w:t>
      </w:r>
      <w:r w:rsidRPr="005A7CC2">
        <w:rPr>
          <w:rFonts w:ascii="Times New Roman" w:hAnsi="Times New Roman"/>
          <w:sz w:val="22"/>
          <w:szCs w:val="22"/>
        </w:rPr>
        <w:t>by</w:t>
      </w:r>
      <w:r w:rsidR="00F657F9" w:rsidRPr="005A7CC2">
        <w:rPr>
          <w:rFonts w:ascii="Times New Roman" w:hAnsi="Times New Roman"/>
          <w:sz w:val="22"/>
          <w:szCs w:val="22"/>
        </w:rPr>
        <w:t xml:space="preserve"> one of the following documents that is recognised by a notified body</w:t>
      </w:r>
      <w:r w:rsidRPr="005A7CC2">
        <w:rPr>
          <w:rFonts w:ascii="Times New Roman" w:hAnsi="Times New Roman"/>
          <w:sz w:val="22"/>
          <w:szCs w:val="22"/>
        </w:rPr>
        <w:t xml:space="preserve">: </w:t>
      </w:r>
    </w:p>
    <w:p w14:paraId="4F1EDEFC" w14:textId="168A30EF" w:rsidR="00E30C11" w:rsidRPr="005A7CC2" w:rsidRDefault="00E30C11" w:rsidP="00E30C11">
      <w:pPr>
        <w:pStyle w:val="ListParagraph"/>
        <w:keepNext/>
        <w:numPr>
          <w:ilvl w:val="0"/>
          <w:numId w:val="1"/>
        </w:numPr>
        <w:rPr>
          <w:rFonts w:ascii="Times New Roman" w:hAnsi="Times New Roman"/>
          <w:sz w:val="22"/>
          <w:szCs w:val="22"/>
        </w:rPr>
      </w:pPr>
      <w:r w:rsidRPr="005A7CC2">
        <w:rPr>
          <w:rFonts w:ascii="Times New Roman" w:hAnsi="Times New Roman"/>
          <w:sz w:val="22"/>
          <w:szCs w:val="22"/>
        </w:rPr>
        <w:t>a full quality assurance system certificate or other document issued under section</w:t>
      </w:r>
      <w:r w:rsidR="005F2FE1" w:rsidRPr="005A7CC2">
        <w:rPr>
          <w:rFonts w:ascii="Times New Roman" w:hAnsi="Times New Roman"/>
          <w:sz w:val="22"/>
          <w:szCs w:val="22"/>
        </w:rPr>
        <w:t> </w:t>
      </w:r>
      <w:r w:rsidRPr="005A7CC2">
        <w:rPr>
          <w:rFonts w:ascii="Times New Roman" w:hAnsi="Times New Roman"/>
          <w:sz w:val="22"/>
          <w:szCs w:val="22"/>
        </w:rPr>
        <w:t>3 of Annex IV of Directive 98/79/EC; or</w:t>
      </w:r>
    </w:p>
    <w:p w14:paraId="6E5D396B" w14:textId="77777777" w:rsidR="00E30C11" w:rsidRPr="005A7CC2" w:rsidRDefault="00E30C11" w:rsidP="00E30C11">
      <w:pPr>
        <w:pStyle w:val="ListParagraph"/>
        <w:keepNext/>
        <w:numPr>
          <w:ilvl w:val="0"/>
          <w:numId w:val="1"/>
        </w:numPr>
        <w:rPr>
          <w:rFonts w:ascii="Times New Roman" w:hAnsi="Times New Roman"/>
          <w:sz w:val="22"/>
          <w:szCs w:val="22"/>
        </w:rPr>
      </w:pPr>
      <w:r w:rsidRPr="005A7CC2">
        <w:rPr>
          <w:rFonts w:ascii="Times New Roman" w:hAnsi="Times New Roman"/>
          <w:sz w:val="22"/>
          <w:szCs w:val="22"/>
        </w:rPr>
        <w:t>a production quality assurance certificate or other document issued under Annex VII of Directive 98/79/EC.</w:t>
      </w:r>
    </w:p>
    <w:p w14:paraId="4FB03C2F" w14:textId="77777777" w:rsidR="00E30C11" w:rsidRPr="005A7CC2" w:rsidRDefault="00E30C11" w:rsidP="00E30C11">
      <w:pPr>
        <w:pStyle w:val="ListParagraph"/>
        <w:keepNext/>
        <w:rPr>
          <w:rFonts w:ascii="Times New Roman" w:hAnsi="Times New Roman"/>
          <w:sz w:val="22"/>
          <w:szCs w:val="22"/>
        </w:rPr>
      </w:pPr>
    </w:p>
    <w:p w14:paraId="66740994" w14:textId="37B8BA37" w:rsidR="00E30C11" w:rsidRPr="005A7CC2" w:rsidRDefault="00E30C11" w:rsidP="00E30C11">
      <w:pPr>
        <w:keepNext/>
        <w:contextualSpacing/>
        <w:rPr>
          <w:rFonts w:ascii="Times New Roman" w:hAnsi="Times New Roman"/>
          <w:b/>
          <w:bCs/>
          <w:sz w:val="22"/>
          <w:szCs w:val="22"/>
        </w:rPr>
      </w:pPr>
      <w:r w:rsidRPr="005A7CC2">
        <w:rPr>
          <w:rFonts w:ascii="Times New Roman" w:hAnsi="Times New Roman"/>
          <w:b/>
          <w:sz w:val="22"/>
          <w:szCs w:val="22"/>
        </w:rPr>
        <w:t xml:space="preserve">Items </w:t>
      </w:r>
      <w:r w:rsidR="00C97B71" w:rsidRPr="005A7CC2">
        <w:rPr>
          <w:rFonts w:ascii="Times New Roman" w:hAnsi="Times New Roman"/>
          <w:b/>
          <w:sz w:val="22"/>
          <w:szCs w:val="22"/>
        </w:rPr>
        <w:t>6</w:t>
      </w:r>
      <w:r w:rsidR="00DB6296" w:rsidRPr="005A7CC2">
        <w:rPr>
          <w:rFonts w:ascii="Times New Roman" w:hAnsi="Times New Roman"/>
          <w:b/>
          <w:sz w:val="22"/>
          <w:szCs w:val="22"/>
        </w:rPr>
        <w:t xml:space="preserve"> </w:t>
      </w:r>
      <w:r w:rsidRPr="005A7CC2">
        <w:rPr>
          <w:rFonts w:ascii="Times New Roman" w:hAnsi="Times New Roman"/>
          <w:b/>
          <w:sz w:val="22"/>
          <w:szCs w:val="22"/>
        </w:rPr>
        <w:t xml:space="preserve">and </w:t>
      </w:r>
      <w:r w:rsidR="00C97B71" w:rsidRPr="005A7CC2">
        <w:rPr>
          <w:rFonts w:ascii="Times New Roman" w:hAnsi="Times New Roman"/>
          <w:b/>
          <w:sz w:val="22"/>
          <w:szCs w:val="22"/>
        </w:rPr>
        <w:t>9</w:t>
      </w:r>
      <w:r w:rsidR="00DB6296" w:rsidRPr="005A7CC2">
        <w:rPr>
          <w:rFonts w:ascii="Times New Roman" w:hAnsi="Times New Roman"/>
          <w:b/>
          <w:sz w:val="22"/>
          <w:szCs w:val="22"/>
        </w:rPr>
        <w:t xml:space="preserve"> </w:t>
      </w:r>
      <w:r w:rsidRPr="005A7CC2">
        <w:rPr>
          <w:rFonts w:ascii="Times New Roman" w:hAnsi="Times New Roman"/>
          <w:sz w:val="22"/>
          <w:szCs w:val="22"/>
        </w:rPr>
        <w:softHyphen/>
        <w:t xml:space="preserve"> </w:t>
      </w:r>
      <w:r w:rsidRPr="005A7CC2">
        <w:rPr>
          <w:rFonts w:ascii="Times New Roman" w:hAnsi="Times New Roman"/>
          <w:b/>
          <w:bCs/>
          <w:sz w:val="22"/>
          <w:szCs w:val="22"/>
        </w:rPr>
        <w:t>Part 1 of Schedule 2 (after table item 2A) and Part 2 of Schedule 2 (after table item 3A)</w:t>
      </w:r>
    </w:p>
    <w:p w14:paraId="0CA05779" w14:textId="77777777" w:rsidR="00E30C11" w:rsidRPr="005A7CC2" w:rsidRDefault="00E30C11" w:rsidP="00E30C11">
      <w:pPr>
        <w:keepNext/>
        <w:contextualSpacing/>
        <w:rPr>
          <w:rFonts w:ascii="Times New Roman" w:hAnsi="Times New Roman"/>
          <w:bCs/>
          <w:sz w:val="22"/>
          <w:szCs w:val="22"/>
        </w:rPr>
      </w:pPr>
    </w:p>
    <w:p w14:paraId="1722402E" w14:textId="493F37CA" w:rsidR="00E30C11" w:rsidRPr="005A7CC2" w:rsidRDefault="00D17F49" w:rsidP="00E30C11">
      <w:pPr>
        <w:keepNext/>
        <w:contextualSpacing/>
        <w:rPr>
          <w:rFonts w:ascii="Times New Roman" w:hAnsi="Times New Roman"/>
          <w:bCs/>
          <w:sz w:val="22"/>
          <w:szCs w:val="22"/>
        </w:rPr>
      </w:pPr>
      <w:bookmarkStart w:id="6" w:name="_Hlk183081181"/>
      <w:r w:rsidRPr="005A7CC2">
        <w:rPr>
          <w:rFonts w:ascii="Times New Roman" w:hAnsi="Times New Roman"/>
          <w:sz w:val="22"/>
          <w:szCs w:val="22"/>
        </w:rPr>
        <w:t xml:space="preserve">These items </w:t>
      </w:r>
      <w:r w:rsidR="00207AA8">
        <w:rPr>
          <w:rFonts w:ascii="Times New Roman" w:hAnsi="Times New Roman"/>
          <w:sz w:val="22"/>
          <w:szCs w:val="22"/>
        </w:rPr>
        <w:t xml:space="preserve">introduce new items in the table in Part 1 and Part 2 of Schedule 2A to </w:t>
      </w:r>
      <w:r w:rsidR="00B40133" w:rsidRPr="005A7CC2">
        <w:rPr>
          <w:rFonts w:ascii="Times New Roman" w:hAnsi="Times New Roman"/>
          <w:sz w:val="22"/>
          <w:szCs w:val="22"/>
        </w:rPr>
        <w:t xml:space="preserve">prescribe conformity assessment documents relating to the manufacturer’s quality management system </w:t>
      </w:r>
      <w:r w:rsidR="005B4EED" w:rsidRPr="005A7CC2">
        <w:rPr>
          <w:rFonts w:ascii="Times New Roman" w:hAnsi="Times New Roman"/>
          <w:sz w:val="22"/>
          <w:szCs w:val="22"/>
        </w:rPr>
        <w:t>that must accompany applications for</w:t>
      </w:r>
      <w:r w:rsidR="00F657F9" w:rsidRPr="005A7CC2">
        <w:rPr>
          <w:rFonts w:ascii="Times New Roman" w:hAnsi="Times New Roman"/>
          <w:sz w:val="22"/>
          <w:szCs w:val="22"/>
        </w:rPr>
        <w:t xml:space="preserve"> inclusion of</w:t>
      </w:r>
      <w:r w:rsidR="005B4EED" w:rsidRPr="005A7CC2">
        <w:rPr>
          <w:rFonts w:ascii="Times New Roman" w:hAnsi="Times New Roman"/>
          <w:sz w:val="22"/>
          <w:szCs w:val="22"/>
        </w:rPr>
        <w:t xml:space="preserve"> Class 2 and Class 3 IVD medical devices </w:t>
      </w:r>
      <w:r w:rsidR="00F657F9" w:rsidRPr="005A7CC2">
        <w:rPr>
          <w:rFonts w:ascii="Times New Roman" w:hAnsi="Times New Roman"/>
          <w:sz w:val="22"/>
          <w:szCs w:val="22"/>
        </w:rPr>
        <w:t xml:space="preserve">that are submitted before 1 </w:t>
      </w:r>
      <w:r w:rsidR="00024B5E" w:rsidRPr="005A7CC2">
        <w:rPr>
          <w:rFonts w:ascii="Times New Roman" w:hAnsi="Times New Roman"/>
          <w:sz w:val="22"/>
          <w:szCs w:val="22"/>
        </w:rPr>
        <w:t>January 2030 and 1 January 2029</w:t>
      </w:r>
      <w:r w:rsidR="00207AA8">
        <w:rPr>
          <w:rFonts w:ascii="Times New Roman" w:hAnsi="Times New Roman"/>
          <w:sz w:val="22"/>
          <w:szCs w:val="22"/>
        </w:rPr>
        <w:t xml:space="preserve"> respectively</w:t>
      </w:r>
      <w:r w:rsidR="00024B5E" w:rsidRPr="005A7CC2">
        <w:rPr>
          <w:rFonts w:ascii="Times New Roman" w:hAnsi="Times New Roman"/>
          <w:sz w:val="22"/>
          <w:szCs w:val="22"/>
        </w:rPr>
        <w:t xml:space="preserve">. </w:t>
      </w:r>
      <w:r w:rsidR="00E30C11" w:rsidRPr="005A7CC2">
        <w:rPr>
          <w:rFonts w:ascii="Times New Roman" w:hAnsi="Times New Roman"/>
          <w:bCs/>
          <w:sz w:val="22"/>
          <w:szCs w:val="22"/>
        </w:rPr>
        <w:t xml:space="preserve">Such applications must be supported by an EU declaration of conformity made by the manufacturer under Annex III of </w:t>
      </w:r>
      <w:r w:rsidR="00E30C11" w:rsidRPr="005A7CC2">
        <w:rPr>
          <w:rFonts w:ascii="Times New Roman" w:hAnsi="Times New Roman"/>
          <w:sz w:val="22"/>
          <w:szCs w:val="22"/>
        </w:rPr>
        <w:t>Directive 98/79/EC before 26 May 2022.</w:t>
      </w:r>
    </w:p>
    <w:bookmarkEnd w:id="6"/>
    <w:p w14:paraId="529B1970" w14:textId="77777777" w:rsidR="00E30C11" w:rsidRPr="005A7CC2" w:rsidRDefault="00E30C11" w:rsidP="00E30C11">
      <w:pPr>
        <w:keepNext/>
        <w:rPr>
          <w:rFonts w:ascii="Times New Roman" w:hAnsi="Times New Roman"/>
          <w:sz w:val="22"/>
          <w:szCs w:val="22"/>
        </w:rPr>
      </w:pPr>
    </w:p>
    <w:p w14:paraId="232BAD57" w14:textId="3D7FC362" w:rsidR="00E30C11" w:rsidRPr="005A7CC2" w:rsidRDefault="00E30C11" w:rsidP="00E30C11">
      <w:pPr>
        <w:keepNext/>
        <w:contextualSpacing/>
        <w:rPr>
          <w:rFonts w:ascii="Times New Roman" w:hAnsi="Times New Roman"/>
          <w:b/>
          <w:sz w:val="22"/>
          <w:szCs w:val="22"/>
        </w:rPr>
      </w:pPr>
      <w:r w:rsidRPr="005A7CC2">
        <w:rPr>
          <w:rFonts w:ascii="Times New Roman" w:hAnsi="Times New Roman"/>
          <w:b/>
          <w:sz w:val="22"/>
          <w:szCs w:val="22"/>
        </w:rPr>
        <w:t xml:space="preserve">Items </w:t>
      </w:r>
      <w:r w:rsidR="00C97B71" w:rsidRPr="005A7CC2">
        <w:rPr>
          <w:rFonts w:ascii="Times New Roman" w:hAnsi="Times New Roman"/>
          <w:b/>
          <w:sz w:val="22"/>
          <w:szCs w:val="22"/>
        </w:rPr>
        <w:t>7</w:t>
      </w:r>
      <w:r w:rsidR="00024B5E" w:rsidRPr="005A7CC2">
        <w:rPr>
          <w:rFonts w:ascii="Times New Roman" w:hAnsi="Times New Roman"/>
          <w:b/>
          <w:sz w:val="22"/>
          <w:szCs w:val="22"/>
        </w:rPr>
        <w:t xml:space="preserve"> and </w:t>
      </w:r>
      <w:r w:rsidR="00C97B71" w:rsidRPr="005A7CC2">
        <w:rPr>
          <w:rFonts w:ascii="Times New Roman" w:hAnsi="Times New Roman"/>
          <w:b/>
          <w:sz w:val="22"/>
          <w:szCs w:val="22"/>
        </w:rPr>
        <w:t>1</w:t>
      </w:r>
      <w:r w:rsidR="002F411F" w:rsidRPr="005A7CC2">
        <w:rPr>
          <w:rFonts w:ascii="Times New Roman" w:hAnsi="Times New Roman"/>
          <w:b/>
          <w:sz w:val="22"/>
          <w:szCs w:val="22"/>
        </w:rPr>
        <w:t>1</w:t>
      </w:r>
      <w:r w:rsidR="00024B5E" w:rsidRPr="005A7CC2">
        <w:rPr>
          <w:rFonts w:ascii="Times New Roman" w:hAnsi="Times New Roman"/>
          <w:b/>
          <w:sz w:val="22"/>
          <w:szCs w:val="22"/>
        </w:rPr>
        <w:t xml:space="preserve"> </w:t>
      </w:r>
      <w:r w:rsidR="00024B5E" w:rsidRPr="005A7CC2">
        <w:rPr>
          <w:rFonts w:ascii="Times New Roman" w:hAnsi="Times New Roman"/>
          <w:sz w:val="22"/>
          <w:szCs w:val="22"/>
        </w:rPr>
        <w:softHyphen/>
        <w:t xml:space="preserve"> </w:t>
      </w:r>
      <w:r w:rsidRPr="005A7CC2">
        <w:rPr>
          <w:rFonts w:ascii="Times New Roman" w:hAnsi="Times New Roman"/>
          <w:b/>
          <w:sz w:val="22"/>
          <w:szCs w:val="22"/>
        </w:rPr>
        <w:t>Part 1 of Schedule 2 (table item 7) and Part 2 of Schedule 2 (table item 11)</w:t>
      </w:r>
    </w:p>
    <w:p w14:paraId="5DA5994D" w14:textId="77777777" w:rsidR="00E30C11" w:rsidRPr="005A7CC2" w:rsidRDefault="00E30C11" w:rsidP="00E30C11">
      <w:pPr>
        <w:keepNext/>
        <w:contextualSpacing/>
        <w:rPr>
          <w:rFonts w:ascii="Times New Roman" w:hAnsi="Times New Roman"/>
          <w:b/>
          <w:sz w:val="22"/>
          <w:szCs w:val="22"/>
        </w:rPr>
      </w:pPr>
    </w:p>
    <w:p w14:paraId="34F70FBE" w14:textId="44681CA1" w:rsidR="00E30C11" w:rsidRPr="005A7CC2" w:rsidRDefault="00E30C11" w:rsidP="00E30C11">
      <w:pPr>
        <w:keepNext/>
        <w:contextualSpacing/>
        <w:rPr>
          <w:rFonts w:ascii="Times New Roman" w:hAnsi="Times New Roman"/>
          <w:bCs/>
          <w:sz w:val="22"/>
          <w:szCs w:val="22"/>
        </w:rPr>
      </w:pPr>
      <w:r w:rsidRPr="005A7CC2">
        <w:rPr>
          <w:rFonts w:ascii="Times New Roman" w:hAnsi="Times New Roman"/>
          <w:bCs/>
          <w:sz w:val="22"/>
          <w:szCs w:val="22"/>
        </w:rPr>
        <w:t xml:space="preserve">This item repeals </w:t>
      </w:r>
      <w:r w:rsidR="00F657F9" w:rsidRPr="005A7CC2">
        <w:rPr>
          <w:rFonts w:ascii="Times New Roman" w:hAnsi="Times New Roman"/>
          <w:bCs/>
          <w:sz w:val="22"/>
          <w:szCs w:val="22"/>
        </w:rPr>
        <w:t>table item 7 of Part 1 and table item 11 of Part 2 of Schedule 2.</w:t>
      </w:r>
      <w:r w:rsidRPr="005A7CC2">
        <w:rPr>
          <w:rFonts w:ascii="Times New Roman" w:hAnsi="Times New Roman"/>
          <w:bCs/>
          <w:sz w:val="22"/>
          <w:szCs w:val="22"/>
        </w:rPr>
        <w:t xml:space="preserve"> These table items </w:t>
      </w:r>
      <w:r w:rsidR="00F657F9" w:rsidRPr="005A7CC2">
        <w:rPr>
          <w:rFonts w:ascii="Times New Roman" w:hAnsi="Times New Roman"/>
          <w:bCs/>
          <w:sz w:val="22"/>
          <w:szCs w:val="22"/>
        </w:rPr>
        <w:t>related to</w:t>
      </w:r>
      <w:r w:rsidRPr="005A7CC2">
        <w:rPr>
          <w:rFonts w:ascii="Times New Roman" w:hAnsi="Times New Roman"/>
          <w:bCs/>
          <w:sz w:val="22"/>
          <w:szCs w:val="22"/>
        </w:rPr>
        <w:t xml:space="preserve"> applications for inclusion of Class 2 or Class 3 </w:t>
      </w:r>
      <w:r w:rsidR="00F657F9" w:rsidRPr="005A7CC2">
        <w:rPr>
          <w:rFonts w:ascii="Times New Roman" w:hAnsi="Times New Roman"/>
          <w:bCs/>
          <w:sz w:val="22"/>
          <w:szCs w:val="22"/>
        </w:rPr>
        <w:t xml:space="preserve">IVD </w:t>
      </w:r>
      <w:r w:rsidRPr="005A7CC2">
        <w:rPr>
          <w:rFonts w:ascii="Times New Roman" w:hAnsi="Times New Roman"/>
          <w:bCs/>
          <w:sz w:val="22"/>
          <w:szCs w:val="22"/>
        </w:rPr>
        <w:t xml:space="preserve">medical devices </w:t>
      </w:r>
      <w:r w:rsidR="00F657F9" w:rsidRPr="005A7CC2">
        <w:rPr>
          <w:rFonts w:ascii="Times New Roman" w:hAnsi="Times New Roman"/>
          <w:bCs/>
          <w:sz w:val="22"/>
          <w:szCs w:val="22"/>
        </w:rPr>
        <w:t xml:space="preserve">submitted prior to 26 May 2023 that were accompanied by conformity assessment documents issued by or </w:t>
      </w:r>
      <w:r w:rsidR="00E42B0F" w:rsidRPr="005A7CC2">
        <w:rPr>
          <w:rFonts w:ascii="Times New Roman" w:hAnsi="Times New Roman"/>
          <w:bCs/>
          <w:sz w:val="22"/>
          <w:szCs w:val="22"/>
        </w:rPr>
        <w:t>recognised by an IAF accredited conformity assessment body</w:t>
      </w:r>
      <w:r w:rsidR="004F77EE" w:rsidRPr="005A7CC2">
        <w:rPr>
          <w:rFonts w:ascii="Times New Roman" w:hAnsi="Times New Roman"/>
          <w:bCs/>
          <w:sz w:val="22"/>
          <w:szCs w:val="22"/>
        </w:rPr>
        <w:t>.</w:t>
      </w:r>
      <w:r w:rsidR="00E42B0F" w:rsidRPr="005A7CC2">
        <w:rPr>
          <w:rFonts w:ascii="Times New Roman" w:hAnsi="Times New Roman"/>
          <w:bCs/>
          <w:sz w:val="22"/>
          <w:szCs w:val="22"/>
        </w:rPr>
        <w:t xml:space="preserve"> </w:t>
      </w:r>
      <w:r w:rsidRPr="005A7CC2">
        <w:rPr>
          <w:rFonts w:ascii="Times New Roman" w:hAnsi="Times New Roman"/>
          <w:bCs/>
          <w:sz w:val="22"/>
          <w:szCs w:val="22"/>
        </w:rPr>
        <w:t>These table items are repealed on the basis that this timeframe has now passed.</w:t>
      </w:r>
    </w:p>
    <w:p w14:paraId="0523ADAA" w14:textId="77777777" w:rsidR="00E30C11" w:rsidRPr="005A7CC2" w:rsidRDefault="00E30C11" w:rsidP="00E30C11">
      <w:pPr>
        <w:keepNext/>
        <w:contextualSpacing/>
        <w:rPr>
          <w:rFonts w:ascii="Times New Roman" w:hAnsi="Times New Roman"/>
          <w:bCs/>
          <w:sz w:val="22"/>
          <w:szCs w:val="22"/>
        </w:rPr>
      </w:pPr>
    </w:p>
    <w:p w14:paraId="44CA0ABB" w14:textId="6977648F" w:rsidR="00E30C11" w:rsidRPr="005A7CC2" w:rsidRDefault="00E30C11" w:rsidP="00E30C11">
      <w:pPr>
        <w:keepNext/>
        <w:rPr>
          <w:rFonts w:ascii="Times New Roman" w:hAnsi="Times New Roman"/>
          <w:b/>
          <w:sz w:val="22"/>
          <w:szCs w:val="22"/>
        </w:rPr>
      </w:pPr>
      <w:r w:rsidRPr="005A7CC2">
        <w:rPr>
          <w:rFonts w:ascii="Times New Roman" w:hAnsi="Times New Roman"/>
          <w:b/>
          <w:sz w:val="22"/>
          <w:szCs w:val="22"/>
        </w:rPr>
        <w:t xml:space="preserve">Item </w:t>
      </w:r>
      <w:r w:rsidR="00B20551" w:rsidRPr="005A7CC2">
        <w:rPr>
          <w:rFonts w:ascii="Times New Roman" w:hAnsi="Times New Roman"/>
          <w:b/>
          <w:sz w:val="22"/>
          <w:szCs w:val="22"/>
        </w:rPr>
        <w:t>8</w:t>
      </w:r>
      <w:r w:rsidR="00DB6296" w:rsidRPr="005A7CC2">
        <w:rPr>
          <w:rFonts w:ascii="Times New Roman" w:hAnsi="Times New Roman"/>
          <w:b/>
          <w:sz w:val="22"/>
          <w:szCs w:val="22"/>
        </w:rPr>
        <w:t xml:space="preserve"> </w:t>
      </w:r>
      <w:r w:rsidRPr="005A7CC2">
        <w:rPr>
          <w:rFonts w:ascii="Times New Roman" w:hAnsi="Times New Roman"/>
          <w:b/>
          <w:sz w:val="22"/>
          <w:szCs w:val="22"/>
        </w:rPr>
        <w:softHyphen/>
        <w:t xml:space="preserve"> Part 2 of Schedule 2 (</w:t>
      </w:r>
      <w:r w:rsidR="00F657F9" w:rsidRPr="005A7CC2">
        <w:rPr>
          <w:rFonts w:ascii="Times New Roman" w:hAnsi="Times New Roman"/>
          <w:b/>
          <w:sz w:val="22"/>
          <w:szCs w:val="22"/>
        </w:rPr>
        <w:t xml:space="preserve">cell at </w:t>
      </w:r>
      <w:r w:rsidRPr="005A7CC2">
        <w:rPr>
          <w:rFonts w:ascii="Times New Roman" w:hAnsi="Times New Roman"/>
          <w:b/>
          <w:sz w:val="22"/>
          <w:szCs w:val="22"/>
        </w:rPr>
        <w:t>table item 3, column 3)</w:t>
      </w:r>
    </w:p>
    <w:p w14:paraId="160A75B6" w14:textId="77777777" w:rsidR="00E30C11" w:rsidRPr="005A7CC2" w:rsidRDefault="00E30C11" w:rsidP="00E30C11">
      <w:pPr>
        <w:keepNext/>
        <w:rPr>
          <w:rFonts w:ascii="Times New Roman" w:hAnsi="Times New Roman"/>
          <w:sz w:val="22"/>
          <w:szCs w:val="22"/>
        </w:rPr>
      </w:pPr>
    </w:p>
    <w:p w14:paraId="2A528F6D" w14:textId="3A6D2E4C" w:rsidR="00E30C11" w:rsidRPr="005A7CC2" w:rsidRDefault="00E30C11" w:rsidP="00ED4E9B">
      <w:pPr>
        <w:rPr>
          <w:rFonts w:ascii="Times New Roman" w:hAnsi="Times New Roman"/>
          <w:sz w:val="22"/>
          <w:szCs w:val="22"/>
        </w:rPr>
      </w:pPr>
      <w:r w:rsidRPr="005A7CC2">
        <w:rPr>
          <w:rFonts w:ascii="Times New Roman" w:hAnsi="Times New Roman"/>
          <w:sz w:val="22"/>
          <w:szCs w:val="22"/>
        </w:rPr>
        <w:t xml:space="preserve">This item repeals </w:t>
      </w:r>
      <w:r w:rsidR="00F657F9" w:rsidRPr="005A7CC2">
        <w:rPr>
          <w:rFonts w:ascii="Times New Roman" w:hAnsi="Times New Roman"/>
          <w:sz w:val="22"/>
          <w:szCs w:val="22"/>
        </w:rPr>
        <w:t xml:space="preserve">and replaces the cell in column 3 of table item 3 in Part 2 of Schedule 2. The effect of this amendment is </w:t>
      </w:r>
      <w:r w:rsidRPr="005A7CC2">
        <w:rPr>
          <w:rFonts w:ascii="Times New Roman" w:hAnsi="Times New Roman"/>
          <w:sz w:val="22"/>
          <w:szCs w:val="22"/>
        </w:rPr>
        <w:t xml:space="preserve">that an application for inclusion of a Class 3 IVD medical device submitted before 1 </w:t>
      </w:r>
      <w:r w:rsidR="00024B5E" w:rsidRPr="005A7CC2">
        <w:rPr>
          <w:rFonts w:ascii="Times New Roman" w:hAnsi="Times New Roman"/>
          <w:sz w:val="22"/>
          <w:szCs w:val="22"/>
        </w:rPr>
        <w:t>January</w:t>
      </w:r>
      <w:r w:rsidRPr="005A7CC2">
        <w:rPr>
          <w:rFonts w:ascii="Times New Roman" w:hAnsi="Times New Roman"/>
          <w:sz w:val="22"/>
          <w:szCs w:val="22"/>
        </w:rPr>
        <w:t xml:space="preserve"> 202</w:t>
      </w:r>
      <w:r w:rsidR="00024B5E" w:rsidRPr="005A7CC2">
        <w:rPr>
          <w:rFonts w:ascii="Times New Roman" w:hAnsi="Times New Roman"/>
          <w:sz w:val="22"/>
          <w:szCs w:val="22"/>
        </w:rPr>
        <w:t>9</w:t>
      </w:r>
      <w:r w:rsidR="00F657F9" w:rsidRPr="005A7CC2">
        <w:rPr>
          <w:rFonts w:ascii="Times New Roman" w:hAnsi="Times New Roman"/>
          <w:sz w:val="22"/>
          <w:szCs w:val="22"/>
        </w:rPr>
        <w:t xml:space="preserve"> and accompanied by conformity assessment evidence that is recognised by a notified body, </w:t>
      </w:r>
      <w:r w:rsidRPr="005A7CC2">
        <w:rPr>
          <w:rFonts w:ascii="Times New Roman" w:hAnsi="Times New Roman"/>
          <w:sz w:val="22"/>
          <w:szCs w:val="22"/>
        </w:rPr>
        <w:t>m</w:t>
      </w:r>
      <w:r w:rsidR="00545194" w:rsidRPr="005A7CC2">
        <w:rPr>
          <w:rFonts w:ascii="Times New Roman" w:hAnsi="Times New Roman"/>
          <w:sz w:val="22"/>
          <w:szCs w:val="22"/>
        </w:rPr>
        <w:t>ust</w:t>
      </w:r>
      <w:r w:rsidRPr="005A7CC2">
        <w:rPr>
          <w:rFonts w:ascii="Times New Roman" w:hAnsi="Times New Roman"/>
          <w:sz w:val="22"/>
          <w:szCs w:val="22"/>
        </w:rPr>
        <w:t xml:space="preserve"> be </w:t>
      </w:r>
      <w:r w:rsidR="00F657F9" w:rsidRPr="005A7CC2">
        <w:rPr>
          <w:rFonts w:ascii="Times New Roman" w:hAnsi="Times New Roman"/>
          <w:sz w:val="22"/>
          <w:szCs w:val="22"/>
        </w:rPr>
        <w:t xml:space="preserve">accompanied </w:t>
      </w:r>
      <w:r w:rsidRPr="005A7CC2">
        <w:rPr>
          <w:rFonts w:ascii="Times New Roman" w:hAnsi="Times New Roman"/>
          <w:sz w:val="22"/>
          <w:szCs w:val="22"/>
        </w:rPr>
        <w:t>by a full quality assurance system certificate or other document issued under section 3 of Annex IV of Directive 98/79/EC.</w:t>
      </w:r>
    </w:p>
    <w:p w14:paraId="7ADE3CD3" w14:textId="77777777" w:rsidR="007F3239" w:rsidRPr="005A7CC2" w:rsidRDefault="007F3239" w:rsidP="00ED4E9B">
      <w:pPr>
        <w:rPr>
          <w:rFonts w:ascii="Times New Roman" w:hAnsi="Times New Roman"/>
          <w:sz w:val="22"/>
          <w:szCs w:val="22"/>
        </w:rPr>
      </w:pPr>
    </w:p>
    <w:p w14:paraId="13BA6DF1" w14:textId="71AC98DF" w:rsidR="005A7CC2" w:rsidRDefault="005A7CC2" w:rsidP="007F3239">
      <w:pPr>
        <w:keepNext/>
        <w:rPr>
          <w:rFonts w:ascii="Times New Roman" w:hAnsi="Times New Roman"/>
          <w:b/>
          <w:sz w:val="22"/>
          <w:szCs w:val="22"/>
        </w:rPr>
      </w:pPr>
      <w:r>
        <w:rPr>
          <w:rFonts w:ascii="Times New Roman" w:hAnsi="Times New Roman"/>
          <w:b/>
          <w:sz w:val="22"/>
          <w:szCs w:val="22"/>
        </w:rPr>
        <w:lastRenderedPageBreak/>
        <w:t xml:space="preserve">Item 10 </w:t>
      </w:r>
      <w:r w:rsidRPr="005A7CC2">
        <w:rPr>
          <w:rFonts w:ascii="Times New Roman" w:hAnsi="Times New Roman"/>
          <w:b/>
          <w:sz w:val="22"/>
          <w:szCs w:val="22"/>
        </w:rPr>
        <w:softHyphen/>
      </w:r>
      <w:r>
        <w:rPr>
          <w:rFonts w:ascii="Times New Roman" w:hAnsi="Times New Roman"/>
          <w:b/>
          <w:sz w:val="22"/>
          <w:szCs w:val="22"/>
        </w:rPr>
        <w:t xml:space="preserve"> Part 2 of Schedule 2 (table item 4)</w:t>
      </w:r>
    </w:p>
    <w:p w14:paraId="19617D1C" w14:textId="77777777" w:rsidR="005A7CC2" w:rsidRDefault="005A7CC2" w:rsidP="007F3239">
      <w:pPr>
        <w:keepNext/>
        <w:rPr>
          <w:rFonts w:ascii="Times New Roman" w:hAnsi="Times New Roman"/>
          <w:b/>
          <w:sz w:val="22"/>
          <w:szCs w:val="22"/>
        </w:rPr>
      </w:pPr>
    </w:p>
    <w:p w14:paraId="6B54ACE2" w14:textId="140CCD14" w:rsidR="005A7CC2" w:rsidRDefault="005A7CC2" w:rsidP="005A7CC2">
      <w:pPr>
        <w:keepNext/>
        <w:rPr>
          <w:rFonts w:ascii="Times New Roman" w:hAnsi="Times New Roman"/>
          <w:sz w:val="22"/>
          <w:szCs w:val="22"/>
        </w:rPr>
      </w:pPr>
      <w:r>
        <w:rPr>
          <w:rFonts w:ascii="Times New Roman" w:hAnsi="Times New Roman"/>
          <w:bCs/>
          <w:sz w:val="22"/>
          <w:szCs w:val="22"/>
        </w:rPr>
        <w:t xml:space="preserve">This item repeals and replaces table item 4 in Part 2 of Schedule 2. </w:t>
      </w:r>
      <w:r w:rsidRPr="005A7CC2">
        <w:rPr>
          <w:rFonts w:ascii="Times New Roman" w:hAnsi="Times New Roman"/>
          <w:sz w:val="22"/>
          <w:szCs w:val="22"/>
        </w:rPr>
        <w:t>The effect of this amendment is that an application for inclusion of a Class 3 IVD medical device submitted before 1 January 2029 and accompanied by conformity assessment evidence that is recognised by a notified body must</w:t>
      </w:r>
      <w:r w:rsidR="00E424F8">
        <w:rPr>
          <w:rFonts w:ascii="Times New Roman" w:hAnsi="Times New Roman"/>
          <w:sz w:val="22"/>
          <w:szCs w:val="22"/>
        </w:rPr>
        <w:t xml:space="preserve"> also</w:t>
      </w:r>
      <w:r w:rsidRPr="005A7CC2">
        <w:rPr>
          <w:rFonts w:ascii="Times New Roman" w:hAnsi="Times New Roman"/>
          <w:sz w:val="22"/>
          <w:szCs w:val="22"/>
        </w:rPr>
        <w:t xml:space="preserve"> be accompanied by</w:t>
      </w:r>
      <w:r>
        <w:rPr>
          <w:rFonts w:ascii="Times New Roman" w:hAnsi="Times New Roman"/>
          <w:sz w:val="22"/>
          <w:szCs w:val="22"/>
        </w:rPr>
        <w:t>:</w:t>
      </w:r>
    </w:p>
    <w:p w14:paraId="53C13FAF" w14:textId="26B86799" w:rsidR="005A7CC2" w:rsidRDefault="005A7CC2" w:rsidP="005A7CC2">
      <w:pPr>
        <w:pStyle w:val="ListParagraph"/>
        <w:keepNext/>
        <w:numPr>
          <w:ilvl w:val="0"/>
          <w:numId w:val="1"/>
        </w:numPr>
        <w:rPr>
          <w:rFonts w:ascii="Times New Roman" w:hAnsi="Times New Roman"/>
          <w:sz w:val="22"/>
          <w:szCs w:val="22"/>
        </w:rPr>
      </w:pPr>
      <w:r w:rsidRPr="00ED4E9B">
        <w:rPr>
          <w:rFonts w:ascii="Times New Roman" w:hAnsi="Times New Roman"/>
          <w:sz w:val="22"/>
          <w:szCs w:val="22"/>
        </w:rPr>
        <w:t>a production quality assurance certificate or other document issued under section 3 of Annex VII of Directive 98/79/EC</w:t>
      </w:r>
      <w:r>
        <w:rPr>
          <w:rFonts w:ascii="Times New Roman" w:hAnsi="Times New Roman"/>
          <w:sz w:val="22"/>
          <w:szCs w:val="22"/>
        </w:rPr>
        <w:t>; and</w:t>
      </w:r>
    </w:p>
    <w:p w14:paraId="378D900C" w14:textId="725395FF" w:rsidR="005A7CC2" w:rsidRPr="00ED4E9B" w:rsidRDefault="005A7CC2" w:rsidP="00ED4E9B">
      <w:pPr>
        <w:pStyle w:val="ListParagraph"/>
        <w:keepNext/>
        <w:numPr>
          <w:ilvl w:val="0"/>
          <w:numId w:val="1"/>
        </w:numPr>
        <w:rPr>
          <w:rFonts w:ascii="Times New Roman" w:hAnsi="Times New Roman"/>
          <w:sz w:val="22"/>
          <w:szCs w:val="22"/>
        </w:rPr>
      </w:pPr>
      <w:r>
        <w:rPr>
          <w:rFonts w:ascii="Times New Roman" w:hAnsi="Times New Roman"/>
          <w:sz w:val="22"/>
          <w:szCs w:val="22"/>
        </w:rPr>
        <w:t>an EC type-examination certificate issued under Annex V of Directive 98/79/EC.</w:t>
      </w:r>
    </w:p>
    <w:p w14:paraId="1BF7FDD8" w14:textId="77777777" w:rsidR="005A7CC2" w:rsidRDefault="005A7CC2" w:rsidP="007F3239">
      <w:pPr>
        <w:keepNext/>
        <w:rPr>
          <w:rFonts w:ascii="Times New Roman" w:hAnsi="Times New Roman"/>
          <w:b/>
          <w:sz w:val="22"/>
          <w:szCs w:val="22"/>
        </w:rPr>
      </w:pPr>
    </w:p>
    <w:p w14:paraId="057793DB" w14:textId="738CE4CF" w:rsidR="005A7CC2" w:rsidRDefault="005A7CC2" w:rsidP="007F3239">
      <w:pPr>
        <w:keepNext/>
        <w:rPr>
          <w:rFonts w:ascii="Times New Roman" w:hAnsi="Times New Roman"/>
          <w:b/>
          <w:sz w:val="22"/>
          <w:szCs w:val="22"/>
        </w:rPr>
      </w:pPr>
      <w:r>
        <w:rPr>
          <w:rFonts w:ascii="Times New Roman" w:hAnsi="Times New Roman"/>
          <w:b/>
          <w:sz w:val="22"/>
          <w:szCs w:val="22"/>
        </w:rPr>
        <w:t>Items 12 and 13</w:t>
      </w:r>
      <w:r w:rsidRPr="005A7CC2">
        <w:rPr>
          <w:rFonts w:ascii="Times New Roman" w:hAnsi="Times New Roman"/>
          <w:b/>
          <w:sz w:val="22"/>
          <w:szCs w:val="22"/>
        </w:rPr>
        <w:t xml:space="preserve"> </w:t>
      </w:r>
      <w:r w:rsidRPr="005A7CC2">
        <w:rPr>
          <w:rFonts w:ascii="Times New Roman" w:hAnsi="Times New Roman"/>
          <w:b/>
          <w:sz w:val="22"/>
          <w:szCs w:val="22"/>
        </w:rPr>
        <w:softHyphen/>
      </w:r>
      <w:r>
        <w:rPr>
          <w:rFonts w:ascii="Times New Roman" w:hAnsi="Times New Roman"/>
          <w:b/>
          <w:sz w:val="22"/>
          <w:szCs w:val="22"/>
        </w:rPr>
        <w:t xml:space="preserve"> Part 3 of Schedule 2 (table item 3) and Part 3 of Schedule 2 (table item 4) </w:t>
      </w:r>
    </w:p>
    <w:p w14:paraId="2C443728" w14:textId="77777777" w:rsidR="005A7CC2" w:rsidRDefault="005A7CC2" w:rsidP="007F3239">
      <w:pPr>
        <w:keepNext/>
        <w:rPr>
          <w:rFonts w:ascii="Times New Roman" w:hAnsi="Times New Roman"/>
          <w:b/>
          <w:sz w:val="22"/>
          <w:szCs w:val="22"/>
        </w:rPr>
      </w:pPr>
    </w:p>
    <w:p w14:paraId="005E1A06" w14:textId="2459B99D" w:rsidR="00604B6B" w:rsidRDefault="005A7CC2" w:rsidP="005A7CC2">
      <w:pPr>
        <w:keepNext/>
        <w:rPr>
          <w:rFonts w:ascii="Times New Roman" w:hAnsi="Times New Roman"/>
          <w:bCs/>
          <w:sz w:val="22"/>
          <w:szCs w:val="22"/>
        </w:rPr>
      </w:pPr>
      <w:r>
        <w:rPr>
          <w:rFonts w:ascii="Times New Roman" w:hAnsi="Times New Roman"/>
          <w:bCs/>
          <w:sz w:val="22"/>
          <w:szCs w:val="22"/>
        </w:rPr>
        <w:t>These items repeal and replace table items 3 and 4 in Part 3 of Schedule 2. The effect of these amendments is that</w:t>
      </w:r>
      <w:r w:rsidR="00604B6B">
        <w:rPr>
          <w:rFonts w:ascii="Times New Roman" w:hAnsi="Times New Roman"/>
          <w:bCs/>
          <w:sz w:val="22"/>
          <w:szCs w:val="22"/>
        </w:rPr>
        <w:t xml:space="preserve"> an application for inclusion of a Class 4 IVD medical device submitted before 1</w:t>
      </w:r>
      <w:r w:rsidR="000B6425">
        <w:rPr>
          <w:rFonts w:ascii="Times New Roman" w:hAnsi="Times New Roman"/>
          <w:bCs/>
          <w:sz w:val="22"/>
          <w:szCs w:val="22"/>
        </w:rPr>
        <w:t> </w:t>
      </w:r>
      <w:r w:rsidR="00604B6B">
        <w:rPr>
          <w:rFonts w:ascii="Times New Roman" w:hAnsi="Times New Roman"/>
          <w:bCs/>
          <w:sz w:val="22"/>
          <w:szCs w:val="22"/>
        </w:rPr>
        <w:t xml:space="preserve">January 2028 and accompanied by conformity assessment evidence that is recognised by a notified body, must be accompanied by: </w:t>
      </w:r>
    </w:p>
    <w:p w14:paraId="6045F83E" w14:textId="30CA4274" w:rsidR="00604B6B" w:rsidRDefault="005A7CC2" w:rsidP="00604B6B">
      <w:pPr>
        <w:pStyle w:val="ListParagraph"/>
        <w:keepNext/>
        <w:numPr>
          <w:ilvl w:val="0"/>
          <w:numId w:val="1"/>
        </w:numPr>
        <w:rPr>
          <w:rFonts w:ascii="Times New Roman" w:hAnsi="Times New Roman"/>
          <w:sz w:val="22"/>
          <w:szCs w:val="22"/>
        </w:rPr>
      </w:pPr>
      <w:r w:rsidRPr="00ED4E9B">
        <w:rPr>
          <w:rFonts w:ascii="Times New Roman" w:hAnsi="Times New Roman"/>
          <w:sz w:val="22"/>
          <w:szCs w:val="22"/>
        </w:rPr>
        <w:t>a full quality assurance system certificate or other document issued under section 3 of Annex IV of Directive 98/79/EC</w:t>
      </w:r>
      <w:r w:rsidR="00604B6B">
        <w:rPr>
          <w:rFonts w:ascii="Times New Roman" w:hAnsi="Times New Roman"/>
          <w:sz w:val="22"/>
          <w:szCs w:val="22"/>
        </w:rPr>
        <w:t xml:space="preserve"> and an EC design-examination certificate issued under </w:t>
      </w:r>
      <w:r w:rsidR="00604B6B" w:rsidRPr="00604B6B">
        <w:rPr>
          <w:rFonts w:ascii="Times New Roman" w:hAnsi="Times New Roman"/>
          <w:bCs/>
          <w:sz w:val="22"/>
          <w:szCs w:val="22"/>
        </w:rPr>
        <w:t>Annex</w:t>
      </w:r>
      <w:r w:rsidR="00604B6B">
        <w:rPr>
          <w:rFonts w:ascii="Times New Roman" w:hAnsi="Times New Roman"/>
          <w:bCs/>
          <w:sz w:val="22"/>
          <w:szCs w:val="22"/>
        </w:rPr>
        <w:t xml:space="preserve"> IV of Directive 98/79/EC; </w:t>
      </w:r>
      <w:r w:rsidRPr="00ED4E9B">
        <w:rPr>
          <w:rFonts w:ascii="Times New Roman" w:hAnsi="Times New Roman"/>
          <w:bCs/>
          <w:sz w:val="22"/>
          <w:szCs w:val="22"/>
        </w:rPr>
        <w:t>or</w:t>
      </w:r>
      <w:r w:rsidRPr="00ED4E9B">
        <w:rPr>
          <w:rFonts w:ascii="Times New Roman" w:hAnsi="Times New Roman"/>
          <w:sz w:val="22"/>
          <w:szCs w:val="22"/>
        </w:rPr>
        <w:t xml:space="preserve"> </w:t>
      </w:r>
    </w:p>
    <w:p w14:paraId="6A4101A8" w14:textId="64E7B621" w:rsidR="005A7CC2" w:rsidRPr="00ED4E9B" w:rsidRDefault="005A7CC2" w:rsidP="00604B6B">
      <w:pPr>
        <w:pStyle w:val="ListParagraph"/>
        <w:keepNext/>
        <w:numPr>
          <w:ilvl w:val="0"/>
          <w:numId w:val="1"/>
        </w:numPr>
        <w:rPr>
          <w:rFonts w:ascii="Times New Roman" w:hAnsi="Times New Roman"/>
          <w:b/>
          <w:sz w:val="22"/>
          <w:szCs w:val="22"/>
        </w:rPr>
      </w:pPr>
      <w:r w:rsidRPr="00ED4E9B">
        <w:rPr>
          <w:rFonts w:ascii="Times New Roman" w:hAnsi="Times New Roman"/>
          <w:sz w:val="22"/>
          <w:szCs w:val="22"/>
        </w:rPr>
        <w:t>a production quality assurance certificate or other document issued under Annex VII of Directive 98/79/EC</w:t>
      </w:r>
      <w:r w:rsidR="00604B6B">
        <w:rPr>
          <w:rFonts w:ascii="Times New Roman" w:hAnsi="Times New Roman"/>
          <w:sz w:val="22"/>
          <w:szCs w:val="22"/>
        </w:rPr>
        <w:t xml:space="preserve"> and an EC type-examination certificate issued under Annex V of Directive 98/79/EC.</w:t>
      </w:r>
    </w:p>
    <w:p w14:paraId="3C5506F0" w14:textId="77777777" w:rsidR="00E30C11" w:rsidRPr="005A7CC2" w:rsidRDefault="00E30C11" w:rsidP="00024B5E">
      <w:pPr>
        <w:spacing w:line="276" w:lineRule="auto"/>
        <w:jc w:val="right"/>
        <w:rPr>
          <w:rFonts w:ascii="Times New Roman" w:hAnsi="Times New Roman"/>
          <w:b/>
          <w:bCs/>
          <w:sz w:val="22"/>
          <w:szCs w:val="22"/>
        </w:rPr>
      </w:pPr>
      <w:r w:rsidRPr="005A7CC2">
        <w:rPr>
          <w:rFonts w:ascii="Times New Roman" w:hAnsi="Times New Roman"/>
          <w:b/>
          <w:bCs/>
          <w:sz w:val="22"/>
          <w:szCs w:val="22"/>
        </w:rPr>
        <w:br w:type="page"/>
      </w:r>
      <w:r w:rsidRPr="005A7CC2">
        <w:rPr>
          <w:rFonts w:ascii="Times New Roman" w:hAnsi="Times New Roman"/>
          <w:b/>
          <w:bCs/>
          <w:sz w:val="22"/>
          <w:szCs w:val="22"/>
        </w:rPr>
        <w:lastRenderedPageBreak/>
        <w:t>Attachment B</w:t>
      </w:r>
    </w:p>
    <w:p w14:paraId="24F803D3" w14:textId="77777777" w:rsidR="00E30C11" w:rsidRPr="005A7CC2" w:rsidRDefault="00E30C11" w:rsidP="00E30C11">
      <w:pPr>
        <w:shd w:val="clear" w:color="auto" w:fill="FFFFFF"/>
        <w:spacing w:before="100" w:beforeAutospacing="1" w:after="120"/>
        <w:jc w:val="center"/>
        <w:rPr>
          <w:rFonts w:ascii="Times New Roman" w:hAnsi="Times New Roman"/>
          <w:b/>
          <w:bCs/>
          <w:sz w:val="22"/>
          <w:szCs w:val="22"/>
        </w:rPr>
      </w:pPr>
      <w:r w:rsidRPr="005A7CC2">
        <w:rPr>
          <w:rFonts w:ascii="Times New Roman" w:hAnsi="Times New Roman"/>
          <w:b/>
          <w:bCs/>
          <w:sz w:val="22"/>
          <w:szCs w:val="22"/>
        </w:rPr>
        <w:t>Statement of Compatibility with Human Rights</w:t>
      </w:r>
    </w:p>
    <w:p w14:paraId="59B778F0" w14:textId="77777777" w:rsidR="00E30C11" w:rsidRPr="005A7CC2" w:rsidRDefault="00E30C11" w:rsidP="00E30C11">
      <w:pPr>
        <w:shd w:val="clear" w:color="auto" w:fill="FFFFFF"/>
        <w:spacing w:before="100" w:beforeAutospacing="1"/>
        <w:ind w:right="-142"/>
        <w:jc w:val="center"/>
        <w:rPr>
          <w:rFonts w:ascii="Times New Roman" w:hAnsi="Times New Roman"/>
          <w:sz w:val="22"/>
          <w:szCs w:val="22"/>
        </w:rPr>
      </w:pPr>
      <w:r w:rsidRPr="005A7CC2">
        <w:rPr>
          <w:rFonts w:ascii="Times New Roman" w:hAnsi="Times New Roman"/>
          <w:sz w:val="22"/>
          <w:szCs w:val="22"/>
        </w:rPr>
        <w:t>Prepared in accordance with Part 3 of the</w:t>
      </w:r>
      <w:r w:rsidRPr="005A7CC2">
        <w:rPr>
          <w:rFonts w:ascii="Times New Roman" w:hAnsi="Times New Roman"/>
          <w:iCs/>
          <w:sz w:val="22"/>
          <w:szCs w:val="22"/>
        </w:rPr>
        <w:t xml:space="preserve"> </w:t>
      </w:r>
      <w:r w:rsidRPr="005A7CC2">
        <w:rPr>
          <w:rFonts w:ascii="Times New Roman" w:hAnsi="Times New Roman"/>
          <w:i/>
          <w:iCs/>
          <w:sz w:val="22"/>
          <w:szCs w:val="22"/>
        </w:rPr>
        <w:t>Human Rights (Parliamentary Scrutiny) Act 2011</w:t>
      </w:r>
      <w:r w:rsidRPr="005A7CC2">
        <w:rPr>
          <w:rFonts w:ascii="Times New Roman" w:hAnsi="Times New Roman"/>
          <w:sz w:val="22"/>
          <w:szCs w:val="22"/>
        </w:rPr>
        <w:t>.</w:t>
      </w:r>
    </w:p>
    <w:p w14:paraId="6EA76D5F" w14:textId="77777777" w:rsidR="00E30C11" w:rsidRPr="005A7CC2" w:rsidRDefault="00E30C11" w:rsidP="00E30C11">
      <w:pPr>
        <w:spacing w:before="60"/>
        <w:jc w:val="center"/>
        <w:rPr>
          <w:rFonts w:ascii="Times New Roman" w:hAnsi="Times New Roman"/>
          <w:b/>
          <w:i/>
          <w:sz w:val="22"/>
          <w:szCs w:val="22"/>
        </w:rPr>
      </w:pPr>
    </w:p>
    <w:p w14:paraId="281BBBB7" w14:textId="77777777" w:rsidR="00E30C11" w:rsidRPr="005A7CC2" w:rsidRDefault="00E30C11" w:rsidP="00E30C11">
      <w:pPr>
        <w:jc w:val="center"/>
        <w:rPr>
          <w:rFonts w:ascii="Times New Roman" w:hAnsi="Times New Roman"/>
          <w:sz w:val="22"/>
          <w:szCs w:val="22"/>
        </w:rPr>
      </w:pPr>
      <w:r w:rsidRPr="005A7CC2">
        <w:rPr>
          <w:rFonts w:ascii="Times New Roman" w:hAnsi="Times New Roman"/>
          <w:b/>
          <w:bCs/>
          <w:i/>
          <w:sz w:val="22"/>
          <w:szCs w:val="22"/>
        </w:rPr>
        <w:t>Therapeutic Goods (Medical Devices—Information that Must Accompany Application for Inclusion) Amendment Determination (No. 3) 2024</w:t>
      </w:r>
    </w:p>
    <w:p w14:paraId="4AFD2C07" w14:textId="77777777" w:rsidR="00E30C11" w:rsidRPr="005A7CC2" w:rsidRDefault="00E30C11" w:rsidP="00E30C11">
      <w:pPr>
        <w:rPr>
          <w:rFonts w:ascii="Times New Roman" w:hAnsi="Times New Roman"/>
          <w:sz w:val="22"/>
          <w:szCs w:val="22"/>
        </w:rPr>
      </w:pPr>
    </w:p>
    <w:p w14:paraId="6D8EEC7F"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5A7CC2">
        <w:rPr>
          <w:rFonts w:ascii="Times New Roman" w:hAnsi="Times New Roman"/>
          <w:i/>
          <w:sz w:val="22"/>
          <w:szCs w:val="22"/>
        </w:rPr>
        <w:t>Human Rights (Parliamentary Scrutiny) Act 2011</w:t>
      </w:r>
      <w:r w:rsidRPr="005A7CC2">
        <w:rPr>
          <w:rFonts w:ascii="Times New Roman" w:hAnsi="Times New Roman"/>
          <w:sz w:val="22"/>
          <w:szCs w:val="22"/>
        </w:rPr>
        <w:t>.</w:t>
      </w:r>
    </w:p>
    <w:p w14:paraId="1F13A9D1" w14:textId="77777777" w:rsidR="00E30C11" w:rsidRPr="005A7CC2" w:rsidRDefault="00E30C11" w:rsidP="00E30C11">
      <w:pPr>
        <w:rPr>
          <w:rFonts w:ascii="Times New Roman" w:hAnsi="Times New Roman"/>
          <w:sz w:val="22"/>
          <w:szCs w:val="22"/>
        </w:rPr>
      </w:pPr>
    </w:p>
    <w:p w14:paraId="50667D22" w14:textId="77777777" w:rsidR="00E30C11" w:rsidRPr="005A7CC2" w:rsidRDefault="00E30C11" w:rsidP="00E30C11">
      <w:pPr>
        <w:rPr>
          <w:rFonts w:ascii="Times New Roman" w:hAnsi="Times New Roman"/>
          <w:b/>
          <w:sz w:val="22"/>
          <w:szCs w:val="22"/>
        </w:rPr>
      </w:pPr>
      <w:r w:rsidRPr="005A7CC2">
        <w:rPr>
          <w:rFonts w:ascii="Times New Roman" w:hAnsi="Times New Roman"/>
          <w:b/>
          <w:sz w:val="22"/>
          <w:szCs w:val="22"/>
        </w:rPr>
        <w:t>Overview of legislative instrument</w:t>
      </w:r>
    </w:p>
    <w:p w14:paraId="06DB62C3" w14:textId="77777777" w:rsidR="00E30C11" w:rsidRPr="005A7CC2" w:rsidRDefault="00E30C11" w:rsidP="00E30C11">
      <w:pPr>
        <w:rPr>
          <w:rFonts w:ascii="Times New Roman" w:hAnsi="Times New Roman"/>
          <w:b/>
          <w:sz w:val="22"/>
          <w:szCs w:val="22"/>
        </w:rPr>
      </w:pPr>
    </w:p>
    <w:p w14:paraId="0C266E81" w14:textId="6E6467FD" w:rsidR="00452FE2" w:rsidRPr="005A7CC2" w:rsidRDefault="00452FE2" w:rsidP="00452FE2">
      <w:pPr>
        <w:autoSpaceDE w:val="0"/>
        <w:autoSpaceDN w:val="0"/>
        <w:adjustRightInd w:val="0"/>
        <w:jc w:val="both"/>
        <w:rPr>
          <w:rFonts w:ascii="Times New Roman" w:hAnsi="Times New Roman"/>
          <w:sz w:val="22"/>
          <w:szCs w:val="22"/>
        </w:rPr>
      </w:pPr>
      <w:r w:rsidRPr="005A7CC2">
        <w:rPr>
          <w:rFonts w:ascii="Times New Roman" w:hAnsi="Times New Roman"/>
          <w:sz w:val="22"/>
          <w:szCs w:val="22"/>
        </w:rPr>
        <w:t>Section 41FDB of the</w:t>
      </w:r>
      <w:r>
        <w:rPr>
          <w:rFonts w:ascii="Times New Roman" w:hAnsi="Times New Roman"/>
          <w:sz w:val="22"/>
          <w:szCs w:val="22"/>
        </w:rPr>
        <w:t xml:space="preserve"> </w:t>
      </w:r>
      <w:r>
        <w:rPr>
          <w:rFonts w:ascii="Times New Roman" w:hAnsi="Times New Roman"/>
          <w:i/>
          <w:iCs/>
          <w:sz w:val="22"/>
          <w:szCs w:val="22"/>
        </w:rPr>
        <w:t xml:space="preserve">Therapeutic Goods Act 1989 </w:t>
      </w:r>
      <w:r>
        <w:rPr>
          <w:rFonts w:ascii="Times New Roman" w:hAnsi="Times New Roman"/>
          <w:sz w:val="22"/>
          <w:szCs w:val="22"/>
        </w:rPr>
        <w:t xml:space="preserve">(“the Act”) </w:t>
      </w:r>
      <w:r w:rsidRPr="005A7CC2">
        <w:rPr>
          <w:rFonts w:ascii="Times New Roman" w:hAnsi="Times New Roman"/>
          <w:sz w:val="22"/>
          <w:szCs w:val="22"/>
        </w:rPr>
        <w:t>sets out preliminary assessment requirements in relation to an application to the Secretary for a kind of medical device to be included in the Australian Register of Therapeutic Goods (“the Register”). Relevantly, paragraph 41FDB(2)(d) provides that such an application must be accompanied by information that is of a kind determined under subsection (7) and is in a form determined under subsection (8).</w:t>
      </w:r>
    </w:p>
    <w:p w14:paraId="3969FC51" w14:textId="77777777" w:rsidR="00452FE2" w:rsidRPr="005A7CC2" w:rsidRDefault="00452FE2" w:rsidP="00452FE2">
      <w:pPr>
        <w:autoSpaceDE w:val="0"/>
        <w:autoSpaceDN w:val="0"/>
        <w:adjustRightInd w:val="0"/>
        <w:rPr>
          <w:rFonts w:ascii="Times New Roman" w:hAnsi="Times New Roman"/>
          <w:sz w:val="22"/>
          <w:szCs w:val="22"/>
        </w:rPr>
      </w:pPr>
    </w:p>
    <w:p w14:paraId="320184C5" w14:textId="77777777"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w:t>
      </w:r>
      <w:r w:rsidRPr="005A7CC2">
        <w:rPr>
          <w:rFonts w:ascii="Times New Roman" w:hAnsi="Times New Roman"/>
          <w:i/>
          <w:iCs/>
          <w:sz w:val="22"/>
          <w:szCs w:val="22"/>
        </w:rPr>
        <w:t>Therapeutic Goods (Medical Devices—Information that Must Accompany Application for Inclusion) Determination 2018</w:t>
      </w:r>
      <w:r w:rsidRPr="005A7CC2">
        <w:rPr>
          <w:rFonts w:ascii="Times New Roman" w:hAnsi="Times New Roman"/>
          <w:sz w:val="22"/>
          <w:szCs w:val="22"/>
        </w:rPr>
        <w:t xml:space="preserve"> (“the Principal Determination”) is a legislative instrument made under subsections 41</w:t>
      </w:r>
      <w:proofErr w:type="gramStart"/>
      <w:r w:rsidRPr="005A7CC2">
        <w:rPr>
          <w:rFonts w:ascii="Times New Roman" w:hAnsi="Times New Roman"/>
          <w:sz w:val="22"/>
          <w:szCs w:val="22"/>
        </w:rPr>
        <w:t>FDB(</w:t>
      </w:r>
      <w:proofErr w:type="gramEnd"/>
      <w:r w:rsidRPr="005A7CC2">
        <w:rPr>
          <w:rFonts w:ascii="Times New Roman" w:hAnsi="Times New Roman"/>
          <w:sz w:val="22"/>
          <w:szCs w:val="22"/>
        </w:rPr>
        <w:t>7) and (8) of the Act. It determines the kind of information, and the form of information, that must accompany an application for a kind of medical device to be included in the Register (“application for inclusion”).</w:t>
      </w:r>
    </w:p>
    <w:p w14:paraId="7F4F4F22" w14:textId="77777777" w:rsidR="00452FE2" w:rsidRPr="005A7CC2" w:rsidRDefault="00452FE2" w:rsidP="00452FE2">
      <w:pPr>
        <w:autoSpaceDE w:val="0"/>
        <w:autoSpaceDN w:val="0"/>
        <w:adjustRightInd w:val="0"/>
        <w:rPr>
          <w:rFonts w:ascii="Times New Roman" w:hAnsi="Times New Roman"/>
          <w:sz w:val="22"/>
          <w:szCs w:val="22"/>
        </w:rPr>
      </w:pPr>
    </w:p>
    <w:p w14:paraId="209BB5D4" w14:textId="77777777" w:rsidR="00452FE2" w:rsidRPr="005A7CC2" w:rsidRDefault="00452FE2" w:rsidP="00452FE2">
      <w:pPr>
        <w:rPr>
          <w:rFonts w:ascii="Times New Roman" w:hAnsi="Times New Roman"/>
          <w:sz w:val="22"/>
          <w:szCs w:val="22"/>
        </w:rPr>
      </w:pPr>
      <w:r w:rsidRPr="005A7CC2">
        <w:rPr>
          <w:rFonts w:ascii="Times New Roman" w:hAnsi="Times New Roman"/>
          <w:sz w:val="22"/>
          <w:szCs w:val="22"/>
        </w:rPr>
        <w:t xml:space="preserve">The </w:t>
      </w:r>
      <w:r w:rsidRPr="005A7CC2">
        <w:rPr>
          <w:rFonts w:ascii="Times New Roman" w:hAnsi="Times New Roman"/>
          <w:i/>
          <w:sz w:val="22"/>
          <w:szCs w:val="22"/>
        </w:rPr>
        <w:t xml:space="preserve">Therapeutic Goods (Medical Devices—Information that Must Accompany Application for Inclusion) Amendment </w:t>
      </w:r>
      <w:r w:rsidRPr="005A7CC2">
        <w:rPr>
          <w:rFonts w:ascii="Times New Roman" w:hAnsi="Times New Roman"/>
          <w:bCs/>
          <w:i/>
          <w:sz w:val="22"/>
          <w:szCs w:val="22"/>
        </w:rPr>
        <w:t>Determination (No. 3)</w:t>
      </w:r>
      <w:r w:rsidRPr="005A7CC2">
        <w:rPr>
          <w:rFonts w:ascii="Times New Roman" w:hAnsi="Times New Roman"/>
          <w:i/>
          <w:sz w:val="22"/>
          <w:szCs w:val="22"/>
        </w:rPr>
        <w:t xml:space="preserve"> 2024 </w:t>
      </w:r>
      <w:r w:rsidRPr="005A7CC2">
        <w:rPr>
          <w:rFonts w:ascii="Times New Roman" w:hAnsi="Times New Roman"/>
          <w:sz w:val="22"/>
          <w:szCs w:val="22"/>
        </w:rPr>
        <w:t>(“the Amendment Determination”) is made under subsection 41</w:t>
      </w:r>
      <w:proofErr w:type="gramStart"/>
      <w:r w:rsidRPr="005A7CC2">
        <w:rPr>
          <w:rFonts w:ascii="Times New Roman" w:hAnsi="Times New Roman"/>
          <w:sz w:val="22"/>
          <w:szCs w:val="22"/>
        </w:rPr>
        <w:t>FDB(</w:t>
      </w:r>
      <w:proofErr w:type="gramEnd"/>
      <w:r w:rsidRPr="005A7CC2">
        <w:rPr>
          <w:rFonts w:ascii="Times New Roman" w:hAnsi="Times New Roman"/>
          <w:sz w:val="22"/>
          <w:szCs w:val="22"/>
        </w:rPr>
        <w:t xml:space="preserve">7) of the Act. It amends the Principal Determination to align the transition timelines </w:t>
      </w:r>
      <w:r w:rsidRPr="00381D34">
        <w:rPr>
          <w:rFonts w:ascii="Times New Roman" w:hAnsi="Times New Roman"/>
          <w:sz w:val="22"/>
          <w:szCs w:val="22"/>
        </w:rPr>
        <w:t xml:space="preserve">for acceptability </w:t>
      </w:r>
      <w:r w:rsidRPr="005A7CC2">
        <w:rPr>
          <w:rFonts w:ascii="Times New Roman" w:hAnsi="Times New Roman"/>
          <w:sz w:val="22"/>
          <w:szCs w:val="22"/>
        </w:rPr>
        <w:t xml:space="preserve">of European regulatory approvals with those under </w:t>
      </w:r>
      <w:r w:rsidRPr="005A7CC2">
        <w:rPr>
          <w:rFonts w:ascii="Times New Roman" w:hAnsi="Times New Roman"/>
          <w:i/>
          <w:iCs/>
          <w:sz w:val="22"/>
          <w:szCs w:val="22"/>
        </w:rPr>
        <w:t xml:space="preserve">Regulation (EU) 2017/746 of the European Parliament and of the Council of 5 April 2017 on in vitro diagnostic medical devices </w:t>
      </w:r>
      <w:r w:rsidRPr="005A7CC2">
        <w:rPr>
          <w:rFonts w:ascii="Times New Roman" w:hAnsi="Times New Roman"/>
          <w:sz w:val="22"/>
          <w:szCs w:val="22"/>
        </w:rPr>
        <w:t>(“EU IVD regulation”)</w:t>
      </w:r>
      <w:r>
        <w:rPr>
          <w:rFonts w:ascii="Times New Roman" w:hAnsi="Times New Roman"/>
          <w:sz w:val="22"/>
          <w:szCs w:val="22"/>
        </w:rPr>
        <w:t xml:space="preserve">. The Amendment Determination also introduces requirements to provide evidence </w:t>
      </w:r>
      <w:r w:rsidRPr="005A7CC2">
        <w:rPr>
          <w:rFonts w:ascii="Times New Roman" w:hAnsi="Times New Roman"/>
          <w:sz w:val="22"/>
          <w:szCs w:val="22"/>
        </w:rPr>
        <w:t xml:space="preserve">that steps are being taken by the manufacturer </w:t>
      </w:r>
      <w:r>
        <w:rPr>
          <w:rFonts w:ascii="Times New Roman" w:hAnsi="Times New Roman"/>
          <w:sz w:val="22"/>
          <w:szCs w:val="22"/>
        </w:rPr>
        <w:t>of a</w:t>
      </w:r>
      <w:r w:rsidRPr="005A7CC2">
        <w:rPr>
          <w:rFonts w:ascii="Times New Roman" w:hAnsi="Times New Roman"/>
          <w:sz w:val="22"/>
          <w:szCs w:val="22"/>
        </w:rPr>
        <w:t xml:space="preserve"> Class 2, Class 3 </w:t>
      </w:r>
      <w:r>
        <w:rPr>
          <w:rFonts w:ascii="Times New Roman" w:hAnsi="Times New Roman"/>
          <w:sz w:val="22"/>
          <w:szCs w:val="22"/>
        </w:rPr>
        <w:t>or</w:t>
      </w:r>
      <w:r w:rsidRPr="005A7CC2">
        <w:rPr>
          <w:rFonts w:ascii="Times New Roman" w:hAnsi="Times New Roman"/>
          <w:sz w:val="22"/>
          <w:szCs w:val="22"/>
        </w:rPr>
        <w:t xml:space="preserve"> Class 4 in vitro diagnostic medical device (“IVD medical device”)</w:t>
      </w:r>
      <w:r>
        <w:rPr>
          <w:rFonts w:ascii="Times New Roman" w:hAnsi="Times New Roman"/>
          <w:sz w:val="22"/>
          <w:szCs w:val="22"/>
        </w:rPr>
        <w:t xml:space="preserve"> to </w:t>
      </w:r>
      <w:r w:rsidRPr="005A7CC2">
        <w:rPr>
          <w:rFonts w:ascii="Times New Roman" w:hAnsi="Times New Roman"/>
          <w:sz w:val="22"/>
          <w:szCs w:val="22"/>
        </w:rPr>
        <w:t xml:space="preserve">transition to </w:t>
      </w:r>
      <w:r>
        <w:rPr>
          <w:rFonts w:ascii="Times New Roman" w:hAnsi="Times New Roman"/>
          <w:sz w:val="22"/>
          <w:szCs w:val="22"/>
        </w:rPr>
        <w:t xml:space="preserve">compliance with </w:t>
      </w:r>
      <w:r w:rsidRPr="005A7CC2">
        <w:rPr>
          <w:rFonts w:ascii="Times New Roman" w:hAnsi="Times New Roman"/>
          <w:sz w:val="22"/>
          <w:szCs w:val="22"/>
        </w:rPr>
        <w:t>the EU IVD regulation.</w:t>
      </w:r>
    </w:p>
    <w:p w14:paraId="719A7721" w14:textId="77777777" w:rsidR="000B6425" w:rsidRPr="005A7CC2" w:rsidRDefault="000B6425" w:rsidP="000B6425">
      <w:pPr>
        <w:autoSpaceDE w:val="0"/>
        <w:autoSpaceDN w:val="0"/>
        <w:adjustRightInd w:val="0"/>
        <w:rPr>
          <w:rFonts w:ascii="Times New Roman" w:hAnsi="Times New Roman"/>
          <w:sz w:val="22"/>
          <w:szCs w:val="22"/>
        </w:rPr>
      </w:pPr>
    </w:p>
    <w:p w14:paraId="4DD915E3" w14:textId="77777777" w:rsidR="000B6425" w:rsidRPr="00ED4E9B" w:rsidRDefault="000B6425" w:rsidP="000B6425">
      <w:pPr>
        <w:autoSpaceDE w:val="0"/>
        <w:autoSpaceDN w:val="0"/>
        <w:adjustRightInd w:val="0"/>
        <w:rPr>
          <w:rFonts w:ascii="Times New Roman" w:hAnsi="Times New Roman"/>
          <w:i/>
          <w:iCs/>
          <w:sz w:val="22"/>
          <w:szCs w:val="22"/>
        </w:rPr>
      </w:pPr>
      <w:r w:rsidRPr="00ED4E9B">
        <w:rPr>
          <w:rFonts w:ascii="Times New Roman" w:hAnsi="Times New Roman"/>
          <w:i/>
          <w:iCs/>
          <w:sz w:val="22"/>
          <w:szCs w:val="22"/>
        </w:rPr>
        <w:t>Background</w:t>
      </w:r>
    </w:p>
    <w:p w14:paraId="1C298AB2" w14:textId="77777777" w:rsidR="000B6425" w:rsidRPr="00860350" w:rsidRDefault="000B6425" w:rsidP="000B6425">
      <w:pPr>
        <w:autoSpaceDE w:val="0"/>
        <w:autoSpaceDN w:val="0"/>
        <w:adjustRightInd w:val="0"/>
        <w:rPr>
          <w:rFonts w:ascii="Times New Roman" w:hAnsi="Times New Roman"/>
          <w:sz w:val="22"/>
          <w:szCs w:val="22"/>
        </w:rPr>
      </w:pPr>
    </w:p>
    <w:p w14:paraId="038A3AF8" w14:textId="1F55C8D0"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Principal Determination requires an application for inclusion of a kind of medical device in the Register to be accompanied by conformity assessment documents which demonstrate that the manufacturer has applied appropriate conformity assessment procedures to its quality management system and to the </w:t>
      </w:r>
      <w:proofErr w:type="gramStart"/>
      <w:r w:rsidRPr="005A7CC2">
        <w:rPr>
          <w:rFonts w:ascii="Times New Roman" w:hAnsi="Times New Roman"/>
          <w:sz w:val="22"/>
          <w:szCs w:val="22"/>
        </w:rPr>
        <w:t>particular kind</w:t>
      </w:r>
      <w:proofErr w:type="gramEnd"/>
      <w:r w:rsidRPr="005A7CC2">
        <w:rPr>
          <w:rFonts w:ascii="Times New Roman" w:hAnsi="Times New Roman"/>
          <w:sz w:val="22"/>
          <w:szCs w:val="22"/>
        </w:rPr>
        <w:t xml:space="preserve"> of medical device. If an application for inclusion is not accompanied by the kind of information prescribed in the Principal Determination, the application will not pass preliminary assessment, and the Secretary must refuse the application (subsection</w:t>
      </w:r>
      <w:r>
        <w:rPr>
          <w:rFonts w:ascii="Times New Roman" w:hAnsi="Times New Roman"/>
          <w:sz w:val="22"/>
          <w:szCs w:val="22"/>
        </w:rPr>
        <w:t> </w:t>
      </w:r>
      <w:r w:rsidRPr="005A7CC2">
        <w:rPr>
          <w:rFonts w:ascii="Times New Roman" w:hAnsi="Times New Roman"/>
          <w:sz w:val="22"/>
          <w:szCs w:val="22"/>
        </w:rPr>
        <w:t>41FDB of the Act refers).</w:t>
      </w:r>
    </w:p>
    <w:p w14:paraId="6904EFDE" w14:textId="77777777" w:rsidR="00452FE2" w:rsidRPr="005A7CC2" w:rsidRDefault="00452FE2" w:rsidP="00452FE2">
      <w:pPr>
        <w:autoSpaceDE w:val="0"/>
        <w:autoSpaceDN w:val="0"/>
        <w:adjustRightInd w:val="0"/>
        <w:rPr>
          <w:rFonts w:ascii="Times New Roman" w:hAnsi="Times New Roman"/>
          <w:sz w:val="22"/>
          <w:szCs w:val="22"/>
        </w:rPr>
      </w:pPr>
    </w:p>
    <w:p w14:paraId="7D730531" w14:textId="77777777"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Section 6 of the Principal Determination prescribes the kind of information that must accompany an application for inclusion of an IVD medical device. Relevantly:</w:t>
      </w:r>
    </w:p>
    <w:p w14:paraId="409B1812" w14:textId="390585FD" w:rsidR="00452FE2" w:rsidRPr="005A7CC2" w:rsidRDefault="00452FE2" w:rsidP="00452FE2">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t>subsection 6(1) prescribes the kind of information that must accompany an application for inclusion of a Class 2 IVD medical device—being the conformity assessment documents that are specified by an item in the table in Part 1 of Schedule </w:t>
      </w:r>
      <w:proofErr w:type="gramStart"/>
      <w:r w:rsidRPr="005A7CC2">
        <w:rPr>
          <w:rFonts w:ascii="Times New Roman" w:hAnsi="Times New Roman"/>
          <w:sz w:val="22"/>
          <w:szCs w:val="22"/>
        </w:rPr>
        <w:t>2;</w:t>
      </w:r>
      <w:proofErr w:type="gramEnd"/>
      <w:r w:rsidRPr="005A7CC2">
        <w:rPr>
          <w:rFonts w:ascii="Times New Roman" w:hAnsi="Times New Roman"/>
          <w:sz w:val="22"/>
          <w:szCs w:val="22"/>
        </w:rPr>
        <w:t xml:space="preserve">  </w:t>
      </w:r>
    </w:p>
    <w:p w14:paraId="18F73A57" w14:textId="23F21E1E" w:rsidR="00452FE2" w:rsidRPr="005A7CC2" w:rsidRDefault="00452FE2" w:rsidP="00452FE2">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t>subsection 6(3) prescribes the kind of information that must accompany an application for inclusion of a Class 3 IVD medical device—being the conformity assessment documents that are specified by an item in the table in Part 2 of Schedule 2</w:t>
      </w:r>
      <w:r>
        <w:rPr>
          <w:rFonts w:ascii="Times New Roman" w:hAnsi="Times New Roman"/>
          <w:sz w:val="22"/>
          <w:szCs w:val="22"/>
        </w:rPr>
        <w:t>; and</w:t>
      </w:r>
    </w:p>
    <w:p w14:paraId="2DF86CB0" w14:textId="5BDA4BF5" w:rsidR="00452FE2" w:rsidRPr="005A7CC2" w:rsidRDefault="00452FE2" w:rsidP="00452FE2">
      <w:pPr>
        <w:pStyle w:val="ListParagraph"/>
        <w:numPr>
          <w:ilvl w:val="0"/>
          <w:numId w:val="3"/>
        </w:numPr>
        <w:autoSpaceDE w:val="0"/>
        <w:autoSpaceDN w:val="0"/>
        <w:adjustRightInd w:val="0"/>
        <w:rPr>
          <w:rFonts w:ascii="Times New Roman" w:hAnsi="Times New Roman"/>
          <w:sz w:val="22"/>
          <w:szCs w:val="22"/>
        </w:rPr>
      </w:pPr>
      <w:r w:rsidRPr="005A7CC2">
        <w:rPr>
          <w:rFonts w:ascii="Times New Roman" w:hAnsi="Times New Roman"/>
          <w:sz w:val="22"/>
          <w:szCs w:val="22"/>
        </w:rPr>
        <w:lastRenderedPageBreak/>
        <w:t>subsection 6(5) prescribes the kind of information that must accompany an application for inclusion of a Class 4 IVD medical device—being the conformity assessment documents that are specified by an item in the table in Part 3</w:t>
      </w:r>
      <w:r>
        <w:rPr>
          <w:rFonts w:ascii="Times New Roman" w:hAnsi="Times New Roman"/>
          <w:sz w:val="22"/>
          <w:szCs w:val="22"/>
        </w:rPr>
        <w:t xml:space="preserve"> </w:t>
      </w:r>
      <w:r w:rsidRPr="005A7CC2">
        <w:rPr>
          <w:rFonts w:ascii="Times New Roman" w:hAnsi="Times New Roman"/>
          <w:sz w:val="22"/>
          <w:szCs w:val="22"/>
        </w:rPr>
        <w:t>of Schedule 2.</w:t>
      </w:r>
    </w:p>
    <w:p w14:paraId="2E6E5E53" w14:textId="77777777" w:rsidR="00452FE2" w:rsidRPr="005A7CC2" w:rsidRDefault="00452FE2" w:rsidP="00452FE2">
      <w:pPr>
        <w:autoSpaceDE w:val="0"/>
        <w:autoSpaceDN w:val="0"/>
        <w:adjustRightInd w:val="0"/>
        <w:rPr>
          <w:rFonts w:ascii="Times New Roman" w:hAnsi="Times New Roman"/>
          <w:sz w:val="22"/>
          <w:szCs w:val="22"/>
        </w:rPr>
      </w:pPr>
    </w:p>
    <w:p w14:paraId="5B256D71" w14:textId="2E374DDB"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The tables in Schedule 2 to the Principal Determination set out the information that must accompany an application for inclusion. For each of the tables in Schedule 2, each item sets out conformity assessment documents, relating to the manufacturer’s quality management system and to product assessment (if any)</w:t>
      </w:r>
      <w:r>
        <w:rPr>
          <w:rFonts w:ascii="Times New Roman" w:hAnsi="Times New Roman"/>
          <w:sz w:val="22"/>
          <w:szCs w:val="22"/>
        </w:rPr>
        <w:t xml:space="preserve"> </w:t>
      </w:r>
      <w:r w:rsidRPr="005A7CC2">
        <w:rPr>
          <w:rFonts w:ascii="Times New Roman" w:hAnsi="Times New Roman"/>
          <w:sz w:val="22"/>
          <w:szCs w:val="22"/>
        </w:rPr>
        <w:t>that an applicant may seek to rely on to support their application</w:t>
      </w:r>
      <w:r>
        <w:rPr>
          <w:rFonts w:ascii="Times New Roman" w:hAnsi="Times New Roman"/>
          <w:sz w:val="22"/>
          <w:szCs w:val="22"/>
        </w:rPr>
        <w:t xml:space="preserve"> for inclusion</w:t>
      </w:r>
      <w:r w:rsidRPr="005A7CC2">
        <w:rPr>
          <w:rFonts w:ascii="Times New Roman" w:hAnsi="Times New Roman"/>
          <w:sz w:val="22"/>
          <w:szCs w:val="22"/>
        </w:rPr>
        <w:t>. A number of these pathways specify conformity assessment documents that are issued or recognised by comparable overseas regulators, such as notified bodies. Notified bodies are bodies that have been designated by a member state of the European Union (“EU”), and notified to the European Commission, to assess the conformity of medical devices, including IVD medical devices.</w:t>
      </w:r>
    </w:p>
    <w:p w14:paraId="45E47958" w14:textId="77777777" w:rsidR="00452FE2" w:rsidRPr="005A7CC2" w:rsidRDefault="00452FE2" w:rsidP="00452FE2">
      <w:pPr>
        <w:autoSpaceDE w:val="0"/>
        <w:autoSpaceDN w:val="0"/>
        <w:adjustRightInd w:val="0"/>
        <w:rPr>
          <w:rFonts w:ascii="Times New Roman" w:hAnsi="Times New Roman"/>
          <w:sz w:val="22"/>
          <w:szCs w:val="22"/>
        </w:rPr>
      </w:pPr>
    </w:p>
    <w:p w14:paraId="690FF105" w14:textId="77777777"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This reflects that for certain kinds of devices, the TGA will consider evidence from a comparable overseas regulator in support of an application for inclusion. This reduces regulatory burden for applicants who can rely on overseas conformity assessment documents in support of their application, and do not need to </w:t>
      </w:r>
      <w:r>
        <w:rPr>
          <w:rFonts w:ascii="Times New Roman" w:hAnsi="Times New Roman"/>
          <w:sz w:val="22"/>
          <w:szCs w:val="22"/>
        </w:rPr>
        <w:t xml:space="preserve">separately </w:t>
      </w:r>
      <w:r w:rsidRPr="005A7CC2">
        <w:rPr>
          <w:rFonts w:ascii="Times New Roman" w:hAnsi="Times New Roman"/>
          <w:sz w:val="22"/>
          <w:szCs w:val="22"/>
        </w:rPr>
        <w:t>apply for Australian conformity assessment documents.</w:t>
      </w:r>
    </w:p>
    <w:p w14:paraId="4932FB9F" w14:textId="77777777" w:rsidR="000B6425" w:rsidRPr="005A7CC2" w:rsidRDefault="000B6425" w:rsidP="000B6425">
      <w:pPr>
        <w:autoSpaceDE w:val="0"/>
        <w:autoSpaceDN w:val="0"/>
        <w:adjustRightInd w:val="0"/>
        <w:rPr>
          <w:rFonts w:ascii="Times New Roman" w:hAnsi="Times New Roman"/>
          <w:sz w:val="22"/>
          <w:szCs w:val="22"/>
        </w:rPr>
      </w:pPr>
    </w:p>
    <w:p w14:paraId="43EBEA63" w14:textId="77777777" w:rsidR="000B6425" w:rsidRPr="00ED4E9B" w:rsidRDefault="000B6425" w:rsidP="000B6425">
      <w:pPr>
        <w:autoSpaceDE w:val="0"/>
        <w:autoSpaceDN w:val="0"/>
        <w:adjustRightInd w:val="0"/>
        <w:rPr>
          <w:rFonts w:ascii="Times New Roman" w:hAnsi="Times New Roman"/>
          <w:i/>
          <w:iCs/>
          <w:sz w:val="22"/>
          <w:szCs w:val="22"/>
        </w:rPr>
      </w:pPr>
      <w:r w:rsidRPr="00ED4E9B">
        <w:rPr>
          <w:rFonts w:ascii="Times New Roman" w:hAnsi="Times New Roman"/>
          <w:i/>
          <w:iCs/>
          <w:sz w:val="22"/>
          <w:szCs w:val="22"/>
        </w:rPr>
        <w:t>Purpose</w:t>
      </w:r>
    </w:p>
    <w:p w14:paraId="4C8BB9D2" w14:textId="77777777" w:rsidR="000B6425" w:rsidRPr="005A7CC2" w:rsidRDefault="000B6425" w:rsidP="000B6425">
      <w:pPr>
        <w:autoSpaceDE w:val="0"/>
        <w:autoSpaceDN w:val="0"/>
        <w:adjustRightInd w:val="0"/>
        <w:rPr>
          <w:rFonts w:ascii="Times New Roman" w:hAnsi="Times New Roman"/>
          <w:b/>
          <w:bCs/>
          <w:sz w:val="22"/>
          <w:szCs w:val="22"/>
        </w:rPr>
      </w:pPr>
    </w:p>
    <w:p w14:paraId="4FA54FD1" w14:textId="30A3CDB2"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purpose of the Amendment Determination is to align the transition timelines for acceptability of European regulatory approvals with those under the EU IVD </w:t>
      </w:r>
      <w:proofErr w:type="gramStart"/>
      <w:r w:rsidRPr="005A7CC2">
        <w:rPr>
          <w:rFonts w:ascii="Times New Roman" w:hAnsi="Times New Roman"/>
          <w:sz w:val="22"/>
          <w:szCs w:val="22"/>
        </w:rPr>
        <w:t>regulation, and</w:t>
      </w:r>
      <w:proofErr w:type="gramEnd"/>
      <w:r w:rsidRPr="005A7CC2">
        <w:rPr>
          <w:rFonts w:ascii="Times New Roman" w:hAnsi="Times New Roman"/>
          <w:sz w:val="22"/>
          <w:szCs w:val="22"/>
        </w:rPr>
        <w:t xml:space="preserve"> </w:t>
      </w:r>
      <w:r>
        <w:rPr>
          <w:rFonts w:ascii="Times New Roman" w:hAnsi="Times New Roman"/>
          <w:sz w:val="22"/>
          <w:szCs w:val="22"/>
        </w:rPr>
        <w:t>introduce a requirement for evidence to demonstrate compliance with Article 110(3c) of the EU IVD regulation for</w:t>
      </w:r>
      <w:r w:rsidRPr="005A7CC2">
        <w:rPr>
          <w:rFonts w:ascii="Times New Roman" w:hAnsi="Times New Roman"/>
          <w:sz w:val="22"/>
          <w:szCs w:val="22"/>
        </w:rPr>
        <w:t xml:space="preserve"> Class 2, Class 3 and Class 4 IVD medical devices</w:t>
      </w:r>
      <w:r>
        <w:rPr>
          <w:rFonts w:ascii="Times New Roman" w:hAnsi="Times New Roman"/>
          <w:sz w:val="22"/>
          <w:szCs w:val="22"/>
        </w:rPr>
        <w:t xml:space="preserve"> where the application for inclusion is supported by evidence issued or recognised by a notified body</w:t>
      </w:r>
      <w:r w:rsidRPr="005A7CC2">
        <w:rPr>
          <w:rFonts w:ascii="Times New Roman" w:hAnsi="Times New Roman"/>
          <w:sz w:val="22"/>
          <w:szCs w:val="22"/>
        </w:rPr>
        <w:t>. The amendments reduce regulatory duplication and help ensure continued access to such devices in Australia</w:t>
      </w:r>
      <w:r>
        <w:rPr>
          <w:rFonts w:ascii="Times New Roman" w:hAnsi="Times New Roman"/>
          <w:sz w:val="22"/>
          <w:szCs w:val="22"/>
        </w:rPr>
        <w:t>, while ensuring that steps are being taken by manufacturers to transition to regulation under the EU IVD regulation</w:t>
      </w:r>
      <w:r w:rsidRPr="005A7CC2">
        <w:rPr>
          <w:rFonts w:ascii="Times New Roman" w:hAnsi="Times New Roman"/>
          <w:sz w:val="22"/>
          <w:szCs w:val="22"/>
        </w:rPr>
        <w:t>.</w:t>
      </w:r>
    </w:p>
    <w:p w14:paraId="13F3E7C2" w14:textId="77777777" w:rsidR="00452FE2" w:rsidRPr="005A7CC2" w:rsidRDefault="00452FE2" w:rsidP="00452FE2">
      <w:pPr>
        <w:autoSpaceDE w:val="0"/>
        <w:autoSpaceDN w:val="0"/>
        <w:adjustRightInd w:val="0"/>
        <w:rPr>
          <w:rFonts w:ascii="Times New Roman" w:hAnsi="Times New Roman"/>
          <w:sz w:val="22"/>
          <w:szCs w:val="22"/>
        </w:rPr>
      </w:pPr>
    </w:p>
    <w:p w14:paraId="0F0EC75C" w14:textId="77777777" w:rsidR="00452FE2" w:rsidRPr="005A7CC2" w:rsidRDefault="00452FE2" w:rsidP="00452FE2">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On 25 April 2024, the EU extended its transition timeframes for manufacturers to transition from </w:t>
      </w:r>
      <w:r>
        <w:rPr>
          <w:rFonts w:ascii="Times New Roman" w:hAnsi="Times New Roman"/>
          <w:sz w:val="22"/>
          <w:szCs w:val="22"/>
        </w:rPr>
        <w:t xml:space="preserve">regulation under </w:t>
      </w:r>
      <w:r w:rsidRPr="005A7CC2">
        <w:rPr>
          <w:rFonts w:ascii="Times New Roman" w:hAnsi="Times New Roman"/>
          <w:sz w:val="22"/>
          <w:szCs w:val="22"/>
        </w:rPr>
        <w:t xml:space="preserve">Directive 98/79/EC to </w:t>
      </w:r>
      <w:r>
        <w:rPr>
          <w:rFonts w:ascii="Times New Roman" w:hAnsi="Times New Roman"/>
          <w:sz w:val="22"/>
          <w:szCs w:val="22"/>
        </w:rPr>
        <w:t xml:space="preserve">regulation under </w:t>
      </w:r>
      <w:r w:rsidRPr="005A7CC2">
        <w:rPr>
          <w:rFonts w:ascii="Times New Roman" w:hAnsi="Times New Roman"/>
          <w:sz w:val="22"/>
          <w:szCs w:val="22"/>
        </w:rPr>
        <w:t>the EU IVD regulation. The extended transition timelines apply to manufacturers that meet the exemption criteria outlined in the EU IVD regulation until, relevantly:</w:t>
      </w:r>
    </w:p>
    <w:p w14:paraId="4502CBA5" w14:textId="77777777" w:rsidR="00452FE2" w:rsidRPr="005A7CC2" w:rsidRDefault="00452FE2" w:rsidP="00452FE2">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1 January 2030</w:t>
      </w:r>
      <w:r>
        <w:rPr>
          <w:rFonts w:ascii="Times New Roman" w:hAnsi="Times New Roman" w:cs="Times New Roman"/>
          <w:sz w:val="22"/>
          <w:szCs w:val="22"/>
        </w:rPr>
        <w:t>,</w:t>
      </w:r>
      <w:r w:rsidRPr="005A7CC2">
        <w:rPr>
          <w:rFonts w:ascii="Times New Roman" w:hAnsi="Times New Roman" w:cs="Times New Roman"/>
          <w:sz w:val="22"/>
          <w:szCs w:val="22"/>
        </w:rPr>
        <w:t xml:space="preserve"> for class B IVD medical devices (which are equivalent to Class 2 IVD medical devices in Australia); and </w:t>
      </w:r>
    </w:p>
    <w:p w14:paraId="174B4DC3" w14:textId="77777777" w:rsidR="00452FE2" w:rsidRPr="005A7CC2" w:rsidRDefault="00452FE2" w:rsidP="00452FE2">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1 January 2029</w:t>
      </w:r>
      <w:r>
        <w:rPr>
          <w:rFonts w:ascii="Times New Roman" w:hAnsi="Times New Roman" w:cs="Times New Roman"/>
          <w:sz w:val="22"/>
          <w:szCs w:val="22"/>
        </w:rPr>
        <w:t>,</w:t>
      </w:r>
      <w:r w:rsidRPr="005A7CC2">
        <w:rPr>
          <w:rFonts w:ascii="Times New Roman" w:hAnsi="Times New Roman" w:cs="Times New Roman"/>
          <w:sz w:val="22"/>
          <w:szCs w:val="22"/>
        </w:rPr>
        <w:t xml:space="preserve"> for class C IVD medical devices (which are equivalent to Class 3 IVD medical devices in Australia).</w:t>
      </w:r>
    </w:p>
    <w:p w14:paraId="0AE07D3C" w14:textId="1716F218" w:rsidR="00452FE2" w:rsidRPr="005A7CC2" w:rsidRDefault="00452FE2" w:rsidP="00452FE2">
      <w:pPr>
        <w:pStyle w:val="TBLText"/>
        <w:numPr>
          <w:ilvl w:val="0"/>
          <w:numId w:val="2"/>
        </w:numPr>
        <w:rPr>
          <w:rFonts w:ascii="Times New Roman" w:hAnsi="Times New Roman" w:cs="Times New Roman"/>
          <w:sz w:val="22"/>
          <w:szCs w:val="22"/>
        </w:rPr>
      </w:pPr>
      <w:r w:rsidRPr="005A7CC2">
        <w:rPr>
          <w:rFonts w:ascii="Times New Roman" w:hAnsi="Times New Roman" w:cs="Times New Roman"/>
          <w:sz w:val="22"/>
          <w:szCs w:val="22"/>
        </w:rPr>
        <w:t>1 January 2028</w:t>
      </w:r>
      <w:r>
        <w:rPr>
          <w:rFonts w:ascii="Times New Roman" w:hAnsi="Times New Roman" w:cs="Times New Roman"/>
          <w:sz w:val="22"/>
          <w:szCs w:val="22"/>
        </w:rPr>
        <w:t>,</w:t>
      </w:r>
      <w:r w:rsidRPr="005A7CC2">
        <w:rPr>
          <w:rFonts w:ascii="Times New Roman" w:hAnsi="Times New Roman" w:cs="Times New Roman"/>
          <w:sz w:val="22"/>
          <w:szCs w:val="22"/>
        </w:rPr>
        <w:t xml:space="preserve"> for class D IVD medical devices (which are equivalent to Class 4 IVD medical devices in Australia).</w:t>
      </w:r>
    </w:p>
    <w:p w14:paraId="61311BEB" w14:textId="77777777" w:rsidR="00452FE2" w:rsidRPr="005A7CC2" w:rsidRDefault="00452FE2" w:rsidP="00452FE2">
      <w:pPr>
        <w:pStyle w:val="TBLText"/>
        <w:rPr>
          <w:rFonts w:ascii="Times New Roman" w:hAnsi="Times New Roman" w:cs="Times New Roman"/>
          <w:sz w:val="22"/>
          <w:szCs w:val="22"/>
        </w:rPr>
      </w:pPr>
    </w:p>
    <w:p w14:paraId="3408FE42" w14:textId="7C885BBA" w:rsidR="00452FE2" w:rsidRDefault="00452FE2" w:rsidP="00452FE2">
      <w:pPr>
        <w:pStyle w:val="TBLText"/>
        <w:rPr>
          <w:rFonts w:ascii="Times New Roman" w:hAnsi="Times New Roman" w:cs="Times New Roman"/>
          <w:sz w:val="22"/>
          <w:szCs w:val="22"/>
        </w:rPr>
      </w:pPr>
      <w:r w:rsidRPr="005A7CC2">
        <w:rPr>
          <w:rFonts w:ascii="Times New Roman" w:hAnsi="Times New Roman" w:cs="Times New Roman"/>
          <w:sz w:val="22"/>
          <w:szCs w:val="22"/>
        </w:rPr>
        <w:t>The transition times for IVD medical devices outlined in the Principal Determination are based on the EU transition timelines</w:t>
      </w:r>
      <w:r>
        <w:rPr>
          <w:rFonts w:ascii="Times New Roman" w:hAnsi="Times New Roman" w:cs="Times New Roman"/>
          <w:sz w:val="22"/>
          <w:szCs w:val="22"/>
        </w:rPr>
        <w:t xml:space="preserve"> previously provided for in the EU IVD regulation</w:t>
      </w:r>
      <w:r w:rsidRPr="005A7CC2">
        <w:rPr>
          <w:rFonts w:ascii="Times New Roman" w:hAnsi="Times New Roman" w:cs="Times New Roman"/>
          <w:sz w:val="22"/>
          <w:szCs w:val="22"/>
        </w:rPr>
        <w:t xml:space="preserve">. </w:t>
      </w:r>
      <w:r>
        <w:rPr>
          <w:rFonts w:ascii="Times New Roman" w:hAnsi="Times New Roman" w:cs="Times New Roman"/>
          <w:sz w:val="22"/>
          <w:szCs w:val="22"/>
        </w:rPr>
        <w:t>However,</w:t>
      </w:r>
      <w:r w:rsidRPr="005A7CC2">
        <w:rPr>
          <w:rFonts w:ascii="Times New Roman" w:hAnsi="Times New Roman" w:cs="Times New Roman"/>
          <w:sz w:val="22"/>
          <w:szCs w:val="22"/>
        </w:rPr>
        <w:t xml:space="preserve"> new transitional timeframes </w:t>
      </w:r>
      <w:r>
        <w:rPr>
          <w:rFonts w:ascii="Times New Roman" w:hAnsi="Times New Roman" w:cs="Times New Roman"/>
          <w:sz w:val="22"/>
          <w:szCs w:val="22"/>
        </w:rPr>
        <w:t xml:space="preserve">were </w:t>
      </w:r>
      <w:r w:rsidRPr="005A7CC2">
        <w:rPr>
          <w:rFonts w:ascii="Times New Roman" w:hAnsi="Times New Roman" w:cs="Times New Roman"/>
          <w:sz w:val="22"/>
          <w:szCs w:val="22"/>
        </w:rPr>
        <w:t xml:space="preserve">introduced </w:t>
      </w:r>
      <w:r>
        <w:rPr>
          <w:rFonts w:ascii="Times New Roman" w:hAnsi="Times New Roman" w:cs="Times New Roman"/>
          <w:sz w:val="22"/>
          <w:szCs w:val="22"/>
        </w:rPr>
        <w:t xml:space="preserve">in the EU IVD regulation </w:t>
      </w:r>
      <w:r w:rsidRPr="005A7CC2">
        <w:rPr>
          <w:rFonts w:ascii="Times New Roman" w:hAnsi="Times New Roman" w:cs="Times New Roman"/>
          <w:sz w:val="22"/>
          <w:szCs w:val="22"/>
        </w:rPr>
        <w:t xml:space="preserve">by the </w:t>
      </w:r>
      <w:r w:rsidRPr="005A7CC2">
        <w:rPr>
          <w:rFonts w:ascii="Times New Roman" w:hAnsi="Times New Roman" w:cs="Times New Roman"/>
          <w:i/>
          <w:iCs/>
          <w:sz w:val="22"/>
          <w:szCs w:val="22"/>
        </w:rPr>
        <w:t xml:space="preserve">Regulation (EU) 2024/1860 of the European Parliament and of the Council of 3 June 2024 amending Regulations (EU) 2017/745 and (EU) 2017/746 as regards a gradual roll-out of </w:t>
      </w:r>
      <w:proofErr w:type="spellStart"/>
      <w:r w:rsidRPr="005A7CC2">
        <w:rPr>
          <w:rFonts w:ascii="Times New Roman" w:hAnsi="Times New Roman" w:cs="Times New Roman"/>
          <w:i/>
          <w:iCs/>
          <w:sz w:val="22"/>
          <w:szCs w:val="22"/>
        </w:rPr>
        <w:t>Eudamed</w:t>
      </w:r>
      <w:proofErr w:type="spellEnd"/>
      <w:r w:rsidRPr="005A7CC2">
        <w:rPr>
          <w:rFonts w:ascii="Times New Roman" w:hAnsi="Times New Roman" w:cs="Times New Roman"/>
          <w:i/>
          <w:iCs/>
          <w:sz w:val="22"/>
          <w:szCs w:val="22"/>
        </w:rPr>
        <w:t>, the obligation to inform in case of interruption or discontinuation of supply, and transitional provisions for certain in vitro diagnostic medical devices.</w:t>
      </w:r>
      <w:r w:rsidRPr="008B5BEE">
        <w:rPr>
          <w:rFonts w:ascii="Times New Roman" w:hAnsi="Times New Roman" w:cs="Times New Roman"/>
          <w:sz w:val="22"/>
          <w:szCs w:val="22"/>
        </w:rPr>
        <w:t xml:space="preserve"> </w:t>
      </w:r>
      <w:r>
        <w:rPr>
          <w:rFonts w:ascii="Times New Roman" w:hAnsi="Times New Roman" w:cs="Times New Roman"/>
          <w:sz w:val="22"/>
          <w:szCs w:val="22"/>
        </w:rPr>
        <w:t xml:space="preserve">These new timeframes give industry more time to comply with the new requirements in the EU IVD regulation. </w:t>
      </w:r>
    </w:p>
    <w:p w14:paraId="580EF56E" w14:textId="77777777" w:rsidR="00452FE2" w:rsidRDefault="00452FE2" w:rsidP="00452FE2">
      <w:pPr>
        <w:pStyle w:val="TBLText"/>
        <w:rPr>
          <w:rFonts w:ascii="Times New Roman" w:hAnsi="Times New Roman" w:cs="Times New Roman"/>
          <w:sz w:val="22"/>
          <w:szCs w:val="22"/>
        </w:rPr>
      </w:pPr>
    </w:p>
    <w:p w14:paraId="50EA536D" w14:textId="77777777" w:rsidR="00452FE2" w:rsidRPr="005A7CC2" w:rsidRDefault="00452FE2" w:rsidP="00452FE2">
      <w:pPr>
        <w:pStyle w:val="TBLText"/>
        <w:rPr>
          <w:rFonts w:ascii="Times New Roman" w:hAnsi="Times New Roman" w:cs="Times New Roman"/>
          <w:i/>
          <w:iCs/>
          <w:sz w:val="22"/>
          <w:szCs w:val="22"/>
        </w:rPr>
      </w:pPr>
      <w:r>
        <w:rPr>
          <w:rFonts w:ascii="Times New Roman" w:hAnsi="Times New Roman" w:cs="Times New Roman"/>
          <w:sz w:val="22"/>
          <w:szCs w:val="22"/>
        </w:rPr>
        <w:t>The purpose of the Amendment Determination is to make c</w:t>
      </w:r>
      <w:r w:rsidRPr="005A7CC2">
        <w:rPr>
          <w:rFonts w:ascii="Times New Roman" w:hAnsi="Times New Roman" w:cs="Times New Roman"/>
          <w:sz w:val="22"/>
          <w:szCs w:val="22"/>
        </w:rPr>
        <w:t>onsequential amendments to the Principal Determination to reflect and adopt the new transitional timeframes</w:t>
      </w:r>
      <w:r>
        <w:rPr>
          <w:rFonts w:ascii="Times New Roman" w:hAnsi="Times New Roman" w:cs="Times New Roman"/>
          <w:sz w:val="22"/>
          <w:szCs w:val="22"/>
        </w:rPr>
        <w:t xml:space="preserve"> reflected in the EU IVD regulation as amended.</w:t>
      </w:r>
    </w:p>
    <w:p w14:paraId="488F6DF7" w14:textId="77777777" w:rsidR="00452FE2" w:rsidRPr="005A7CC2" w:rsidRDefault="00452FE2" w:rsidP="00452FE2">
      <w:pPr>
        <w:keepNext/>
        <w:contextualSpacing/>
        <w:rPr>
          <w:rFonts w:ascii="Times New Roman" w:hAnsi="Times New Roman"/>
          <w:sz w:val="22"/>
          <w:szCs w:val="22"/>
        </w:rPr>
      </w:pPr>
    </w:p>
    <w:p w14:paraId="417A6FC0" w14:textId="0B422C80" w:rsidR="00452FE2" w:rsidRPr="005A7CC2" w:rsidRDefault="00452FE2" w:rsidP="00452FE2">
      <w:pPr>
        <w:keepNext/>
        <w:contextualSpacing/>
        <w:rPr>
          <w:rFonts w:ascii="Times New Roman" w:hAnsi="Times New Roman"/>
          <w:sz w:val="22"/>
          <w:szCs w:val="22"/>
        </w:rPr>
      </w:pPr>
      <w:r w:rsidRPr="005A7CC2">
        <w:rPr>
          <w:rFonts w:ascii="Times New Roman" w:hAnsi="Times New Roman"/>
          <w:sz w:val="22"/>
          <w:szCs w:val="22"/>
        </w:rPr>
        <w:t>The amendments in the Amendment Determination also include an additional requirement for certain Class 2</w:t>
      </w:r>
      <w:r>
        <w:rPr>
          <w:rFonts w:ascii="Times New Roman" w:hAnsi="Times New Roman"/>
          <w:sz w:val="22"/>
          <w:szCs w:val="22"/>
        </w:rPr>
        <w:t xml:space="preserve">, </w:t>
      </w:r>
      <w:r w:rsidRPr="005A7CC2">
        <w:rPr>
          <w:rFonts w:ascii="Times New Roman" w:hAnsi="Times New Roman"/>
          <w:sz w:val="22"/>
          <w:szCs w:val="22"/>
        </w:rPr>
        <w:t xml:space="preserve">Class 3 </w:t>
      </w:r>
      <w:r>
        <w:rPr>
          <w:rFonts w:ascii="Times New Roman" w:hAnsi="Times New Roman"/>
          <w:sz w:val="22"/>
          <w:szCs w:val="22"/>
        </w:rPr>
        <w:t xml:space="preserve">and Class 4 </w:t>
      </w:r>
      <w:r w:rsidRPr="005A7CC2">
        <w:rPr>
          <w:rFonts w:ascii="Times New Roman" w:hAnsi="Times New Roman"/>
          <w:sz w:val="22"/>
          <w:szCs w:val="22"/>
        </w:rPr>
        <w:t xml:space="preserve">IVD medical devices for which an application is made before </w:t>
      </w:r>
      <w:r w:rsidRPr="005A7CC2">
        <w:rPr>
          <w:rFonts w:ascii="Times New Roman" w:hAnsi="Times New Roman"/>
          <w:sz w:val="22"/>
          <w:szCs w:val="22"/>
        </w:rPr>
        <w:lastRenderedPageBreak/>
        <w:t>1 January 2030</w:t>
      </w:r>
      <w:r>
        <w:rPr>
          <w:rFonts w:ascii="Times New Roman" w:hAnsi="Times New Roman"/>
          <w:sz w:val="22"/>
          <w:szCs w:val="22"/>
        </w:rPr>
        <w:t xml:space="preserve">, </w:t>
      </w:r>
      <w:proofErr w:type="gramStart"/>
      <w:r w:rsidRPr="005A7CC2">
        <w:rPr>
          <w:rFonts w:ascii="Times New Roman" w:hAnsi="Times New Roman"/>
          <w:sz w:val="22"/>
          <w:szCs w:val="22"/>
        </w:rPr>
        <w:t>2029</w:t>
      </w:r>
      <w:proofErr w:type="gramEnd"/>
      <w:r>
        <w:rPr>
          <w:rFonts w:ascii="Times New Roman" w:hAnsi="Times New Roman"/>
          <w:sz w:val="22"/>
          <w:szCs w:val="22"/>
        </w:rPr>
        <w:t xml:space="preserve"> or 2028</w:t>
      </w:r>
      <w:r w:rsidRPr="005A7CC2">
        <w:rPr>
          <w:rFonts w:ascii="Times New Roman" w:hAnsi="Times New Roman"/>
          <w:sz w:val="22"/>
          <w:szCs w:val="22"/>
        </w:rPr>
        <w:t xml:space="preserve">, respectively. In addition to providing </w:t>
      </w:r>
      <w:r>
        <w:rPr>
          <w:rFonts w:ascii="Times New Roman" w:hAnsi="Times New Roman"/>
          <w:sz w:val="22"/>
          <w:szCs w:val="22"/>
        </w:rPr>
        <w:t>the conformity assessment documentation set out in the tables in Schedule 2 to the Principal Determination</w:t>
      </w:r>
      <w:r w:rsidRPr="005A7CC2">
        <w:rPr>
          <w:rFonts w:ascii="Times New Roman" w:hAnsi="Times New Roman"/>
          <w:sz w:val="22"/>
          <w:szCs w:val="22"/>
        </w:rPr>
        <w:t xml:space="preserve">, such applications must also be accompanied by evidence to demonstrate compliance with Article 110(3c) of the EU IVD regulation. This Article sets out </w:t>
      </w:r>
      <w:proofErr w:type="gramStart"/>
      <w:r w:rsidRPr="005A7CC2">
        <w:rPr>
          <w:rFonts w:ascii="Times New Roman" w:hAnsi="Times New Roman"/>
          <w:sz w:val="22"/>
          <w:szCs w:val="22"/>
        </w:rPr>
        <w:t>a number of</w:t>
      </w:r>
      <w:proofErr w:type="gramEnd"/>
      <w:r w:rsidRPr="005A7CC2">
        <w:rPr>
          <w:rFonts w:ascii="Times New Roman" w:hAnsi="Times New Roman"/>
          <w:sz w:val="22"/>
          <w:szCs w:val="22"/>
        </w:rPr>
        <w:t xml:space="preserve"> conditions that must be met for devices to transition in the EU from regulation under Directive</w:t>
      </w:r>
      <w:r>
        <w:rPr>
          <w:rFonts w:ascii="Times New Roman" w:hAnsi="Times New Roman"/>
          <w:sz w:val="22"/>
          <w:szCs w:val="22"/>
        </w:rPr>
        <w:t> </w:t>
      </w:r>
      <w:r w:rsidRPr="005A7CC2">
        <w:rPr>
          <w:rFonts w:ascii="Times New Roman" w:hAnsi="Times New Roman"/>
          <w:sz w:val="22"/>
          <w:szCs w:val="22"/>
        </w:rPr>
        <w:t>98/79/EC to regulation under the EU IVD regulation. Evidence of compliance with such conditions demonstrates that steps are being taken by the manufacturer to</w:t>
      </w:r>
      <w:r>
        <w:rPr>
          <w:rFonts w:ascii="Times New Roman" w:hAnsi="Times New Roman"/>
          <w:sz w:val="22"/>
          <w:szCs w:val="22"/>
        </w:rPr>
        <w:t xml:space="preserve"> </w:t>
      </w:r>
      <w:r w:rsidRPr="005A7CC2">
        <w:rPr>
          <w:rFonts w:ascii="Times New Roman" w:hAnsi="Times New Roman"/>
          <w:sz w:val="22"/>
          <w:szCs w:val="22"/>
        </w:rPr>
        <w:t xml:space="preserve">transition to </w:t>
      </w:r>
      <w:r>
        <w:rPr>
          <w:rFonts w:ascii="Times New Roman" w:hAnsi="Times New Roman"/>
          <w:sz w:val="22"/>
          <w:szCs w:val="22"/>
        </w:rPr>
        <w:t xml:space="preserve">compliance with </w:t>
      </w:r>
      <w:r w:rsidRPr="005A7CC2">
        <w:rPr>
          <w:rFonts w:ascii="Times New Roman" w:hAnsi="Times New Roman"/>
          <w:sz w:val="22"/>
          <w:szCs w:val="22"/>
        </w:rPr>
        <w:t>the EU IVD regulation, and th</w:t>
      </w:r>
      <w:r>
        <w:rPr>
          <w:rFonts w:ascii="Times New Roman" w:hAnsi="Times New Roman"/>
          <w:sz w:val="22"/>
          <w:szCs w:val="22"/>
        </w:rPr>
        <w:t>at the</w:t>
      </w:r>
      <w:r w:rsidRPr="005A7CC2">
        <w:rPr>
          <w:rFonts w:ascii="Times New Roman" w:hAnsi="Times New Roman"/>
          <w:sz w:val="22"/>
          <w:szCs w:val="22"/>
        </w:rPr>
        <w:t xml:space="preserve"> current conformity assessment documentation issued under Directive 98/79/EC is still valid</w:t>
      </w:r>
    </w:p>
    <w:p w14:paraId="111DFC7C" w14:textId="77777777" w:rsidR="00452FE2" w:rsidRPr="005A7CC2" w:rsidRDefault="00452FE2" w:rsidP="00452FE2">
      <w:pPr>
        <w:keepNext/>
        <w:contextualSpacing/>
        <w:rPr>
          <w:rFonts w:ascii="Times New Roman" w:hAnsi="Times New Roman"/>
          <w:sz w:val="22"/>
          <w:szCs w:val="22"/>
        </w:rPr>
      </w:pPr>
    </w:p>
    <w:p w14:paraId="466BCB75" w14:textId="04B1DFB4" w:rsidR="00452FE2" w:rsidRPr="005A7CC2" w:rsidRDefault="00452FE2" w:rsidP="00452FE2">
      <w:pPr>
        <w:keepNext/>
        <w:contextualSpacing/>
        <w:rPr>
          <w:rFonts w:ascii="Times New Roman" w:hAnsi="Times New Roman"/>
          <w:sz w:val="22"/>
          <w:szCs w:val="22"/>
        </w:rPr>
      </w:pPr>
      <w:r w:rsidRPr="005A7CC2">
        <w:rPr>
          <w:rFonts w:ascii="Times New Roman" w:hAnsi="Times New Roman"/>
          <w:sz w:val="22"/>
          <w:szCs w:val="22"/>
        </w:rPr>
        <w:t xml:space="preserve">The Amendment Determination also makes minor amendments to remove redundant </w:t>
      </w:r>
      <w:r>
        <w:rPr>
          <w:rFonts w:ascii="Times New Roman" w:hAnsi="Times New Roman"/>
          <w:sz w:val="22"/>
          <w:szCs w:val="22"/>
        </w:rPr>
        <w:t>table items</w:t>
      </w:r>
      <w:r w:rsidRPr="005A7CC2">
        <w:rPr>
          <w:rFonts w:ascii="Times New Roman" w:hAnsi="Times New Roman"/>
          <w:sz w:val="22"/>
          <w:szCs w:val="22"/>
        </w:rPr>
        <w:t xml:space="preserve"> that are outdated. </w:t>
      </w:r>
    </w:p>
    <w:p w14:paraId="56246CD3" w14:textId="77777777" w:rsidR="00E30C11" w:rsidRPr="005A7CC2" w:rsidRDefault="00E30C11" w:rsidP="00E30C11">
      <w:pPr>
        <w:rPr>
          <w:rFonts w:ascii="Times New Roman" w:hAnsi="Times New Roman"/>
          <w:b/>
          <w:sz w:val="22"/>
          <w:szCs w:val="22"/>
        </w:rPr>
      </w:pPr>
    </w:p>
    <w:p w14:paraId="4E6FBDEF" w14:textId="77777777" w:rsidR="00E30C11" w:rsidRPr="005A7CC2" w:rsidRDefault="00E30C11" w:rsidP="00E30C11">
      <w:pPr>
        <w:keepNext/>
        <w:rPr>
          <w:rFonts w:ascii="Times New Roman" w:hAnsi="Times New Roman"/>
          <w:b/>
          <w:sz w:val="22"/>
          <w:szCs w:val="22"/>
        </w:rPr>
      </w:pPr>
      <w:r w:rsidRPr="005A7CC2">
        <w:rPr>
          <w:rFonts w:ascii="Times New Roman" w:hAnsi="Times New Roman"/>
          <w:b/>
          <w:sz w:val="22"/>
          <w:szCs w:val="22"/>
        </w:rPr>
        <w:t>Human rights implications</w:t>
      </w:r>
    </w:p>
    <w:p w14:paraId="2FD64727" w14:textId="77777777" w:rsidR="00E30C11" w:rsidRPr="005A7CC2" w:rsidRDefault="00E30C11" w:rsidP="00E30C11">
      <w:pPr>
        <w:keepNext/>
        <w:rPr>
          <w:rFonts w:ascii="Times New Roman" w:hAnsi="Times New Roman"/>
          <w:sz w:val="22"/>
          <w:szCs w:val="22"/>
        </w:rPr>
      </w:pPr>
    </w:p>
    <w:p w14:paraId="4A746807"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The Amendment Determination engages the right to health in Article 12 of the International Covenant on Economic, Social and Cultural Rights (“the ICESCR”).</w:t>
      </w:r>
      <w:r w:rsidRPr="005A7CC2">
        <w:rPr>
          <w:rFonts w:ascii="Times New Roman" w:hAnsi="Times New Roman"/>
          <w:i/>
          <w:sz w:val="22"/>
          <w:szCs w:val="22"/>
        </w:rPr>
        <w:t xml:space="preserve">  </w:t>
      </w:r>
      <w:r w:rsidRPr="005A7CC2">
        <w:rPr>
          <w:rFonts w:ascii="Times New Roman" w:hAnsi="Times New Roman"/>
          <w:sz w:val="22"/>
          <w:szCs w:val="22"/>
        </w:rPr>
        <w:t xml:space="preserve">Article 12 of the ICESCR promotes the right of all individuals to enjoy the highest attainable standards of physical and mental </w:t>
      </w:r>
      <w:proofErr w:type="gramStart"/>
      <w:r w:rsidRPr="005A7CC2">
        <w:rPr>
          <w:rFonts w:ascii="Times New Roman" w:hAnsi="Times New Roman"/>
          <w:sz w:val="22"/>
          <w:szCs w:val="22"/>
        </w:rPr>
        <w:t>health, and</w:t>
      </w:r>
      <w:proofErr w:type="gramEnd"/>
      <w:r w:rsidRPr="005A7CC2">
        <w:rPr>
          <w:rFonts w:ascii="Times New Roman" w:hAnsi="Times New Roman"/>
          <w:sz w:val="22"/>
          <w:szCs w:val="22"/>
        </w:rPr>
        <w:t xml:space="preserve"> includes an obligation to take reasonable measures within available resources to progressively secure broader enjoyment of the right.</w:t>
      </w:r>
    </w:p>
    <w:p w14:paraId="6EC7AB9B" w14:textId="77777777" w:rsidR="00E30C11" w:rsidRPr="005A7CC2" w:rsidRDefault="00E30C11" w:rsidP="00E30C11">
      <w:pPr>
        <w:rPr>
          <w:rFonts w:ascii="Times New Roman" w:hAnsi="Times New Roman"/>
          <w:sz w:val="22"/>
          <w:szCs w:val="22"/>
        </w:rPr>
      </w:pPr>
    </w:p>
    <w:p w14:paraId="7D0F5C0E" w14:textId="77777777" w:rsidR="00E30C11" w:rsidRPr="005A7CC2" w:rsidRDefault="00E30C11" w:rsidP="00E30C11">
      <w:pPr>
        <w:rPr>
          <w:rFonts w:ascii="Times New Roman" w:hAnsi="Times New Roman"/>
          <w:sz w:val="22"/>
          <w:szCs w:val="22"/>
        </w:rPr>
      </w:pPr>
      <w:r w:rsidRPr="005A7CC2">
        <w:rPr>
          <w:rFonts w:ascii="Times New Roman" w:hAnsi="Times New Roman"/>
          <w:sz w:val="22"/>
          <w:szCs w:val="22"/>
        </w:rPr>
        <w:t xml:space="preserve">In </w:t>
      </w:r>
      <w:r w:rsidRPr="005A7CC2">
        <w:rPr>
          <w:rFonts w:ascii="Times New Roman" w:hAnsi="Times New Roman"/>
          <w:i/>
          <w:sz w:val="22"/>
          <w:szCs w:val="22"/>
        </w:rPr>
        <w:t>General Comment No. 14: The Right to the Highest Attainable Standard of Health (Art. 12)</w:t>
      </w:r>
      <w:r w:rsidRPr="005A7CC2">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514B83F0" w14:textId="77777777" w:rsidR="00E30C11" w:rsidRPr="005A7CC2" w:rsidRDefault="00E30C11" w:rsidP="00E30C11">
      <w:pPr>
        <w:rPr>
          <w:rFonts w:ascii="Times New Roman" w:hAnsi="Times New Roman"/>
          <w:sz w:val="22"/>
          <w:szCs w:val="22"/>
        </w:rPr>
      </w:pPr>
    </w:p>
    <w:p w14:paraId="5197DCB9" w14:textId="60C21C70" w:rsidR="00C576B3" w:rsidRPr="005A7CC2" w:rsidRDefault="00E30C11"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Amendment Determination takes positive steps to promote the right to health by </w:t>
      </w:r>
      <w:r w:rsidR="00C576B3" w:rsidRPr="005A7CC2">
        <w:rPr>
          <w:rFonts w:ascii="Times New Roman" w:hAnsi="Times New Roman"/>
          <w:sz w:val="22"/>
          <w:szCs w:val="22"/>
        </w:rPr>
        <w:t xml:space="preserve">reducing delays in access to medical devices for Australian patients and health practitioners. The amendments will reduce the regulatory burden for medical device sponsors and manufacturers by supporting enhanced international cooperation. This enables medical device sponsors and manufacturers to rely on conformity assessment documentation issued/recognised in the EU, without needing to separately apply for conformity assessment documentation in Australia. </w:t>
      </w:r>
    </w:p>
    <w:p w14:paraId="5403E408" w14:textId="77777777" w:rsidR="00C576B3" w:rsidRPr="005A7CC2" w:rsidRDefault="00C576B3" w:rsidP="00E30C11">
      <w:pPr>
        <w:autoSpaceDE w:val="0"/>
        <w:autoSpaceDN w:val="0"/>
        <w:adjustRightInd w:val="0"/>
        <w:rPr>
          <w:rFonts w:ascii="Times New Roman" w:hAnsi="Times New Roman"/>
          <w:sz w:val="22"/>
          <w:szCs w:val="22"/>
        </w:rPr>
      </w:pPr>
    </w:p>
    <w:p w14:paraId="59117BF5" w14:textId="183B679C" w:rsidR="00E30C11" w:rsidRPr="005A7CC2" w:rsidRDefault="00C576B3" w:rsidP="00E30C11">
      <w:pPr>
        <w:autoSpaceDE w:val="0"/>
        <w:autoSpaceDN w:val="0"/>
        <w:adjustRightInd w:val="0"/>
        <w:rPr>
          <w:rFonts w:ascii="Times New Roman" w:hAnsi="Times New Roman"/>
          <w:sz w:val="22"/>
          <w:szCs w:val="22"/>
        </w:rPr>
      </w:pPr>
      <w:r w:rsidRPr="005A7CC2">
        <w:rPr>
          <w:rFonts w:ascii="Times New Roman" w:hAnsi="Times New Roman"/>
          <w:sz w:val="22"/>
          <w:szCs w:val="22"/>
        </w:rPr>
        <w:t xml:space="preserve">The Amendment Determination would also ensure </w:t>
      </w:r>
      <w:r w:rsidR="00E30C11" w:rsidRPr="005A7CC2">
        <w:rPr>
          <w:rFonts w:ascii="Times New Roman" w:hAnsi="Times New Roman"/>
          <w:sz w:val="22"/>
          <w:szCs w:val="22"/>
        </w:rPr>
        <w:t>there is appropriate documentary evidence accompanying an application for inclusion of Class 2</w:t>
      </w:r>
      <w:r w:rsidR="00E424F8">
        <w:rPr>
          <w:rFonts w:ascii="Times New Roman" w:hAnsi="Times New Roman"/>
          <w:sz w:val="22"/>
          <w:szCs w:val="22"/>
        </w:rPr>
        <w:t>,</w:t>
      </w:r>
      <w:r w:rsidR="00E30C11" w:rsidRPr="005A7CC2">
        <w:rPr>
          <w:rFonts w:ascii="Times New Roman" w:hAnsi="Times New Roman"/>
          <w:sz w:val="22"/>
          <w:szCs w:val="22"/>
        </w:rPr>
        <w:t xml:space="preserve"> Class 3 </w:t>
      </w:r>
      <w:r w:rsidR="00CC673C">
        <w:rPr>
          <w:rFonts w:ascii="Times New Roman" w:hAnsi="Times New Roman"/>
          <w:sz w:val="22"/>
          <w:szCs w:val="22"/>
        </w:rPr>
        <w:t>and</w:t>
      </w:r>
      <w:r w:rsidR="00927E72" w:rsidRPr="005A7CC2">
        <w:rPr>
          <w:rFonts w:ascii="Times New Roman" w:hAnsi="Times New Roman"/>
          <w:sz w:val="22"/>
          <w:szCs w:val="22"/>
        </w:rPr>
        <w:t xml:space="preserve"> Class 4 </w:t>
      </w:r>
      <w:r w:rsidR="00E30C11" w:rsidRPr="005A7CC2">
        <w:rPr>
          <w:rFonts w:ascii="Times New Roman" w:hAnsi="Times New Roman"/>
          <w:sz w:val="22"/>
          <w:szCs w:val="22"/>
        </w:rPr>
        <w:t xml:space="preserve">IVD medical devices in the Register to enable the application to be processed </w:t>
      </w:r>
      <w:r w:rsidRPr="005A7CC2">
        <w:rPr>
          <w:rFonts w:ascii="Times New Roman" w:hAnsi="Times New Roman"/>
          <w:sz w:val="22"/>
          <w:szCs w:val="22"/>
        </w:rPr>
        <w:t>in a more efficient</w:t>
      </w:r>
      <w:r w:rsidR="00E30C11" w:rsidRPr="005A7CC2">
        <w:rPr>
          <w:rFonts w:ascii="Times New Roman" w:hAnsi="Times New Roman"/>
          <w:sz w:val="22"/>
          <w:szCs w:val="22"/>
        </w:rPr>
        <w:t xml:space="preserve"> and timely manner. The information that must accompany an application for inclusion in the Register will assist in </w:t>
      </w:r>
      <w:r w:rsidRPr="005A7CC2">
        <w:rPr>
          <w:rFonts w:ascii="Times New Roman" w:hAnsi="Times New Roman"/>
          <w:sz w:val="22"/>
          <w:szCs w:val="22"/>
        </w:rPr>
        <w:t xml:space="preserve">assessing </w:t>
      </w:r>
      <w:r w:rsidR="00E30C11" w:rsidRPr="005A7CC2">
        <w:rPr>
          <w:rFonts w:ascii="Times New Roman" w:hAnsi="Times New Roman"/>
          <w:sz w:val="22"/>
          <w:szCs w:val="22"/>
        </w:rPr>
        <w:t xml:space="preserve">the safety and satisfactory performance of medical devices, </w:t>
      </w:r>
      <w:r w:rsidRPr="005A7CC2">
        <w:rPr>
          <w:rFonts w:ascii="Times New Roman" w:hAnsi="Times New Roman"/>
          <w:sz w:val="22"/>
          <w:szCs w:val="22"/>
        </w:rPr>
        <w:t>supporting</w:t>
      </w:r>
      <w:r w:rsidR="00E30C11" w:rsidRPr="005A7CC2">
        <w:rPr>
          <w:rFonts w:ascii="Times New Roman" w:hAnsi="Times New Roman"/>
          <w:sz w:val="22"/>
          <w:szCs w:val="22"/>
        </w:rPr>
        <w:t xml:space="preserve"> their timely availability in Australia.</w:t>
      </w:r>
    </w:p>
    <w:p w14:paraId="0ECD43D1" w14:textId="77777777" w:rsidR="00E30C11" w:rsidRPr="005A7CC2" w:rsidRDefault="00E30C11" w:rsidP="00E30C11">
      <w:pPr>
        <w:rPr>
          <w:rFonts w:ascii="Times New Roman" w:hAnsi="Times New Roman"/>
          <w:sz w:val="22"/>
          <w:szCs w:val="22"/>
        </w:rPr>
      </w:pPr>
    </w:p>
    <w:p w14:paraId="73AF6C49" w14:textId="77777777" w:rsidR="00E30C11" w:rsidRPr="005A7CC2" w:rsidRDefault="00E30C11" w:rsidP="00E30C11">
      <w:pPr>
        <w:rPr>
          <w:rFonts w:ascii="Times New Roman" w:hAnsi="Times New Roman"/>
          <w:b/>
          <w:sz w:val="22"/>
          <w:szCs w:val="22"/>
        </w:rPr>
      </w:pPr>
      <w:r w:rsidRPr="005A7CC2">
        <w:rPr>
          <w:rFonts w:ascii="Times New Roman" w:hAnsi="Times New Roman"/>
          <w:b/>
          <w:sz w:val="22"/>
          <w:szCs w:val="22"/>
        </w:rPr>
        <w:t>Conclusion</w:t>
      </w:r>
    </w:p>
    <w:p w14:paraId="2BDA11AD" w14:textId="77777777" w:rsidR="00E30C11" w:rsidRPr="005A7CC2" w:rsidRDefault="00E30C11" w:rsidP="00E30C11">
      <w:pPr>
        <w:rPr>
          <w:rFonts w:ascii="Times New Roman" w:hAnsi="Times New Roman"/>
          <w:sz w:val="22"/>
          <w:szCs w:val="22"/>
        </w:rPr>
      </w:pPr>
    </w:p>
    <w:p w14:paraId="5A15D7BD" w14:textId="6893A111" w:rsidR="00280050" w:rsidRPr="005A7CC2" w:rsidRDefault="00E30C11">
      <w:pPr>
        <w:rPr>
          <w:rFonts w:ascii="Times New Roman" w:hAnsi="Times New Roman"/>
          <w:sz w:val="22"/>
          <w:szCs w:val="22"/>
        </w:rPr>
      </w:pPr>
      <w:r w:rsidRPr="005A7CC2">
        <w:rPr>
          <w:rFonts w:ascii="Times New Roman" w:hAnsi="Times New Roman"/>
          <w:sz w:val="22"/>
          <w:szCs w:val="22"/>
        </w:rPr>
        <w:t>This instrument is compatible with human rights because it supports the right to health in Article 12 of the ICESCR and otherwise does not raise any other human rights issues.</w:t>
      </w:r>
    </w:p>
    <w:sectPr w:rsidR="00280050" w:rsidRPr="005A7CC2" w:rsidSect="00E30C11">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F72E" w14:textId="77777777" w:rsidR="009225A5" w:rsidRDefault="009225A5">
      <w:r>
        <w:separator/>
      </w:r>
    </w:p>
  </w:endnote>
  <w:endnote w:type="continuationSeparator" w:id="0">
    <w:p w14:paraId="69CF5AD9" w14:textId="77777777" w:rsidR="009225A5" w:rsidRDefault="0092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4FE1" w14:textId="77777777" w:rsidR="00583F28" w:rsidRDefault="0058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972775"/>
      <w:docPartObj>
        <w:docPartGallery w:val="Page Numbers (Bottom of Page)"/>
        <w:docPartUnique/>
      </w:docPartObj>
    </w:sdtPr>
    <w:sdtEndPr>
      <w:rPr>
        <w:noProof/>
        <w:sz w:val="22"/>
        <w:szCs w:val="22"/>
      </w:rPr>
    </w:sdtEndPr>
    <w:sdtContent>
      <w:p w14:paraId="1B7F331C" w14:textId="77777777" w:rsidR="00583F28" w:rsidRPr="008F04FE" w:rsidRDefault="00024B5E">
        <w:pPr>
          <w:pStyle w:val="Footer"/>
          <w:jc w:val="right"/>
          <w:rPr>
            <w:sz w:val="22"/>
            <w:szCs w:val="22"/>
          </w:rPr>
        </w:pPr>
        <w:r w:rsidRPr="008F04FE">
          <w:rPr>
            <w:sz w:val="22"/>
            <w:szCs w:val="22"/>
          </w:rPr>
          <w:fldChar w:fldCharType="begin"/>
        </w:r>
        <w:r w:rsidRPr="008F04FE">
          <w:rPr>
            <w:sz w:val="22"/>
            <w:szCs w:val="22"/>
          </w:rPr>
          <w:instrText xml:space="preserve"> PAGE   \* MERGEFORMAT </w:instrText>
        </w:r>
        <w:r w:rsidRPr="008F04FE">
          <w:rPr>
            <w:sz w:val="22"/>
            <w:szCs w:val="22"/>
          </w:rPr>
          <w:fldChar w:fldCharType="separate"/>
        </w:r>
        <w:r>
          <w:rPr>
            <w:noProof/>
            <w:sz w:val="22"/>
            <w:szCs w:val="22"/>
          </w:rPr>
          <w:t>1</w:t>
        </w:r>
        <w:r w:rsidRPr="008F04FE">
          <w:rPr>
            <w:noProof/>
            <w:sz w:val="22"/>
            <w:szCs w:val="22"/>
          </w:rPr>
          <w:fldChar w:fldCharType="end"/>
        </w:r>
      </w:p>
    </w:sdtContent>
  </w:sdt>
  <w:p w14:paraId="79D8867F" w14:textId="77777777" w:rsidR="00583F28" w:rsidRPr="00877529" w:rsidRDefault="00583F28" w:rsidP="0087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D77C" w14:textId="77777777" w:rsidR="00583F28" w:rsidRDefault="00583F28"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CDD4E" w14:textId="77777777" w:rsidR="009225A5" w:rsidRDefault="009225A5">
      <w:r>
        <w:separator/>
      </w:r>
    </w:p>
  </w:footnote>
  <w:footnote w:type="continuationSeparator" w:id="0">
    <w:p w14:paraId="6AA28804" w14:textId="77777777" w:rsidR="009225A5" w:rsidRDefault="0092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8DCB" w14:textId="77777777" w:rsidR="00583F28" w:rsidRDefault="00024B5E" w:rsidP="007F5E46">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11E445D" w14:textId="77777777" w:rsidR="00583F28" w:rsidRDefault="0058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609B" w14:textId="77777777" w:rsidR="00583F28" w:rsidRDefault="00583F28" w:rsidP="00AD1943">
    <w:pPr>
      <w:pStyle w:val="Header"/>
      <w:tabs>
        <w:tab w:val="clear" w:pos="4153"/>
        <w:tab w:val="clear" w:pos="8306"/>
        <w:tab w:val="left"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59C0" w14:textId="77777777" w:rsidR="00583F28" w:rsidRDefault="0058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D4B1A"/>
    <w:multiLevelType w:val="hybridMultilevel"/>
    <w:tmpl w:val="F426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5B2254"/>
    <w:multiLevelType w:val="hybridMultilevel"/>
    <w:tmpl w:val="44E0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F9017F"/>
    <w:multiLevelType w:val="hybridMultilevel"/>
    <w:tmpl w:val="8258D76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535780">
    <w:abstractNumId w:val="0"/>
  </w:num>
  <w:num w:numId="2" w16cid:durableId="1315600977">
    <w:abstractNumId w:val="2"/>
  </w:num>
  <w:num w:numId="3" w16cid:durableId="136513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11"/>
    <w:rsid w:val="0000462C"/>
    <w:rsid w:val="00024B5E"/>
    <w:rsid w:val="00030FA4"/>
    <w:rsid w:val="00037ACE"/>
    <w:rsid w:val="00053062"/>
    <w:rsid w:val="00056CA1"/>
    <w:rsid w:val="00076DD4"/>
    <w:rsid w:val="00080006"/>
    <w:rsid w:val="000A5C67"/>
    <w:rsid w:val="000B6425"/>
    <w:rsid w:val="000D3726"/>
    <w:rsid w:val="00196791"/>
    <w:rsid w:val="001B0A13"/>
    <w:rsid w:val="001D384F"/>
    <w:rsid w:val="001F16A5"/>
    <w:rsid w:val="001F1AA3"/>
    <w:rsid w:val="00207AA8"/>
    <w:rsid w:val="00247A32"/>
    <w:rsid w:val="00263EAD"/>
    <w:rsid w:val="00280050"/>
    <w:rsid w:val="002C4096"/>
    <w:rsid w:val="002F2FB4"/>
    <w:rsid w:val="002F411F"/>
    <w:rsid w:val="002F4DB6"/>
    <w:rsid w:val="003043BA"/>
    <w:rsid w:val="00332079"/>
    <w:rsid w:val="00347E04"/>
    <w:rsid w:val="0035184B"/>
    <w:rsid w:val="003C1D30"/>
    <w:rsid w:val="00406682"/>
    <w:rsid w:val="00444251"/>
    <w:rsid w:val="00447670"/>
    <w:rsid w:val="00452FE2"/>
    <w:rsid w:val="00487508"/>
    <w:rsid w:val="004A24FD"/>
    <w:rsid w:val="004B6292"/>
    <w:rsid w:val="004F0DC3"/>
    <w:rsid w:val="004F77EE"/>
    <w:rsid w:val="00521B09"/>
    <w:rsid w:val="00541E0C"/>
    <w:rsid w:val="00545194"/>
    <w:rsid w:val="005632E4"/>
    <w:rsid w:val="005828FD"/>
    <w:rsid w:val="0058368C"/>
    <w:rsid w:val="00583F28"/>
    <w:rsid w:val="005A7CC2"/>
    <w:rsid w:val="005B4EED"/>
    <w:rsid w:val="005F2FE1"/>
    <w:rsid w:val="005F7151"/>
    <w:rsid w:val="00604B6B"/>
    <w:rsid w:val="00622C31"/>
    <w:rsid w:val="0066031B"/>
    <w:rsid w:val="0069517A"/>
    <w:rsid w:val="006A67F0"/>
    <w:rsid w:val="006C328A"/>
    <w:rsid w:val="00716E63"/>
    <w:rsid w:val="00724309"/>
    <w:rsid w:val="007260BF"/>
    <w:rsid w:val="00751454"/>
    <w:rsid w:val="007B766C"/>
    <w:rsid w:val="007D509A"/>
    <w:rsid w:val="007D62DC"/>
    <w:rsid w:val="007D7ACB"/>
    <w:rsid w:val="007F3239"/>
    <w:rsid w:val="00837548"/>
    <w:rsid w:val="00856143"/>
    <w:rsid w:val="00862FBB"/>
    <w:rsid w:val="00871EED"/>
    <w:rsid w:val="008742BD"/>
    <w:rsid w:val="008B5BEE"/>
    <w:rsid w:val="008D4198"/>
    <w:rsid w:val="008E5177"/>
    <w:rsid w:val="008F1F6D"/>
    <w:rsid w:val="00916346"/>
    <w:rsid w:val="009225A5"/>
    <w:rsid w:val="00927E72"/>
    <w:rsid w:val="00932EB3"/>
    <w:rsid w:val="00983B55"/>
    <w:rsid w:val="00A5652F"/>
    <w:rsid w:val="00A636D1"/>
    <w:rsid w:val="00A871FB"/>
    <w:rsid w:val="00A908F6"/>
    <w:rsid w:val="00B139DD"/>
    <w:rsid w:val="00B20551"/>
    <w:rsid w:val="00B40133"/>
    <w:rsid w:val="00BA697D"/>
    <w:rsid w:val="00BC24C3"/>
    <w:rsid w:val="00C10D60"/>
    <w:rsid w:val="00C16DB9"/>
    <w:rsid w:val="00C576B3"/>
    <w:rsid w:val="00C5772B"/>
    <w:rsid w:val="00C762D7"/>
    <w:rsid w:val="00C97B71"/>
    <w:rsid w:val="00CA464A"/>
    <w:rsid w:val="00CC673C"/>
    <w:rsid w:val="00CE1FB4"/>
    <w:rsid w:val="00D17F49"/>
    <w:rsid w:val="00DB6296"/>
    <w:rsid w:val="00DC657B"/>
    <w:rsid w:val="00DF474C"/>
    <w:rsid w:val="00E067A8"/>
    <w:rsid w:val="00E30C11"/>
    <w:rsid w:val="00E35AE0"/>
    <w:rsid w:val="00E424F8"/>
    <w:rsid w:val="00E42B0F"/>
    <w:rsid w:val="00EA655A"/>
    <w:rsid w:val="00ED4E9B"/>
    <w:rsid w:val="00ED5EA0"/>
    <w:rsid w:val="00EE1E1D"/>
    <w:rsid w:val="00EE78B1"/>
    <w:rsid w:val="00F14D6C"/>
    <w:rsid w:val="00F657F9"/>
    <w:rsid w:val="00F819B0"/>
    <w:rsid w:val="00FC6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82F6"/>
  <w15:chartTrackingRefBased/>
  <w15:docId w15:val="{1F26CE74-D3A8-491F-8255-8298EA0C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11"/>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uiPriority w:val="9"/>
    <w:qFormat/>
    <w:rsid w:val="00E30C1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0C1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30C1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0C1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0C1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30C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0C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0C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0C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1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0C1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0C1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0C1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30C1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30C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0C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0C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0C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0C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C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C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0C11"/>
    <w:pPr>
      <w:spacing w:before="160"/>
      <w:jc w:val="center"/>
    </w:pPr>
    <w:rPr>
      <w:i/>
      <w:iCs/>
      <w:color w:val="404040" w:themeColor="text1" w:themeTint="BF"/>
    </w:rPr>
  </w:style>
  <w:style w:type="character" w:customStyle="1" w:styleId="QuoteChar">
    <w:name w:val="Quote Char"/>
    <w:basedOn w:val="DefaultParagraphFont"/>
    <w:link w:val="Quote"/>
    <w:uiPriority w:val="29"/>
    <w:rsid w:val="00E30C11"/>
    <w:rPr>
      <w:i/>
      <w:iCs/>
      <w:color w:val="404040" w:themeColor="text1" w:themeTint="BF"/>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E30C11"/>
    <w:pPr>
      <w:ind w:left="720"/>
      <w:contextualSpacing/>
    </w:pPr>
  </w:style>
  <w:style w:type="character" w:styleId="IntenseEmphasis">
    <w:name w:val="Intense Emphasis"/>
    <w:basedOn w:val="DefaultParagraphFont"/>
    <w:uiPriority w:val="21"/>
    <w:qFormat/>
    <w:rsid w:val="00E30C11"/>
    <w:rPr>
      <w:i/>
      <w:iCs/>
      <w:color w:val="2E74B5" w:themeColor="accent1" w:themeShade="BF"/>
    </w:rPr>
  </w:style>
  <w:style w:type="paragraph" w:styleId="IntenseQuote">
    <w:name w:val="Intense Quote"/>
    <w:basedOn w:val="Normal"/>
    <w:next w:val="Normal"/>
    <w:link w:val="IntenseQuoteChar"/>
    <w:uiPriority w:val="30"/>
    <w:qFormat/>
    <w:rsid w:val="00E30C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30C11"/>
    <w:rPr>
      <w:i/>
      <w:iCs/>
      <w:color w:val="2E74B5" w:themeColor="accent1" w:themeShade="BF"/>
    </w:rPr>
  </w:style>
  <w:style w:type="character" w:styleId="IntenseReference">
    <w:name w:val="Intense Reference"/>
    <w:basedOn w:val="DefaultParagraphFont"/>
    <w:uiPriority w:val="32"/>
    <w:qFormat/>
    <w:rsid w:val="00E30C11"/>
    <w:rPr>
      <w:b/>
      <w:bCs/>
      <w:smallCaps/>
      <w:color w:val="2E74B5" w:themeColor="accent1" w:themeShade="BF"/>
      <w:spacing w:val="5"/>
    </w:rPr>
  </w:style>
  <w:style w:type="paragraph" w:styleId="Footer">
    <w:name w:val="footer"/>
    <w:basedOn w:val="Normal"/>
    <w:link w:val="FooterChar"/>
    <w:uiPriority w:val="99"/>
    <w:rsid w:val="00E30C11"/>
    <w:pPr>
      <w:tabs>
        <w:tab w:val="center" w:pos="4153"/>
        <w:tab w:val="right" w:pos="8306"/>
      </w:tabs>
    </w:pPr>
  </w:style>
  <w:style w:type="character" w:customStyle="1" w:styleId="FooterChar">
    <w:name w:val="Footer Char"/>
    <w:basedOn w:val="DefaultParagraphFont"/>
    <w:link w:val="Footer"/>
    <w:uiPriority w:val="99"/>
    <w:rsid w:val="00E30C11"/>
    <w:rPr>
      <w:rFonts w:ascii="Tms Rmn" w:eastAsia="Times New Roman" w:hAnsi="Tms Rmn"/>
      <w:szCs w:val="20"/>
      <w:lang w:eastAsia="en-AU"/>
    </w:rPr>
  </w:style>
  <w:style w:type="paragraph" w:styleId="Header">
    <w:name w:val="header"/>
    <w:basedOn w:val="Normal"/>
    <w:link w:val="HeaderChar"/>
    <w:rsid w:val="00E30C11"/>
    <w:pPr>
      <w:tabs>
        <w:tab w:val="center" w:pos="4153"/>
        <w:tab w:val="right" w:pos="8306"/>
      </w:tabs>
    </w:pPr>
  </w:style>
  <w:style w:type="character" w:customStyle="1" w:styleId="HeaderChar">
    <w:name w:val="Header Char"/>
    <w:basedOn w:val="DefaultParagraphFont"/>
    <w:link w:val="Header"/>
    <w:rsid w:val="00E30C11"/>
    <w:rPr>
      <w:rFonts w:ascii="Tms Rmn" w:eastAsia="Times New Roman" w:hAnsi="Tms Rmn"/>
      <w:szCs w:val="20"/>
      <w:lang w:eastAsia="en-AU"/>
    </w:rPr>
  </w:style>
  <w:style w:type="character" w:styleId="PageNumber">
    <w:name w:val="page number"/>
    <w:basedOn w:val="DefaultParagraphFont"/>
    <w:rsid w:val="00E30C11"/>
  </w:style>
  <w:style w:type="character" w:styleId="CommentReference">
    <w:name w:val="annotation reference"/>
    <w:basedOn w:val="DefaultParagraphFont"/>
    <w:uiPriority w:val="99"/>
    <w:semiHidden/>
    <w:unhideWhenUsed/>
    <w:rsid w:val="00E30C11"/>
    <w:rPr>
      <w:sz w:val="16"/>
      <w:szCs w:val="16"/>
    </w:rPr>
  </w:style>
  <w:style w:type="paragraph" w:styleId="CommentText">
    <w:name w:val="annotation text"/>
    <w:basedOn w:val="Normal"/>
    <w:link w:val="CommentTextChar"/>
    <w:uiPriority w:val="99"/>
    <w:unhideWhenUsed/>
    <w:rsid w:val="00E30C11"/>
    <w:rPr>
      <w:sz w:val="20"/>
    </w:rPr>
  </w:style>
  <w:style w:type="character" w:customStyle="1" w:styleId="CommentTextChar">
    <w:name w:val="Comment Text Char"/>
    <w:basedOn w:val="DefaultParagraphFont"/>
    <w:link w:val="CommentText"/>
    <w:uiPriority w:val="99"/>
    <w:rsid w:val="00E30C11"/>
    <w:rPr>
      <w:rFonts w:ascii="Tms Rmn" w:eastAsia="Times New Roman" w:hAnsi="Tms Rmn"/>
      <w:sz w:val="20"/>
      <w:szCs w:val="20"/>
      <w:lang w:eastAsia="en-AU"/>
    </w:rPr>
  </w:style>
  <w:style w:type="character" w:styleId="Hyperlink">
    <w:name w:val="Hyperlink"/>
    <w:basedOn w:val="DefaultParagraphFont"/>
    <w:uiPriority w:val="99"/>
    <w:unhideWhenUsed/>
    <w:rsid w:val="00E30C11"/>
    <w:rPr>
      <w:color w:val="0563C1" w:themeColor="hyperlink"/>
      <w:u w:val="single"/>
    </w:rPr>
  </w:style>
  <w:style w:type="paragraph" w:customStyle="1" w:styleId="TBLText">
    <w:name w:val="TBL Text"/>
    <w:basedOn w:val="Normal"/>
    <w:uiPriority w:val="9"/>
    <w:qFormat/>
    <w:rsid w:val="00E30C11"/>
    <w:rPr>
      <w:rFonts w:asciiTheme="minorHAnsi" w:eastAsiaTheme="minorEastAsia" w:hAnsiTheme="minorHAnsi" w:cstheme="minorBidi"/>
      <w:sz w:val="18"/>
      <w:szCs w:val="18"/>
      <w:lang w:eastAsia="en-U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E30C11"/>
  </w:style>
  <w:style w:type="paragraph" w:styleId="CommentSubject">
    <w:name w:val="annotation subject"/>
    <w:basedOn w:val="CommentText"/>
    <w:next w:val="CommentText"/>
    <w:link w:val="CommentSubjectChar"/>
    <w:uiPriority w:val="99"/>
    <w:semiHidden/>
    <w:unhideWhenUsed/>
    <w:rsid w:val="001F1AA3"/>
    <w:rPr>
      <w:b/>
      <w:bCs/>
    </w:rPr>
  </w:style>
  <w:style w:type="character" w:customStyle="1" w:styleId="CommentSubjectChar">
    <w:name w:val="Comment Subject Char"/>
    <w:basedOn w:val="CommentTextChar"/>
    <w:link w:val="CommentSubject"/>
    <w:uiPriority w:val="99"/>
    <w:semiHidden/>
    <w:rsid w:val="001F1AA3"/>
    <w:rPr>
      <w:rFonts w:ascii="Tms Rmn" w:eastAsia="Times New Roman" w:hAnsi="Tms Rmn"/>
      <w:b/>
      <w:bCs/>
      <w:sz w:val="20"/>
      <w:szCs w:val="20"/>
      <w:lang w:eastAsia="en-AU"/>
    </w:rPr>
  </w:style>
  <w:style w:type="paragraph" w:styleId="Revision">
    <w:name w:val="Revision"/>
    <w:hidden/>
    <w:uiPriority w:val="99"/>
    <w:semiHidden/>
    <w:rsid w:val="00444251"/>
    <w:pPr>
      <w:spacing w:after="0" w:line="240" w:lineRule="auto"/>
    </w:pPr>
    <w:rPr>
      <w:rFonts w:ascii="Tms Rmn" w:eastAsia="Times New Roman" w:hAnsi="Tms Rmn"/>
      <w:szCs w:val="20"/>
      <w:lang w:eastAsia="en-AU"/>
    </w:rPr>
  </w:style>
  <w:style w:type="character" w:styleId="UnresolvedMention">
    <w:name w:val="Unresolved Mention"/>
    <w:basedOn w:val="DefaultParagraphFont"/>
    <w:uiPriority w:val="99"/>
    <w:semiHidden/>
    <w:unhideWhenUsed/>
    <w:rsid w:val="000D3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24455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2024-12-13T01:27:00Z</dcterms:created>
  <dcterms:modified xsi:type="dcterms:W3CDTF">2024-12-13T01:27:00Z</dcterms:modified>
</cp:coreProperties>
</file>