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3E340" w14:textId="19DEC75D" w:rsidR="00EE2298" w:rsidRPr="002A6881" w:rsidRDefault="00EE2298" w:rsidP="00EE2298">
      <w:pPr>
        <w:jc w:val="center"/>
        <w:rPr>
          <w:rFonts w:asciiTheme="minorHAnsi" w:hAnsiTheme="minorHAnsi" w:cstheme="minorHAnsi"/>
          <w:b/>
          <w:szCs w:val="24"/>
          <w:u w:val="single"/>
        </w:rPr>
      </w:pPr>
      <w:r w:rsidRPr="002A6881">
        <w:rPr>
          <w:rFonts w:asciiTheme="minorHAnsi" w:hAnsiTheme="minorHAnsi" w:cstheme="minorHAnsi"/>
          <w:b/>
          <w:szCs w:val="24"/>
          <w:u w:val="single"/>
        </w:rPr>
        <w:t>EXPLANATORY STATEMENT</w:t>
      </w:r>
    </w:p>
    <w:p w14:paraId="23D1E47F" w14:textId="77777777" w:rsidR="00EE2298" w:rsidRPr="002A6881" w:rsidRDefault="00EE2298" w:rsidP="00EE2298">
      <w:pPr>
        <w:jc w:val="center"/>
        <w:rPr>
          <w:rFonts w:asciiTheme="minorHAnsi" w:hAnsiTheme="minorHAnsi" w:cstheme="minorHAnsi"/>
          <w:szCs w:val="24"/>
          <w:u w:val="single"/>
        </w:rPr>
      </w:pPr>
      <w:r w:rsidRPr="002A6881">
        <w:rPr>
          <w:rFonts w:asciiTheme="minorHAnsi" w:hAnsiTheme="minorHAnsi" w:cstheme="minorHAnsi"/>
          <w:szCs w:val="24"/>
          <w:u w:val="single"/>
        </w:rPr>
        <w:t>Issued by the authority of the Minister for Education</w:t>
      </w:r>
    </w:p>
    <w:p w14:paraId="4637923C" w14:textId="77777777" w:rsidR="00EE2298" w:rsidRPr="002A6881" w:rsidRDefault="00EE2298" w:rsidP="00EE2298">
      <w:pPr>
        <w:jc w:val="center"/>
        <w:rPr>
          <w:rFonts w:asciiTheme="minorHAnsi" w:hAnsiTheme="minorHAnsi" w:cstheme="minorHAnsi"/>
          <w:b/>
          <w:i/>
          <w:szCs w:val="24"/>
        </w:rPr>
      </w:pPr>
      <w:r w:rsidRPr="002A6881">
        <w:rPr>
          <w:rFonts w:asciiTheme="minorHAnsi" w:hAnsiTheme="minorHAnsi" w:cstheme="minorHAnsi"/>
          <w:b/>
          <w:i/>
          <w:szCs w:val="24"/>
        </w:rPr>
        <w:t>Higher Education Support Act 2003</w:t>
      </w:r>
    </w:p>
    <w:p w14:paraId="5CF1E72E" w14:textId="1324F900" w:rsidR="00EE2298" w:rsidRPr="0088497A" w:rsidRDefault="00EE2298" w:rsidP="00EE2298">
      <w:pPr>
        <w:jc w:val="center"/>
        <w:rPr>
          <w:rFonts w:asciiTheme="minorHAnsi" w:hAnsiTheme="minorHAnsi" w:cstheme="minorHAnsi"/>
          <w:b/>
          <w:i/>
          <w:szCs w:val="24"/>
        </w:rPr>
      </w:pPr>
      <w:r w:rsidRPr="002A6881">
        <w:rPr>
          <w:rFonts w:asciiTheme="minorHAnsi" w:hAnsiTheme="minorHAnsi" w:cstheme="minorHAnsi"/>
          <w:b/>
          <w:i/>
          <w:szCs w:val="24"/>
        </w:rPr>
        <w:t xml:space="preserve">Higher Education Support Amendment (Maximum Payments for Other Grants) </w:t>
      </w:r>
      <w:r>
        <w:rPr>
          <w:rFonts w:asciiTheme="minorHAnsi" w:hAnsiTheme="minorHAnsi" w:cstheme="minorHAnsi"/>
          <w:b/>
          <w:i/>
          <w:szCs w:val="24"/>
        </w:rPr>
        <w:t>Determination</w:t>
      </w:r>
      <w:r w:rsidRPr="002A6881">
        <w:rPr>
          <w:rFonts w:asciiTheme="minorHAnsi" w:hAnsiTheme="minorHAnsi" w:cstheme="minorHAnsi"/>
          <w:b/>
          <w:i/>
          <w:szCs w:val="24"/>
        </w:rPr>
        <w:t xml:space="preserve"> </w:t>
      </w:r>
      <w:r w:rsidR="000505A9" w:rsidRPr="002A6881">
        <w:rPr>
          <w:rFonts w:asciiTheme="minorHAnsi" w:hAnsiTheme="minorHAnsi" w:cstheme="minorHAnsi"/>
          <w:b/>
          <w:i/>
          <w:szCs w:val="24"/>
        </w:rPr>
        <w:t>202</w:t>
      </w:r>
      <w:r w:rsidR="000505A9">
        <w:rPr>
          <w:rFonts w:asciiTheme="minorHAnsi" w:hAnsiTheme="minorHAnsi" w:cstheme="minorHAnsi"/>
          <w:b/>
          <w:i/>
          <w:szCs w:val="24"/>
        </w:rPr>
        <w:t>4</w:t>
      </w:r>
    </w:p>
    <w:p w14:paraId="473EB251" w14:textId="77777777" w:rsidR="00EE2298" w:rsidRDefault="00EE2298" w:rsidP="00EE2298">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4B4BA8C3" w14:textId="77777777" w:rsidR="00EE2298" w:rsidRDefault="00EE2298" w:rsidP="00EE2298">
      <w:pPr>
        <w:pStyle w:val="Heading2"/>
        <w:spacing w:after="240"/>
        <w:rPr>
          <w:rFonts w:asciiTheme="minorHAnsi" w:hAnsiTheme="minorHAnsi" w:cstheme="minorHAnsi"/>
          <w:b w:val="0"/>
          <w:iCs/>
          <w:color w:val="auto"/>
        </w:rPr>
      </w:pPr>
      <w:r>
        <w:rPr>
          <w:rFonts w:asciiTheme="minorHAnsi" w:hAnsiTheme="minorHAnsi" w:cstheme="minorHAnsi"/>
          <w:b w:val="0"/>
          <w:iCs/>
          <w:color w:val="auto"/>
        </w:rPr>
        <w:t xml:space="preserve">The </w:t>
      </w:r>
      <w:r>
        <w:rPr>
          <w:rFonts w:asciiTheme="minorHAnsi" w:hAnsiTheme="minorHAnsi" w:cstheme="minorHAnsi"/>
          <w:b w:val="0"/>
          <w:i/>
          <w:color w:val="auto"/>
        </w:rPr>
        <w:t>Higher Education Support (Maximum Payments for Other Grants) Determination 2020</w:t>
      </w:r>
      <w:r>
        <w:rPr>
          <w:rFonts w:asciiTheme="minorHAnsi" w:hAnsiTheme="minorHAnsi" w:cstheme="minorHAnsi"/>
          <w:b w:val="0"/>
          <w:iCs/>
          <w:color w:val="auto"/>
        </w:rPr>
        <w:t xml:space="preserve"> (the Principal Instrument) is made under subsection 41-45(1B) of the </w:t>
      </w:r>
      <w:r>
        <w:rPr>
          <w:rFonts w:asciiTheme="minorHAnsi" w:hAnsiTheme="minorHAnsi" w:cstheme="minorHAnsi"/>
          <w:b w:val="0"/>
          <w:i/>
          <w:color w:val="auto"/>
        </w:rPr>
        <w:t xml:space="preserve">Higher Education Support Act 2003 </w:t>
      </w:r>
      <w:r>
        <w:rPr>
          <w:rFonts w:asciiTheme="minorHAnsi" w:hAnsiTheme="minorHAnsi" w:cstheme="minorHAnsi"/>
          <w:b w:val="0"/>
          <w:iCs/>
          <w:color w:val="auto"/>
        </w:rPr>
        <w:t>(the Act). The Principal Instrument determines the maximum payments made under Part 2-3 of the Act in respect of a year starting on or after 1 January 2017.</w:t>
      </w:r>
    </w:p>
    <w:p w14:paraId="30962ACA" w14:textId="0C7141BB" w:rsidR="00EE2298" w:rsidRPr="002A6881" w:rsidRDefault="00EE2298" w:rsidP="00EE2298">
      <w:pPr>
        <w:rPr>
          <w:rFonts w:asciiTheme="minorHAnsi" w:eastAsiaTheme="majorEastAsia" w:hAnsiTheme="minorHAnsi" w:cstheme="minorHAnsi"/>
          <w:iCs/>
          <w:szCs w:val="26"/>
        </w:rPr>
      </w:pPr>
      <w:r>
        <w:rPr>
          <w:rFonts w:asciiTheme="minorHAnsi" w:eastAsiaTheme="majorEastAsia" w:hAnsiTheme="minorHAnsi" w:cstheme="minorHAnsi"/>
          <w:iCs/>
          <w:szCs w:val="26"/>
        </w:rPr>
        <w:t xml:space="preserve">Subsection 41-45(1D) of the Act provides that the Minister may, in writing, vary a determination under subsection 41-45(1B) of the Act for a year at any time before the end of that year. The amendment of the Principal Instrument by the </w:t>
      </w:r>
      <w:r>
        <w:rPr>
          <w:rFonts w:asciiTheme="minorHAnsi" w:eastAsiaTheme="majorEastAsia" w:hAnsiTheme="minorHAnsi" w:cstheme="minorHAnsi"/>
          <w:i/>
          <w:szCs w:val="26"/>
        </w:rPr>
        <w:t>Higher Education Support Amendment (Maximum Payments for Other Grants) Determination 202</w:t>
      </w:r>
      <w:r w:rsidR="00083AD0">
        <w:rPr>
          <w:rFonts w:asciiTheme="minorHAnsi" w:eastAsiaTheme="majorEastAsia" w:hAnsiTheme="minorHAnsi" w:cstheme="minorHAnsi"/>
          <w:i/>
          <w:szCs w:val="26"/>
        </w:rPr>
        <w:t>4</w:t>
      </w:r>
      <w:r>
        <w:rPr>
          <w:rFonts w:asciiTheme="minorHAnsi" w:eastAsiaTheme="majorEastAsia" w:hAnsiTheme="minorHAnsi" w:cstheme="minorHAnsi"/>
          <w:i/>
          <w:szCs w:val="26"/>
        </w:rPr>
        <w:t xml:space="preserve"> </w:t>
      </w:r>
      <w:r>
        <w:rPr>
          <w:rFonts w:asciiTheme="minorHAnsi" w:eastAsiaTheme="majorEastAsia" w:hAnsiTheme="minorHAnsi" w:cstheme="minorHAnsi"/>
          <w:iCs/>
          <w:szCs w:val="26"/>
        </w:rPr>
        <w:t xml:space="preserve">(the Amendment Instrument) relies on that provision. </w:t>
      </w:r>
    </w:p>
    <w:bookmarkEnd w:id="0"/>
    <w:bookmarkEnd w:id="1"/>
    <w:p w14:paraId="0BF45B15" w14:textId="77777777" w:rsidR="00EE2298" w:rsidRPr="008134D5" w:rsidRDefault="00EE2298" w:rsidP="00EE2298">
      <w:pPr>
        <w:pStyle w:val="Heading2"/>
        <w:rPr>
          <w:rFonts w:asciiTheme="minorHAnsi" w:hAnsiTheme="minorHAnsi" w:cstheme="minorHAnsi"/>
          <w:color w:val="auto"/>
        </w:rPr>
      </w:pPr>
      <w:r>
        <w:rPr>
          <w:rFonts w:asciiTheme="minorHAnsi" w:hAnsiTheme="minorHAnsi" w:cstheme="minorHAnsi"/>
          <w:color w:val="auto"/>
        </w:rPr>
        <w:t>PURPOSE AND OPERATION</w:t>
      </w:r>
    </w:p>
    <w:p w14:paraId="3856E3FC" w14:textId="200EB09F" w:rsidR="00EE2298" w:rsidRDefault="00EE2298" w:rsidP="00EE2298">
      <w:pPr>
        <w:spacing w:before="120" w:after="120"/>
        <w:rPr>
          <w:rFonts w:asciiTheme="minorHAnsi" w:hAnsiTheme="minorHAnsi" w:cstheme="minorHAnsi"/>
          <w:iCs/>
          <w:szCs w:val="24"/>
        </w:rPr>
      </w:pPr>
      <w:bookmarkStart w:id="2" w:name="_Hlk149129390"/>
      <w:r>
        <w:rPr>
          <w:rFonts w:asciiTheme="minorHAnsi" w:hAnsiTheme="minorHAnsi" w:cstheme="minorHAnsi"/>
          <w:iCs/>
          <w:szCs w:val="24"/>
        </w:rPr>
        <w:t>The Amendment Instrument amends the Principal Instrument to increase the maximum payment amount for payments made under Part 2-3 of the Act for 202</w:t>
      </w:r>
      <w:r w:rsidR="00C51AEF">
        <w:rPr>
          <w:rFonts w:asciiTheme="minorHAnsi" w:hAnsiTheme="minorHAnsi" w:cstheme="minorHAnsi"/>
          <w:iCs/>
          <w:szCs w:val="24"/>
        </w:rPr>
        <w:t>4</w:t>
      </w:r>
      <w:r>
        <w:rPr>
          <w:rFonts w:asciiTheme="minorHAnsi" w:hAnsiTheme="minorHAnsi" w:cstheme="minorHAnsi"/>
          <w:iCs/>
          <w:szCs w:val="24"/>
        </w:rPr>
        <w:t xml:space="preserve"> and 202</w:t>
      </w:r>
      <w:r w:rsidR="00C51AEF">
        <w:rPr>
          <w:rFonts w:asciiTheme="minorHAnsi" w:hAnsiTheme="minorHAnsi" w:cstheme="minorHAnsi"/>
          <w:iCs/>
          <w:szCs w:val="24"/>
        </w:rPr>
        <w:t>5</w:t>
      </w:r>
      <w:r>
        <w:rPr>
          <w:rFonts w:asciiTheme="minorHAnsi" w:hAnsiTheme="minorHAnsi" w:cstheme="minorHAnsi"/>
          <w:iCs/>
          <w:szCs w:val="24"/>
        </w:rPr>
        <w:t xml:space="preserve">. </w:t>
      </w:r>
    </w:p>
    <w:bookmarkEnd w:id="2"/>
    <w:p w14:paraId="78750C97" w14:textId="0BB44E3A" w:rsidR="00EE2298" w:rsidRPr="00010BAE" w:rsidRDefault="00EE2298" w:rsidP="00EE2298">
      <w:pPr>
        <w:rPr>
          <w:rFonts w:ascii="Calibri" w:hAnsi="Calibri" w:cs="Calibri"/>
          <w:szCs w:val="24"/>
        </w:rPr>
      </w:pPr>
      <w:r w:rsidRPr="000E08A5">
        <w:rPr>
          <w:rFonts w:asciiTheme="minorHAnsi" w:hAnsiTheme="minorHAnsi"/>
        </w:rPr>
        <w:t>The Amendment Instrument increases the maximum amount for payments under</w:t>
      </w:r>
      <w:r>
        <w:rPr>
          <w:rFonts w:asciiTheme="minorHAnsi" w:hAnsiTheme="minorHAnsi"/>
        </w:rPr>
        <w:t xml:space="preserve"> </w:t>
      </w:r>
      <w:r w:rsidRPr="00477309">
        <w:rPr>
          <w:rFonts w:asciiTheme="minorHAnsi" w:hAnsiTheme="minorHAnsi"/>
        </w:rPr>
        <w:t>Part 2-3 of the Act for 202</w:t>
      </w:r>
      <w:r w:rsidR="00C51AEF">
        <w:rPr>
          <w:rFonts w:asciiTheme="minorHAnsi" w:hAnsiTheme="minorHAnsi"/>
        </w:rPr>
        <w:t>4</w:t>
      </w:r>
      <w:r w:rsidRPr="00477309">
        <w:rPr>
          <w:rFonts w:asciiTheme="minorHAnsi" w:hAnsiTheme="minorHAnsi"/>
        </w:rPr>
        <w:t xml:space="preserve"> and 202</w:t>
      </w:r>
      <w:r w:rsidR="00C51AEF">
        <w:rPr>
          <w:rFonts w:asciiTheme="minorHAnsi" w:hAnsiTheme="minorHAnsi"/>
        </w:rPr>
        <w:t>5</w:t>
      </w:r>
      <w:r w:rsidRPr="00477309">
        <w:rPr>
          <w:rFonts w:asciiTheme="minorHAnsi" w:hAnsiTheme="minorHAnsi"/>
        </w:rPr>
        <w:t xml:space="preserve"> </w:t>
      </w:r>
      <w:r w:rsidRPr="009E765D">
        <w:rPr>
          <w:rFonts w:asciiTheme="minorHAnsi" w:hAnsiTheme="minorHAnsi"/>
        </w:rPr>
        <w:t xml:space="preserve">to account for </w:t>
      </w:r>
      <w:r w:rsidR="00E2515A">
        <w:rPr>
          <w:rFonts w:asciiTheme="minorHAnsi" w:hAnsiTheme="minorHAnsi"/>
        </w:rPr>
        <w:t xml:space="preserve">indexation and </w:t>
      </w:r>
      <w:r w:rsidR="00DF2998">
        <w:rPr>
          <w:rFonts w:asciiTheme="minorHAnsi" w:hAnsiTheme="minorHAnsi"/>
        </w:rPr>
        <w:t>changes in the allocation of grant funding due to reallocation of funding across grant years and the provision of extra grant funding for certain grant programs</w:t>
      </w:r>
      <w:r w:rsidR="000A421A" w:rsidRPr="00010BAE">
        <w:rPr>
          <w:rFonts w:asciiTheme="minorHAnsi" w:hAnsiTheme="minorHAnsi"/>
        </w:rPr>
        <w:t>.</w:t>
      </w:r>
      <w:r w:rsidR="00786DFD">
        <w:rPr>
          <w:rFonts w:asciiTheme="minorHAnsi" w:hAnsiTheme="minorHAnsi"/>
        </w:rPr>
        <w:t xml:space="preserve"> The Amendment Instrument also </w:t>
      </w:r>
      <w:r w:rsidR="00906FC1">
        <w:rPr>
          <w:rFonts w:asciiTheme="minorHAnsi" w:hAnsiTheme="minorHAnsi"/>
        </w:rPr>
        <w:t>amends the Principal Instrument to determine a</w:t>
      </w:r>
      <w:r w:rsidR="00786DFD">
        <w:rPr>
          <w:rFonts w:asciiTheme="minorHAnsi" w:hAnsiTheme="minorHAnsi"/>
        </w:rPr>
        <w:t xml:space="preserve"> maximum payment amount for 202</w:t>
      </w:r>
      <w:r w:rsidR="00C51AEF">
        <w:rPr>
          <w:rFonts w:asciiTheme="minorHAnsi" w:hAnsiTheme="minorHAnsi"/>
        </w:rPr>
        <w:t>6</w:t>
      </w:r>
      <w:r w:rsidR="00786DFD">
        <w:rPr>
          <w:rFonts w:asciiTheme="minorHAnsi" w:hAnsiTheme="minorHAnsi"/>
        </w:rPr>
        <w:t xml:space="preserve">. </w:t>
      </w:r>
    </w:p>
    <w:p w14:paraId="780FFACA" w14:textId="79F43377" w:rsidR="00EE2298" w:rsidRPr="00350779" w:rsidRDefault="00906FC1" w:rsidP="00EE2298">
      <w:pPr>
        <w:pStyle w:val="Heading2"/>
        <w:rPr>
          <w:rFonts w:asciiTheme="minorHAnsi" w:hAnsiTheme="minorHAnsi" w:cstheme="minorHAnsi"/>
          <w:color w:val="auto"/>
        </w:rPr>
      </w:pPr>
      <w:r>
        <w:rPr>
          <w:rFonts w:asciiTheme="minorHAnsi" w:hAnsiTheme="minorHAnsi" w:cstheme="minorHAnsi"/>
          <w:color w:val="auto"/>
        </w:rPr>
        <w:t>IMPACT ANALYSIS</w:t>
      </w:r>
    </w:p>
    <w:p w14:paraId="18151497" w14:textId="6D90EF9B" w:rsidR="00EE2298" w:rsidRPr="00D44076" w:rsidRDefault="00EE2298" w:rsidP="00EE2298">
      <w:pPr>
        <w:spacing w:before="120" w:after="120"/>
        <w:rPr>
          <w:rFonts w:asciiTheme="minorHAnsi" w:hAnsiTheme="minorHAnsi" w:cstheme="minorHAnsi"/>
          <w:szCs w:val="24"/>
        </w:rPr>
      </w:pPr>
      <w:r w:rsidRPr="00D44076">
        <w:rPr>
          <w:rFonts w:asciiTheme="minorHAnsi" w:hAnsiTheme="minorHAnsi" w:cstheme="minorHAnsi"/>
          <w:szCs w:val="24"/>
        </w:rPr>
        <w:t xml:space="preserve">The Office of </w:t>
      </w:r>
      <w:r w:rsidR="00906FC1" w:rsidRPr="00D44076">
        <w:rPr>
          <w:rFonts w:asciiTheme="minorHAnsi" w:hAnsiTheme="minorHAnsi" w:cstheme="minorHAnsi"/>
          <w:szCs w:val="24"/>
        </w:rPr>
        <w:t>Impact Analysis</w:t>
      </w:r>
      <w:r w:rsidRPr="00D44076">
        <w:rPr>
          <w:rFonts w:asciiTheme="minorHAnsi" w:hAnsiTheme="minorHAnsi" w:cstheme="minorHAnsi"/>
          <w:szCs w:val="24"/>
        </w:rPr>
        <w:t xml:space="preserve"> </w:t>
      </w:r>
      <w:r w:rsidR="0027025C" w:rsidRPr="00364969">
        <w:rPr>
          <w:rFonts w:asciiTheme="minorHAnsi" w:hAnsiTheme="minorHAnsi" w:cstheme="minorHAnsi"/>
          <w:szCs w:val="24"/>
        </w:rPr>
        <w:t xml:space="preserve">(OIA) </w:t>
      </w:r>
      <w:r w:rsidRPr="00D44076">
        <w:rPr>
          <w:rFonts w:asciiTheme="minorHAnsi" w:hAnsiTheme="minorHAnsi" w:cstheme="minorHAnsi"/>
          <w:szCs w:val="24"/>
        </w:rPr>
        <w:t xml:space="preserve">has been consulted and advised </w:t>
      </w:r>
      <w:r w:rsidRPr="00D44076">
        <w:rPr>
          <w:rFonts w:ascii="Calibri" w:hAnsi="Calibri" w:cs="Calibri"/>
          <w:shd w:val="clear" w:color="auto" w:fill="FFFFFF"/>
        </w:rPr>
        <w:t xml:space="preserve">that </w:t>
      </w:r>
      <w:r w:rsidR="00735A84">
        <w:rPr>
          <w:rFonts w:ascii="Calibri" w:hAnsi="Calibri" w:cs="Calibri"/>
          <w:shd w:val="clear" w:color="auto" w:fill="FFFFFF"/>
        </w:rPr>
        <w:t>a</w:t>
      </w:r>
      <w:r w:rsidR="00FD282D">
        <w:rPr>
          <w:rFonts w:ascii="Calibri" w:hAnsi="Calibri" w:cs="Calibri"/>
          <w:shd w:val="clear" w:color="auto" w:fill="FFFFFF"/>
        </w:rPr>
        <w:t xml:space="preserve"> detailed</w:t>
      </w:r>
      <w:r w:rsidR="00735A84">
        <w:rPr>
          <w:rFonts w:ascii="Calibri" w:hAnsi="Calibri" w:cs="Calibri"/>
          <w:shd w:val="clear" w:color="auto" w:fill="FFFFFF"/>
        </w:rPr>
        <w:t xml:space="preserve"> Impact Analysis is not required (OIA ID: </w:t>
      </w:r>
      <w:r w:rsidR="00735A84" w:rsidRPr="00D44076">
        <w:rPr>
          <w:rFonts w:ascii="Calibri" w:hAnsi="Calibri" w:cs="Calibri"/>
          <w:shd w:val="clear" w:color="auto" w:fill="FFFFFF"/>
        </w:rPr>
        <w:t>2</w:t>
      </w:r>
      <w:r w:rsidR="00735A84" w:rsidRPr="0044316A">
        <w:rPr>
          <w:rFonts w:ascii="Calibri" w:hAnsi="Calibri" w:cs="Calibri"/>
          <w:shd w:val="clear" w:color="auto" w:fill="FFFFFF"/>
        </w:rPr>
        <w:t>4</w:t>
      </w:r>
      <w:r w:rsidR="00735A84" w:rsidRPr="00D44076">
        <w:rPr>
          <w:rFonts w:ascii="Calibri" w:hAnsi="Calibri" w:cs="Calibri"/>
          <w:shd w:val="clear" w:color="auto" w:fill="FFFFFF"/>
        </w:rPr>
        <w:t>-0</w:t>
      </w:r>
      <w:r w:rsidR="00735A84" w:rsidRPr="0044316A">
        <w:rPr>
          <w:rFonts w:ascii="Calibri" w:hAnsi="Calibri" w:cs="Calibri"/>
          <w:shd w:val="clear" w:color="auto" w:fill="FFFFFF"/>
        </w:rPr>
        <w:t>8515</w:t>
      </w:r>
      <w:r w:rsidR="00735A84">
        <w:rPr>
          <w:rFonts w:ascii="Calibri" w:hAnsi="Calibri" w:cs="Calibri"/>
          <w:shd w:val="clear" w:color="auto" w:fill="FFFFFF"/>
        </w:rPr>
        <w:t xml:space="preserve">). </w:t>
      </w:r>
    </w:p>
    <w:p w14:paraId="7BC3AC69" w14:textId="77777777" w:rsidR="00EE2298" w:rsidRPr="0088497A" w:rsidRDefault="00EE2298" w:rsidP="00EE2298">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1CBA23E5" w14:textId="77777777" w:rsidR="00EE2298" w:rsidRPr="00852CDC" w:rsidRDefault="00EE2298" w:rsidP="00EE2298">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2BFFC376" w14:textId="77777777" w:rsidR="00EE2298" w:rsidRPr="008134D5" w:rsidRDefault="00EE2298" w:rsidP="00EE2298">
      <w:pPr>
        <w:pStyle w:val="Heading2"/>
        <w:rPr>
          <w:rFonts w:asciiTheme="minorHAnsi" w:hAnsiTheme="minorHAnsi" w:cstheme="minorHAnsi"/>
          <w:color w:val="auto"/>
        </w:rPr>
      </w:pPr>
      <w:bookmarkStart w:id="3" w:name="_Toc34293360"/>
      <w:r w:rsidRPr="008134D5">
        <w:rPr>
          <w:rFonts w:asciiTheme="minorHAnsi" w:hAnsiTheme="minorHAnsi" w:cstheme="minorHAnsi"/>
          <w:color w:val="auto"/>
        </w:rPr>
        <w:t>CONSULTATION</w:t>
      </w:r>
      <w:bookmarkEnd w:id="3"/>
    </w:p>
    <w:p w14:paraId="0DFA5359" w14:textId="3100010F" w:rsidR="00EE2298" w:rsidRPr="00852CDC" w:rsidRDefault="00EE2298" w:rsidP="00EE2298">
      <w:pPr>
        <w:spacing w:before="120" w:after="120"/>
        <w:rPr>
          <w:rFonts w:asciiTheme="minorHAnsi" w:hAnsiTheme="minorHAnsi" w:cstheme="minorHAnsi"/>
          <w:iCs/>
        </w:rPr>
      </w:pPr>
      <w:r>
        <w:rPr>
          <w:rFonts w:asciiTheme="minorHAnsi" w:hAnsiTheme="minorHAnsi" w:cstheme="minorHAnsi"/>
          <w:iCs/>
        </w:rPr>
        <w:t xml:space="preserve">Consultation was not undertaken on the Amendment Instrument as it does not create any new rights or liabilities or make any grants under Part 2-3 of the Act. The Amendment Instrument is a technical step that must be undertaken by the Minister to enable grants </w:t>
      </w:r>
      <w:r>
        <w:rPr>
          <w:rFonts w:asciiTheme="minorHAnsi" w:hAnsiTheme="minorHAnsi" w:cstheme="minorHAnsi"/>
          <w:iCs/>
        </w:rPr>
        <w:lastRenderedPageBreak/>
        <w:t xml:space="preserve">under Part 2-3 to be made. As such, it was considered that broad consultation on the Amendment Instrument was not required. </w:t>
      </w:r>
    </w:p>
    <w:p w14:paraId="575C29C3" w14:textId="77777777" w:rsidR="00EE2298" w:rsidRPr="008134D5" w:rsidRDefault="00EE2298" w:rsidP="00EE2298">
      <w:pPr>
        <w:spacing w:before="120" w:after="120"/>
        <w:rPr>
          <w:rFonts w:asciiTheme="minorHAnsi" w:hAnsiTheme="minorHAnsi" w:cstheme="minorHAnsi"/>
        </w:rPr>
      </w:pPr>
      <w:r w:rsidRPr="008134D5">
        <w:rPr>
          <w:rFonts w:asciiTheme="minorHAnsi" w:hAnsiTheme="minorHAnsi" w:cstheme="minorHAnsi"/>
        </w:rPr>
        <w:br w:type="page"/>
      </w:r>
    </w:p>
    <w:p w14:paraId="05BB1308" w14:textId="77777777" w:rsidR="00EE2298" w:rsidRPr="008134D5" w:rsidRDefault="00EE2298" w:rsidP="00EE2298">
      <w:pPr>
        <w:pStyle w:val="Heading2"/>
        <w:jc w:val="center"/>
        <w:rPr>
          <w:rFonts w:asciiTheme="minorHAnsi" w:hAnsiTheme="minorHAnsi" w:cstheme="minorHAnsi"/>
          <w:color w:val="auto"/>
        </w:rPr>
      </w:pPr>
      <w:bookmarkStart w:id="4" w:name="_Toc23942241"/>
      <w:bookmarkStart w:id="5" w:name="_Toc34293362"/>
      <w:r w:rsidRPr="008134D5">
        <w:rPr>
          <w:rFonts w:asciiTheme="minorHAnsi" w:hAnsiTheme="minorHAnsi" w:cstheme="minorHAnsi"/>
          <w:color w:val="auto"/>
        </w:rPr>
        <w:lastRenderedPageBreak/>
        <w:t>STATEMENT OF COMPATIBILITY WITH HUMAN RIGHTS</w:t>
      </w:r>
      <w:bookmarkEnd w:id="4"/>
      <w:bookmarkEnd w:id="5"/>
    </w:p>
    <w:p w14:paraId="74D5D0AD" w14:textId="77777777" w:rsidR="00EE2298" w:rsidRPr="008134D5" w:rsidRDefault="00EE2298" w:rsidP="00EE2298">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49B37495" w14:textId="6C450797" w:rsidR="00EE2298" w:rsidRPr="008134D5" w:rsidRDefault="00EE2298" w:rsidP="00EE2298">
      <w:pPr>
        <w:spacing w:before="120" w:after="120"/>
        <w:jc w:val="center"/>
        <w:rPr>
          <w:rFonts w:asciiTheme="minorHAnsi" w:hAnsiTheme="minorHAnsi" w:cstheme="minorHAnsi"/>
          <w:szCs w:val="24"/>
        </w:rPr>
      </w:pPr>
      <w:r>
        <w:rPr>
          <w:rFonts w:asciiTheme="minorHAnsi" w:hAnsiTheme="minorHAnsi" w:cstheme="minorHAnsi"/>
          <w:szCs w:val="24"/>
          <w:u w:val="single"/>
        </w:rPr>
        <w:t>Higher Education Support Amendment (Maximum Payments for Other Grants) Determination 202</w:t>
      </w:r>
      <w:r w:rsidR="001E753E">
        <w:rPr>
          <w:rFonts w:asciiTheme="minorHAnsi" w:hAnsiTheme="minorHAnsi" w:cstheme="minorHAnsi"/>
          <w:szCs w:val="24"/>
          <w:u w:val="single"/>
        </w:rPr>
        <w:t>4</w:t>
      </w:r>
    </w:p>
    <w:p w14:paraId="048C5C2A" w14:textId="2F41167B"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i/>
          <w:iCs/>
          <w:szCs w:val="24"/>
        </w:rPr>
        <w:t>Higher Education Support Amendment (Maximum Payments for Other Grants) Determination 202</w:t>
      </w:r>
      <w:r w:rsidR="0028764D">
        <w:rPr>
          <w:rFonts w:asciiTheme="minorHAnsi" w:hAnsiTheme="minorHAnsi" w:cstheme="minorHAnsi"/>
          <w:i/>
          <w:iCs/>
          <w:szCs w:val="24"/>
        </w:rPr>
        <w:t>4</w:t>
      </w:r>
      <w:r>
        <w:rPr>
          <w:rFonts w:asciiTheme="minorHAnsi" w:hAnsiTheme="minorHAnsi" w:cstheme="minorHAnsi"/>
          <w:szCs w:val="24"/>
        </w:rPr>
        <w:t xml:space="preserve"> (the Amendment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17B8572E" w14:textId="77777777"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Pr>
          <w:rFonts w:asciiTheme="minorHAnsi" w:hAnsiTheme="minorHAnsi" w:cstheme="minorHAnsi"/>
          <w:b/>
          <w:szCs w:val="24"/>
        </w:rPr>
        <w:t>Legislative Instrument</w:t>
      </w:r>
    </w:p>
    <w:p w14:paraId="15F541BA" w14:textId="2883F703" w:rsidR="00EE2298" w:rsidRDefault="00EE2298" w:rsidP="00EE2298">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w:t>
      </w:r>
      <w:r>
        <w:rPr>
          <w:rFonts w:asciiTheme="minorHAnsi" w:hAnsiTheme="minorHAnsi" w:cstheme="minorHAnsi"/>
          <w:i/>
          <w:szCs w:val="24"/>
        </w:rPr>
        <w:t xml:space="preserve">Higher Education Support (Maximum Payments for Other Grants) Determination 2020 </w:t>
      </w:r>
      <w:r>
        <w:rPr>
          <w:rFonts w:asciiTheme="minorHAnsi" w:hAnsiTheme="minorHAnsi" w:cstheme="minorHAnsi"/>
          <w:iCs/>
          <w:szCs w:val="24"/>
        </w:rPr>
        <w:t xml:space="preserve">(the Principal Instrument) to increase the maximum payment amount for payments made under Part 2-3 of the </w:t>
      </w:r>
      <w:r w:rsidR="0067097E" w:rsidRPr="0067097E">
        <w:rPr>
          <w:rFonts w:asciiTheme="minorHAnsi" w:hAnsiTheme="minorHAnsi" w:cstheme="minorHAnsi"/>
          <w:i/>
          <w:iCs/>
          <w:szCs w:val="24"/>
        </w:rPr>
        <w:t xml:space="preserve">Higher Education Support Act 2003 </w:t>
      </w:r>
      <w:r w:rsidR="0067097E">
        <w:rPr>
          <w:rFonts w:asciiTheme="minorHAnsi" w:hAnsiTheme="minorHAnsi" w:cstheme="minorHAnsi"/>
          <w:szCs w:val="24"/>
        </w:rPr>
        <w:t xml:space="preserve">(the </w:t>
      </w:r>
      <w:r>
        <w:rPr>
          <w:rFonts w:asciiTheme="minorHAnsi" w:hAnsiTheme="minorHAnsi" w:cstheme="minorHAnsi"/>
          <w:iCs/>
          <w:szCs w:val="24"/>
        </w:rPr>
        <w:t>Act</w:t>
      </w:r>
      <w:r w:rsidR="0067097E">
        <w:rPr>
          <w:rFonts w:asciiTheme="minorHAnsi" w:hAnsiTheme="minorHAnsi" w:cstheme="minorHAnsi"/>
          <w:iCs/>
          <w:szCs w:val="24"/>
        </w:rPr>
        <w:t>)</w:t>
      </w:r>
      <w:r>
        <w:rPr>
          <w:rFonts w:asciiTheme="minorHAnsi" w:hAnsiTheme="minorHAnsi" w:cstheme="minorHAnsi"/>
          <w:iCs/>
          <w:szCs w:val="24"/>
        </w:rPr>
        <w:t xml:space="preserve"> for 202</w:t>
      </w:r>
      <w:r w:rsidR="001E753E">
        <w:rPr>
          <w:rFonts w:asciiTheme="minorHAnsi" w:hAnsiTheme="minorHAnsi" w:cstheme="minorHAnsi"/>
          <w:iCs/>
          <w:szCs w:val="24"/>
        </w:rPr>
        <w:t>4</w:t>
      </w:r>
      <w:r>
        <w:rPr>
          <w:rFonts w:asciiTheme="minorHAnsi" w:hAnsiTheme="minorHAnsi" w:cstheme="minorHAnsi"/>
          <w:iCs/>
          <w:szCs w:val="24"/>
        </w:rPr>
        <w:t xml:space="preserve"> and 202</w:t>
      </w:r>
      <w:r w:rsidR="001E753E">
        <w:rPr>
          <w:rFonts w:asciiTheme="minorHAnsi" w:hAnsiTheme="minorHAnsi" w:cstheme="minorHAnsi"/>
          <w:iCs/>
          <w:szCs w:val="24"/>
        </w:rPr>
        <w:t>5</w:t>
      </w:r>
      <w:r>
        <w:rPr>
          <w:rFonts w:asciiTheme="minorHAnsi" w:hAnsiTheme="minorHAnsi" w:cstheme="minorHAnsi"/>
          <w:iCs/>
          <w:szCs w:val="24"/>
        </w:rPr>
        <w:t xml:space="preserve">. </w:t>
      </w:r>
    </w:p>
    <w:p w14:paraId="4756F789" w14:textId="5C18308B" w:rsidR="00906FC1" w:rsidRPr="00F12CE8" w:rsidRDefault="00906FC1" w:rsidP="00906FC1">
      <w:pPr>
        <w:rPr>
          <w:rFonts w:ascii="Calibri" w:hAnsi="Calibri" w:cs="Calibri"/>
          <w:szCs w:val="24"/>
        </w:rPr>
      </w:pPr>
      <w:r w:rsidRPr="000E08A5">
        <w:rPr>
          <w:rFonts w:asciiTheme="minorHAnsi" w:hAnsiTheme="minorHAnsi"/>
        </w:rPr>
        <w:t>The Amendment Instrument increases the maximum amount for payments under</w:t>
      </w:r>
      <w:r>
        <w:rPr>
          <w:rFonts w:asciiTheme="minorHAnsi" w:hAnsiTheme="minorHAnsi"/>
        </w:rPr>
        <w:t xml:space="preserve"> </w:t>
      </w:r>
      <w:r w:rsidRPr="00477309">
        <w:rPr>
          <w:rFonts w:asciiTheme="minorHAnsi" w:hAnsiTheme="minorHAnsi"/>
        </w:rPr>
        <w:t>Part 2-3 of the Act for 202</w:t>
      </w:r>
      <w:r w:rsidR="00201764">
        <w:rPr>
          <w:rFonts w:asciiTheme="minorHAnsi" w:hAnsiTheme="minorHAnsi"/>
        </w:rPr>
        <w:t>4</w:t>
      </w:r>
      <w:r w:rsidRPr="00477309">
        <w:rPr>
          <w:rFonts w:asciiTheme="minorHAnsi" w:hAnsiTheme="minorHAnsi"/>
        </w:rPr>
        <w:t xml:space="preserve"> and 202</w:t>
      </w:r>
      <w:r w:rsidR="00201764">
        <w:rPr>
          <w:rFonts w:asciiTheme="minorHAnsi" w:hAnsiTheme="minorHAnsi"/>
        </w:rPr>
        <w:t>5</w:t>
      </w:r>
      <w:r w:rsidRPr="00477309">
        <w:rPr>
          <w:rFonts w:asciiTheme="minorHAnsi" w:hAnsiTheme="minorHAnsi"/>
        </w:rPr>
        <w:t xml:space="preserve"> </w:t>
      </w:r>
      <w:r w:rsidRPr="009E765D">
        <w:rPr>
          <w:rFonts w:asciiTheme="minorHAnsi" w:hAnsiTheme="minorHAnsi"/>
        </w:rPr>
        <w:t xml:space="preserve">to account for </w:t>
      </w:r>
      <w:r>
        <w:rPr>
          <w:rFonts w:asciiTheme="minorHAnsi" w:hAnsiTheme="minorHAnsi"/>
        </w:rPr>
        <w:t xml:space="preserve">indexation and </w:t>
      </w:r>
      <w:r w:rsidR="00DF2998">
        <w:rPr>
          <w:rFonts w:asciiTheme="minorHAnsi" w:hAnsiTheme="minorHAnsi"/>
        </w:rPr>
        <w:t>changes in the allocation of grant funding due to reallocation of funding across grant years and the provision of extra grant funding for certain grant programs</w:t>
      </w:r>
      <w:r w:rsidRPr="00F12CE8">
        <w:rPr>
          <w:rFonts w:asciiTheme="minorHAnsi" w:hAnsiTheme="minorHAnsi"/>
        </w:rPr>
        <w:t>.</w:t>
      </w:r>
      <w:r>
        <w:rPr>
          <w:rFonts w:asciiTheme="minorHAnsi" w:hAnsiTheme="minorHAnsi"/>
        </w:rPr>
        <w:t xml:space="preserve"> The Amendment Instrument also amends the Principal Instrument to determine a maximum payment amount for 202</w:t>
      </w:r>
      <w:r w:rsidR="00201764">
        <w:rPr>
          <w:rFonts w:asciiTheme="minorHAnsi" w:hAnsiTheme="minorHAnsi"/>
        </w:rPr>
        <w:t>6</w:t>
      </w:r>
      <w:r>
        <w:rPr>
          <w:rFonts w:asciiTheme="minorHAnsi" w:hAnsiTheme="minorHAnsi"/>
        </w:rPr>
        <w:t xml:space="preserve">. </w:t>
      </w:r>
    </w:p>
    <w:p w14:paraId="2B51F61A" w14:textId="77777777"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3A870DD0" w14:textId="0A3109DA" w:rsidR="003617D5" w:rsidRDefault="00EE2298" w:rsidP="00010BAE">
      <w:r w:rsidRPr="00010BAE">
        <w:rPr>
          <w:rFonts w:asciiTheme="minorHAnsi" w:hAnsiTheme="minorHAnsi" w:cstheme="minorHAnsi"/>
          <w:szCs w:val="24"/>
        </w:rPr>
        <w:t>The Amendment Instrument engages th</w:t>
      </w:r>
      <w:r w:rsidR="003617D5">
        <w:rPr>
          <w:rFonts w:asciiTheme="minorHAnsi" w:hAnsiTheme="minorHAnsi" w:cstheme="minorHAnsi"/>
          <w:szCs w:val="24"/>
        </w:rPr>
        <w:t xml:space="preserve">e right to education in Article 13 of the International Covenant on Economic, Social and Cultural Rights (ICESCR). </w:t>
      </w:r>
    </w:p>
    <w:p w14:paraId="688F20A4" w14:textId="556854E8" w:rsidR="00EE2298" w:rsidRPr="00477309" w:rsidRDefault="00EE2298" w:rsidP="00EE2298">
      <w:pPr>
        <w:spacing w:before="120" w:after="120"/>
        <w:rPr>
          <w:rFonts w:asciiTheme="minorHAnsi" w:hAnsiTheme="minorHAnsi" w:cstheme="minorHAnsi"/>
          <w:szCs w:val="24"/>
          <w:u w:val="single"/>
        </w:rPr>
      </w:pPr>
      <w:r w:rsidRPr="00477309">
        <w:rPr>
          <w:rFonts w:asciiTheme="minorHAnsi" w:hAnsiTheme="minorHAnsi" w:cstheme="minorHAnsi"/>
          <w:szCs w:val="24"/>
          <w:u w:val="single"/>
        </w:rPr>
        <w:t>Right to education</w:t>
      </w:r>
    </w:p>
    <w:p w14:paraId="55E42F49" w14:textId="77777777" w:rsidR="00EE2298" w:rsidRPr="00A62DFB" w:rsidRDefault="00EE2298" w:rsidP="00EE2298">
      <w:pPr>
        <w:rPr>
          <w:rFonts w:ascii="Calibri" w:hAnsi="Calibri"/>
        </w:rPr>
      </w:pPr>
      <w:r w:rsidRPr="00A62DFB">
        <w:rPr>
          <w:rFonts w:ascii="Calibri" w:hAnsi="Calibri"/>
        </w:rPr>
        <w:t xml:space="preserve">The Amendment Instrument promotes the right to education contained in Article 13 of the ICESCR. Article 13(2)(c) of the ICESCR provides that </w:t>
      </w:r>
      <w:r>
        <w:rPr>
          <w:rFonts w:ascii="Calibri" w:hAnsi="Calibri"/>
        </w:rPr>
        <w:t>“</w:t>
      </w:r>
      <w:r w:rsidRPr="00A62DFB">
        <w:rPr>
          <w:rFonts w:ascii="Calibri" w:hAnsi="Calibri"/>
        </w:rPr>
        <w:t>higher education shall be made equally accessible to all, on the basis of capacity, by every appropriate means, and in particular by the progressive introduction of free education.</w:t>
      </w:r>
      <w:r>
        <w:rPr>
          <w:rFonts w:ascii="Calibri" w:hAnsi="Calibri"/>
        </w:rPr>
        <w:t>”</w:t>
      </w:r>
    </w:p>
    <w:p w14:paraId="13D82962" w14:textId="37E152D2" w:rsidR="00B06904" w:rsidRDefault="00EE2298" w:rsidP="00B06904">
      <w:pPr>
        <w:rPr>
          <w:rFonts w:ascii="Calibri" w:hAnsi="Calibri"/>
        </w:rPr>
      </w:pPr>
      <w:r w:rsidRPr="002112E8">
        <w:rPr>
          <w:rFonts w:ascii="Calibri" w:hAnsi="Calibri"/>
        </w:rPr>
        <w:t>By increasing the maximum payments for other grants, </w:t>
      </w:r>
      <w:bookmarkStart w:id="6" w:name="_Hlk83378387"/>
      <w:r w:rsidRPr="002112E8">
        <w:rPr>
          <w:rFonts w:ascii="Calibri" w:hAnsi="Calibri"/>
        </w:rPr>
        <w:t xml:space="preserve">the Amendment Instrument </w:t>
      </w:r>
      <w:bookmarkEnd w:id="6"/>
      <w:r w:rsidR="003617D5">
        <w:rPr>
          <w:rFonts w:ascii="Calibri" w:hAnsi="Calibri"/>
        </w:rPr>
        <w:t xml:space="preserve">facilitates the payment of grants under Part 2-3, for the range of purposes set out in the table in subsection 41-10(1) of the Act. Those purposes include promoting equality of opportunity in higher education, supporting the training of research students and supporting research and research capability of higher education providers. The purposes set out in the table in subsection 41-10(1) of the Act support the right to education. </w:t>
      </w:r>
    </w:p>
    <w:p w14:paraId="140BB258" w14:textId="77777777"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1FC592D7" w14:textId="6696C738"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szCs w:val="24"/>
        </w:rPr>
        <w:t>The</w:t>
      </w:r>
      <w:r w:rsidR="00C50EF9">
        <w:rPr>
          <w:rFonts w:asciiTheme="minorHAnsi" w:hAnsiTheme="minorHAnsi" w:cstheme="minorHAnsi"/>
          <w:szCs w:val="24"/>
        </w:rPr>
        <w:t xml:space="preserve"> </w:t>
      </w:r>
      <w:r w:rsidR="00C50EF9" w:rsidRPr="006C169A">
        <w:rPr>
          <w:rFonts w:asciiTheme="minorHAnsi" w:hAnsiTheme="minorHAnsi" w:cstheme="minorHAnsi"/>
          <w:szCs w:val="24"/>
        </w:rPr>
        <w:t>Amendment</w:t>
      </w:r>
      <w:r w:rsidRPr="008134D5">
        <w:rPr>
          <w:rFonts w:asciiTheme="minorHAnsi" w:hAnsiTheme="minorHAnsi" w:cstheme="minorHAnsi"/>
          <w:szCs w:val="24"/>
        </w:rPr>
        <w:t xml:space="preserve"> </w:t>
      </w:r>
      <w:r>
        <w:rPr>
          <w:rFonts w:asciiTheme="minorHAnsi" w:hAnsiTheme="minorHAnsi" w:cstheme="minorHAnsi"/>
          <w:szCs w:val="24"/>
        </w:rPr>
        <w:t>Instrument</w:t>
      </w:r>
      <w:r w:rsidRPr="008134D5">
        <w:rPr>
          <w:rFonts w:asciiTheme="minorHAnsi" w:hAnsiTheme="minorHAnsi" w:cstheme="minorHAnsi"/>
          <w:szCs w:val="24"/>
        </w:rPr>
        <w:t xml:space="preserve"> is compatible with human rights because </w:t>
      </w:r>
      <w:r>
        <w:rPr>
          <w:rFonts w:asciiTheme="minorHAnsi" w:hAnsiTheme="minorHAnsi" w:cstheme="minorHAnsi"/>
          <w:szCs w:val="24"/>
        </w:rPr>
        <w:t xml:space="preserve">it </w:t>
      </w:r>
      <w:r w:rsidR="003617D5">
        <w:rPr>
          <w:rFonts w:asciiTheme="minorHAnsi" w:hAnsiTheme="minorHAnsi" w:cstheme="minorHAnsi"/>
          <w:szCs w:val="24"/>
        </w:rPr>
        <w:t>supports</w:t>
      </w:r>
      <w:r>
        <w:rPr>
          <w:rFonts w:asciiTheme="minorHAnsi" w:hAnsiTheme="minorHAnsi" w:cstheme="minorHAnsi"/>
          <w:szCs w:val="24"/>
        </w:rPr>
        <w:t xml:space="preserve"> the right to education</w:t>
      </w:r>
      <w:r w:rsidRPr="008134D5">
        <w:rPr>
          <w:rFonts w:asciiTheme="minorHAnsi" w:hAnsiTheme="minorHAnsi" w:cstheme="minorHAnsi"/>
          <w:szCs w:val="24"/>
        </w:rPr>
        <w:t xml:space="preserve">. </w:t>
      </w:r>
    </w:p>
    <w:p w14:paraId="799F16C5" w14:textId="77777777" w:rsidR="00EE2298" w:rsidRPr="008134D5" w:rsidRDefault="00EE2298" w:rsidP="00EE2298">
      <w:pPr>
        <w:spacing w:before="120" w:after="120"/>
        <w:rPr>
          <w:rFonts w:asciiTheme="minorHAnsi" w:hAnsiTheme="minorHAnsi" w:cstheme="minorHAnsi"/>
          <w:b/>
          <w:szCs w:val="24"/>
        </w:rPr>
      </w:pPr>
    </w:p>
    <w:p w14:paraId="67398D82" w14:textId="77777777" w:rsidR="00EE2298" w:rsidRPr="008134D5" w:rsidRDefault="00EE2298" w:rsidP="00EE2298">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Pr>
          <w:rFonts w:asciiTheme="minorHAnsi" w:hAnsiTheme="minorHAnsi" w:cstheme="minorHAnsi"/>
          <w:b/>
          <w:szCs w:val="24"/>
        </w:rPr>
        <w:t>Education, the Hon Jason Clare MP</w:t>
      </w:r>
    </w:p>
    <w:p w14:paraId="25F69D81" w14:textId="77777777" w:rsidR="00EE2298" w:rsidRPr="008134D5" w:rsidRDefault="00EE2298" w:rsidP="00EE2298">
      <w:pPr>
        <w:spacing w:before="240" w:after="240"/>
        <w:rPr>
          <w:rFonts w:asciiTheme="minorHAnsi" w:hAnsiTheme="minorHAnsi" w:cstheme="minorHAnsi"/>
          <w:szCs w:val="24"/>
        </w:rPr>
        <w:sectPr w:rsidR="00EE2298" w:rsidRPr="008134D5" w:rsidSect="00785B13">
          <w:footerReference w:type="default" r:id="rId11"/>
          <w:pgSz w:w="11906" w:h="16838"/>
          <w:pgMar w:top="1440" w:right="1440" w:bottom="1440" w:left="1440" w:header="708" w:footer="708" w:gutter="0"/>
          <w:pgNumType w:start="1"/>
          <w:cols w:space="708"/>
          <w:docGrid w:linePitch="360"/>
        </w:sectPr>
      </w:pPr>
    </w:p>
    <w:p w14:paraId="01051936" w14:textId="748B6D63" w:rsidR="00EE2298" w:rsidRPr="00355DAC" w:rsidRDefault="00EE2298" w:rsidP="00EE2298">
      <w:pPr>
        <w:jc w:val="center"/>
        <w:rPr>
          <w:rFonts w:asciiTheme="minorHAnsi" w:hAnsiTheme="minorHAnsi" w:cstheme="minorHAnsi"/>
          <w:b/>
          <w:szCs w:val="24"/>
        </w:rPr>
      </w:pPr>
      <w:r w:rsidRPr="00355DAC">
        <w:rPr>
          <w:rFonts w:asciiTheme="minorHAnsi" w:hAnsiTheme="minorHAnsi" w:cstheme="minorHAnsi"/>
          <w:b/>
          <w:szCs w:val="24"/>
        </w:rPr>
        <w:lastRenderedPageBreak/>
        <w:t xml:space="preserve">HIGHER EDUCATION SUPPORT AMENDMENT (MAXIMUM PAYMENTS FOR OTHER GRANTS) </w:t>
      </w:r>
      <w:r>
        <w:rPr>
          <w:rFonts w:asciiTheme="minorHAnsi" w:hAnsiTheme="minorHAnsi" w:cstheme="minorHAnsi"/>
          <w:b/>
          <w:szCs w:val="24"/>
        </w:rPr>
        <w:t>DETERMINATION</w:t>
      </w:r>
      <w:r w:rsidRPr="00355DAC">
        <w:rPr>
          <w:rFonts w:asciiTheme="minorHAnsi" w:hAnsiTheme="minorHAnsi" w:cstheme="minorHAnsi"/>
          <w:b/>
          <w:szCs w:val="24"/>
        </w:rPr>
        <w:t xml:space="preserve"> 202</w:t>
      </w:r>
      <w:r w:rsidR="000C25AD">
        <w:rPr>
          <w:rFonts w:asciiTheme="minorHAnsi" w:hAnsiTheme="minorHAnsi" w:cstheme="minorHAnsi"/>
          <w:b/>
          <w:szCs w:val="24"/>
        </w:rPr>
        <w:t>4</w:t>
      </w:r>
    </w:p>
    <w:p w14:paraId="3BA4DAB3" w14:textId="77777777" w:rsidR="00EE2298" w:rsidRPr="008134D5" w:rsidRDefault="00EE2298" w:rsidP="00EE2298">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3E66D3B4" w14:textId="77777777" w:rsidR="00EE2298" w:rsidRPr="008134D5" w:rsidRDefault="00EE2298" w:rsidP="00EE2298">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09D47B0F" w14:textId="5AE84ABA" w:rsidR="00EE2298" w:rsidRPr="00EF4ACB" w:rsidRDefault="00EE2298" w:rsidP="00EE2298">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provides that the name of the instrument </w:t>
      </w:r>
      <w:r w:rsidR="00C50EF9" w:rsidRPr="006C169A">
        <w:rPr>
          <w:rFonts w:asciiTheme="minorHAnsi" w:hAnsiTheme="minorHAnsi" w:cstheme="minorHAnsi"/>
          <w:szCs w:val="24"/>
        </w:rPr>
        <w:t>i</w:t>
      </w:r>
      <w:r w:rsidRPr="006C169A">
        <w:rPr>
          <w:rFonts w:asciiTheme="minorHAnsi" w:hAnsiTheme="minorHAnsi" w:cstheme="minorHAnsi"/>
          <w:szCs w:val="24"/>
        </w:rPr>
        <w:t>s</w:t>
      </w:r>
      <w:r>
        <w:rPr>
          <w:rFonts w:asciiTheme="minorHAnsi" w:hAnsiTheme="minorHAnsi" w:cstheme="minorHAnsi"/>
          <w:szCs w:val="24"/>
        </w:rPr>
        <w:t xml:space="preserve"> the </w:t>
      </w:r>
      <w:r>
        <w:rPr>
          <w:rFonts w:asciiTheme="minorHAnsi" w:hAnsiTheme="minorHAnsi" w:cstheme="minorHAnsi"/>
          <w:i/>
          <w:iCs/>
          <w:szCs w:val="24"/>
        </w:rPr>
        <w:t>Higher Education Support Amendment (Maximum Payments for Other Grants) Determination 202</w:t>
      </w:r>
      <w:r w:rsidR="000C25AD">
        <w:rPr>
          <w:rFonts w:asciiTheme="minorHAnsi" w:hAnsiTheme="minorHAnsi" w:cstheme="minorHAnsi"/>
          <w:i/>
          <w:iCs/>
          <w:szCs w:val="24"/>
        </w:rPr>
        <w:t>4</w:t>
      </w:r>
      <w:r>
        <w:rPr>
          <w:rFonts w:asciiTheme="minorHAnsi" w:hAnsiTheme="minorHAnsi" w:cstheme="minorHAnsi"/>
          <w:i/>
          <w:iCs/>
          <w:szCs w:val="24"/>
        </w:rPr>
        <w:t xml:space="preserve"> </w:t>
      </w:r>
      <w:r>
        <w:rPr>
          <w:rFonts w:asciiTheme="minorHAnsi" w:hAnsiTheme="minorHAnsi" w:cstheme="minorHAnsi"/>
          <w:szCs w:val="24"/>
        </w:rPr>
        <w:t xml:space="preserve">(the Amendment Instrument). </w:t>
      </w:r>
    </w:p>
    <w:p w14:paraId="378199AF" w14:textId="77777777" w:rsidR="00EE2298" w:rsidRPr="008134D5" w:rsidRDefault="00EE2298" w:rsidP="00EE2298">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01F1A100" w14:textId="77777777" w:rsidR="00EE2298" w:rsidRPr="00D13E53" w:rsidRDefault="00EE2298" w:rsidP="00EE2298">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section provides that the Amendment Instrument commences on the day after registration on the Federal Register of Legislation.</w:t>
      </w:r>
    </w:p>
    <w:p w14:paraId="2DBA28FC" w14:textId="77777777" w:rsidR="00EE2298" w:rsidRPr="00E631F9" w:rsidRDefault="00EE2298" w:rsidP="00EE2298">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59C316ED" w14:textId="77777777" w:rsidR="00EE2298" w:rsidRDefault="00EE2298" w:rsidP="00EE2298">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Amendment Instrument is made by the Minister under section 41-45 of the </w:t>
      </w:r>
      <w:r>
        <w:rPr>
          <w:rFonts w:asciiTheme="minorHAnsi" w:hAnsiTheme="minorHAnsi" w:cstheme="minorHAnsi"/>
          <w:i/>
        </w:rPr>
        <w:t>Higher Education Support Act 2003</w:t>
      </w:r>
      <w:r>
        <w:rPr>
          <w:rFonts w:asciiTheme="minorHAnsi" w:hAnsiTheme="minorHAnsi" w:cstheme="minorHAnsi"/>
          <w:iCs/>
        </w:rPr>
        <w:t xml:space="preserve"> (the Act). </w:t>
      </w:r>
    </w:p>
    <w:p w14:paraId="2C53689A" w14:textId="77777777" w:rsidR="00EE2298" w:rsidRPr="00E631F9" w:rsidRDefault="00EE2298" w:rsidP="00EE2298">
      <w:pPr>
        <w:keepNext/>
        <w:spacing w:before="360" w:after="120"/>
        <w:rPr>
          <w:rFonts w:asciiTheme="minorHAnsi" w:hAnsiTheme="minorHAnsi" w:cstheme="minorHAnsi"/>
          <w:b/>
          <w:u w:val="single"/>
        </w:rPr>
      </w:pPr>
      <w:r w:rsidRPr="00E631F9">
        <w:rPr>
          <w:rFonts w:asciiTheme="minorHAnsi" w:hAnsiTheme="minorHAnsi" w:cstheme="minorHAnsi"/>
          <w:b/>
          <w:u w:val="single"/>
        </w:rPr>
        <w:t xml:space="preserve">Section </w:t>
      </w:r>
      <w:r>
        <w:rPr>
          <w:rFonts w:asciiTheme="minorHAnsi" w:hAnsiTheme="minorHAnsi" w:cstheme="minorHAnsi"/>
          <w:b/>
          <w:u w:val="single"/>
        </w:rPr>
        <w:t>4</w:t>
      </w:r>
      <w:r w:rsidRPr="00E631F9">
        <w:rPr>
          <w:rFonts w:asciiTheme="minorHAnsi" w:hAnsiTheme="minorHAnsi" w:cstheme="minorHAnsi"/>
          <w:b/>
          <w:u w:val="single"/>
        </w:rPr>
        <w:t xml:space="preserve">: </w:t>
      </w:r>
      <w:r>
        <w:rPr>
          <w:rFonts w:asciiTheme="minorHAnsi" w:hAnsiTheme="minorHAnsi" w:cstheme="minorHAnsi"/>
          <w:b/>
          <w:u w:val="single"/>
        </w:rPr>
        <w:t>Schedules</w:t>
      </w:r>
    </w:p>
    <w:p w14:paraId="16E0A202" w14:textId="77777777" w:rsidR="00EE2298" w:rsidRPr="00D13E53" w:rsidRDefault="00EE2298" w:rsidP="00EE2298">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clarifies that the items in Schedule 1 to the Amendment Instrument have effect according to their terms (that is, to amend the </w:t>
      </w:r>
      <w:r>
        <w:rPr>
          <w:rFonts w:asciiTheme="minorHAnsi" w:hAnsiTheme="minorHAnsi" w:cstheme="minorHAnsi"/>
          <w:i/>
        </w:rPr>
        <w:t xml:space="preserve">Higher Education Support (Maximum Payments for Other Grants) Determination 2020 </w:t>
      </w:r>
      <w:r>
        <w:rPr>
          <w:rFonts w:asciiTheme="minorHAnsi" w:hAnsiTheme="minorHAnsi" w:cstheme="minorHAnsi"/>
          <w:iCs/>
        </w:rPr>
        <w:t xml:space="preserve">(the Principal Instrument)). </w:t>
      </w:r>
    </w:p>
    <w:p w14:paraId="42B3D3D5" w14:textId="77777777" w:rsidR="00EE2298" w:rsidRDefault="00EE2298" w:rsidP="00EE2298">
      <w:pPr>
        <w:keepNext/>
        <w:spacing w:before="360" w:after="120"/>
        <w:rPr>
          <w:rFonts w:asciiTheme="minorHAnsi" w:hAnsiTheme="minorHAnsi" w:cstheme="minorHAnsi"/>
          <w:b/>
        </w:rPr>
      </w:pPr>
      <w:r>
        <w:rPr>
          <w:rFonts w:asciiTheme="minorHAnsi" w:hAnsiTheme="minorHAnsi" w:cstheme="minorHAnsi"/>
          <w:b/>
        </w:rPr>
        <w:t xml:space="preserve">SCHEDULE 1 – AMENDMENTS </w:t>
      </w:r>
    </w:p>
    <w:p w14:paraId="07D2798F" w14:textId="77777777" w:rsidR="00EE2298" w:rsidRPr="00D13E53" w:rsidRDefault="00EE2298" w:rsidP="00EE2298">
      <w:pPr>
        <w:keepNext/>
        <w:spacing w:before="360" w:after="120"/>
        <w:rPr>
          <w:rFonts w:asciiTheme="minorHAnsi" w:hAnsiTheme="minorHAnsi" w:cstheme="minorHAnsi"/>
          <w:b/>
          <w:i/>
          <w:iCs/>
        </w:rPr>
      </w:pPr>
      <w:r>
        <w:rPr>
          <w:rFonts w:asciiTheme="minorHAnsi" w:hAnsiTheme="minorHAnsi" w:cstheme="minorHAnsi"/>
          <w:b/>
          <w:i/>
          <w:iCs/>
        </w:rPr>
        <w:t>Higher Education Support (Maximum Payments for Other Grants) Determination 2020</w:t>
      </w:r>
    </w:p>
    <w:p w14:paraId="308E1AFF" w14:textId="1C87AEAB" w:rsidR="00EE2298" w:rsidRPr="00E631F9" w:rsidRDefault="00EE2298" w:rsidP="00EE2298">
      <w:pPr>
        <w:keepNext/>
        <w:spacing w:before="360" w:after="120"/>
        <w:rPr>
          <w:rFonts w:asciiTheme="minorHAnsi" w:hAnsiTheme="minorHAnsi" w:cstheme="minorHAnsi"/>
        </w:rPr>
      </w:pPr>
      <w:r>
        <w:rPr>
          <w:rFonts w:asciiTheme="minorHAnsi" w:hAnsiTheme="minorHAnsi" w:cstheme="minorHAnsi"/>
          <w:b/>
          <w:u w:val="single"/>
        </w:rPr>
        <w:t>Item 1: Paragraph 6(</w:t>
      </w:r>
      <w:r w:rsidR="00DD4E58">
        <w:rPr>
          <w:rFonts w:asciiTheme="minorHAnsi" w:hAnsiTheme="minorHAnsi" w:cstheme="minorHAnsi"/>
          <w:b/>
          <w:u w:val="single"/>
        </w:rPr>
        <w:t>e</w:t>
      </w:r>
      <w:r>
        <w:rPr>
          <w:rFonts w:asciiTheme="minorHAnsi" w:hAnsiTheme="minorHAnsi" w:cstheme="minorHAnsi"/>
          <w:b/>
          <w:u w:val="single"/>
        </w:rPr>
        <w:t>)</w:t>
      </w:r>
    </w:p>
    <w:p w14:paraId="56AE7D61" w14:textId="1C449B95" w:rsidR="00EE2298" w:rsidRDefault="00EE2298" w:rsidP="00EE229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This item amends the amount which the total payments made under Part 2-3 of the Act must not exceed for the year 202</w:t>
      </w:r>
      <w:r w:rsidR="000C25AD">
        <w:rPr>
          <w:rFonts w:asciiTheme="minorHAnsi" w:hAnsiTheme="minorHAnsi" w:cstheme="minorHAnsi"/>
          <w:iCs/>
          <w:szCs w:val="24"/>
        </w:rPr>
        <w:t>4</w:t>
      </w:r>
      <w:r>
        <w:rPr>
          <w:rFonts w:asciiTheme="minorHAnsi" w:hAnsiTheme="minorHAnsi" w:cstheme="minorHAnsi"/>
          <w:iCs/>
          <w:szCs w:val="24"/>
        </w:rPr>
        <w:t xml:space="preserve"> as determined in the Principal Instrument. </w:t>
      </w:r>
    </w:p>
    <w:p w14:paraId="7F0CDCC8" w14:textId="1CB86D33" w:rsidR="00EE2298" w:rsidRPr="00010BAE" w:rsidRDefault="00EE2298" w:rsidP="00EE2298">
      <w:pPr>
        <w:pStyle w:val="ListParagraph"/>
        <w:numPr>
          <w:ilvl w:val="0"/>
          <w:numId w:val="1"/>
        </w:numPr>
        <w:spacing w:before="360" w:after="120"/>
        <w:rPr>
          <w:rFonts w:asciiTheme="minorHAnsi" w:hAnsiTheme="minorHAnsi" w:cstheme="minorHAnsi"/>
          <w:iCs/>
          <w:color w:val="FF0000"/>
        </w:rPr>
      </w:pPr>
      <w:r w:rsidRPr="00D70BB8">
        <w:rPr>
          <w:rFonts w:asciiTheme="minorHAnsi" w:hAnsiTheme="minorHAnsi" w:cstheme="minorHAnsi"/>
          <w:iCs/>
          <w:szCs w:val="24"/>
        </w:rPr>
        <w:t>The amount for the year 202</w:t>
      </w:r>
      <w:r w:rsidR="000C25AD">
        <w:rPr>
          <w:rFonts w:asciiTheme="minorHAnsi" w:hAnsiTheme="minorHAnsi" w:cstheme="minorHAnsi"/>
          <w:iCs/>
          <w:szCs w:val="24"/>
        </w:rPr>
        <w:t>4</w:t>
      </w:r>
      <w:r w:rsidRPr="00D70BB8">
        <w:rPr>
          <w:rFonts w:asciiTheme="minorHAnsi" w:hAnsiTheme="minorHAnsi" w:cstheme="minorHAnsi"/>
          <w:iCs/>
          <w:szCs w:val="24"/>
        </w:rPr>
        <w:t xml:space="preserve"> has been increased </w:t>
      </w:r>
      <w:r>
        <w:rPr>
          <w:rFonts w:asciiTheme="minorHAnsi" w:hAnsiTheme="minorHAnsi" w:cstheme="minorHAnsi"/>
          <w:iCs/>
          <w:szCs w:val="24"/>
        </w:rPr>
        <w:t>from $2,</w:t>
      </w:r>
      <w:r w:rsidR="000C25AD">
        <w:rPr>
          <w:rFonts w:asciiTheme="minorHAnsi" w:hAnsiTheme="minorHAnsi" w:cstheme="minorHAnsi"/>
          <w:iCs/>
          <w:szCs w:val="24"/>
        </w:rPr>
        <w:t>635</w:t>
      </w:r>
      <w:r>
        <w:rPr>
          <w:rFonts w:asciiTheme="minorHAnsi" w:hAnsiTheme="minorHAnsi" w:cstheme="minorHAnsi"/>
          <w:iCs/>
          <w:szCs w:val="24"/>
        </w:rPr>
        <w:t>,</w:t>
      </w:r>
      <w:r w:rsidR="00BC1A11">
        <w:rPr>
          <w:rFonts w:asciiTheme="minorHAnsi" w:hAnsiTheme="minorHAnsi" w:cstheme="minorHAnsi"/>
          <w:iCs/>
          <w:szCs w:val="24"/>
        </w:rPr>
        <w:t>000</w:t>
      </w:r>
      <w:r>
        <w:rPr>
          <w:rFonts w:asciiTheme="minorHAnsi" w:hAnsiTheme="minorHAnsi" w:cstheme="minorHAnsi"/>
          <w:iCs/>
          <w:szCs w:val="24"/>
        </w:rPr>
        <w:t xml:space="preserve">,000 </w:t>
      </w:r>
      <w:r w:rsidRPr="00D70BB8">
        <w:rPr>
          <w:rFonts w:asciiTheme="minorHAnsi" w:hAnsiTheme="minorHAnsi" w:cstheme="minorHAnsi"/>
          <w:iCs/>
          <w:szCs w:val="24"/>
        </w:rPr>
        <w:t>to $2,</w:t>
      </w:r>
      <w:r w:rsidR="000C25AD">
        <w:rPr>
          <w:rFonts w:asciiTheme="minorHAnsi" w:hAnsiTheme="minorHAnsi" w:cstheme="minorHAnsi"/>
          <w:iCs/>
          <w:szCs w:val="24"/>
        </w:rPr>
        <w:t>7</w:t>
      </w:r>
      <w:r w:rsidR="000E4AAD">
        <w:rPr>
          <w:rFonts w:asciiTheme="minorHAnsi" w:hAnsiTheme="minorHAnsi" w:cstheme="minorHAnsi"/>
          <w:iCs/>
          <w:szCs w:val="24"/>
        </w:rPr>
        <w:t>15</w:t>
      </w:r>
      <w:r w:rsidRPr="00D70BB8">
        <w:rPr>
          <w:rFonts w:asciiTheme="minorHAnsi" w:hAnsiTheme="minorHAnsi" w:cstheme="minorHAnsi"/>
          <w:iCs/>
          <w:szCs w:val="24"/>
        </w:rPr>
        <w:t>,000,000 to reflect the additional grant amounts</w:t>
      </w:r>
      <w:r w:rsidR="000725F7">
        <w:rPr>
          <w:rFonts w:asciiTheme="minorHAnsi" w:hAnsiTheme="minorHAnsi" w:cstheme="minorHAnsi"/>
          <w:iCs/>
          <w:szCs w:val="24"/>
        </w:rPr>
        <w:t xml:space="preserve"> </w:t>
      </w:r>
      <w:r w:rsidR="00A541E8">
        <w:rPr>
          <w:rFonts w:asciiTheme="minorHAnsi" w:hAnsiTheme="minorHAnsi" w:cstheme="minorHAnsi"/>
          <w:iCs/>
          <w:szCs w:val="24"/>
        </w:rPr>
        <w:t xml:space="preserve">accounting </w:t>
      </w:r>
      <w:r w:rsidRPr="00D70BB8">
        <w:rPr>
          <w:rFonts w:asciiTheme="minorHAnsi" w:hAnsiTheme="minorHAnsi" w:cstheme="minorHAnsi"/>
          <w:iCs/>
          <w:szCs w:val="24"/>
        </w:rPr>
        <w:t xml:space="preserve">for indexation and </w:t>
      </w:r>
      <w:r>
        <w:rPr>
          <w:rFonts w:asciiTheme="minorHAnsi" w:hAnsiTheme="minorHAnsi" w:cstheme="minorHAnsi"/>
          <w:iCs/>
          <w:szCs w:val="24"/>
        </w:rPr>
        <w:t>the payment of</w:t>
      </w:r>
      <w:r w:rsidRPr="00D70BB8">
        <w:rPr>
          <w:rFonts w:asciiTheme="minorHAnsi" w:hAnsiTheme="minorHAnsi" w:cstheme="minorHAnsi"/>
          <w:iCs/>
          <w:szCs w:val="24"/>
        </w:rPr>
        <w:t xml:space="preserve"> grants</w:t>
      </w:r>
      <w:r>
        <w:rPr>
          <w:rFonts w:asciiTheme="minorHAnsi" w:hAnsiTheme="minorHAnsi" w:cstheme="minorHAnsi"/>
          <w:iCs/>
          <w:szCs w:val="24"/>
        </w:rPr>
        <w:t xml:space="preserve"> under various programs</w:t>
      </w:r>
      <w:r w:rsidR="00B7713B">
        <w:rPr>
          <w:rFonts w:asciiTheme="minorHAnsi" w:hAnsiTheme="minorHAnsi" w:cstheme="minorHAnsi"/>
          <w:iCs/>
          <w:szCs w:val="24"/>
        </w:rPr>
        <w:t>.</w:t>
      </w:r>
    </w:p>
    <w:p w14:paraId="2B7EF019" w14:textId="6A41ED41" w:rsidR="00EE2298" w:rsidRPr="00D13E53" w:rsidRDefault="00EE2298" w:rsidP="00EE2298">
      <w:pPr>
        <w:spacing w:before="360" w:after="120"/>
        <w:rPr>
          <w:rFonts w:asciiTheme="minorHAnsi" w:hAnsiTheme="minorHAnsi" w:cstheme="minorHAnsi"/>
          <w:b/>
          <w:bCs/>
          <w:iCs/>
          <w:szCs w:val="24"/>
          <w:u w:val="single"/>
        </w:rPr>
      </w:pPr>
      <w:r w:rsidRPr="00D13E53">
        <w:rPr>
          <w:rFonts w:asciiTheme="minorHAnsi" w:hAnsiTheme="minorHAnsi" w:cstheme="minorHAnsi"/>
          <w:b/>
          <w:bCs/>
          <w:iCs/>
          <w:szCs w:val="24"/>
          <w:u w:val="single"/>
        </w:rPr>
        <w:t xml:space="preserve">Item </w:t>
      </w:r>
      <w:r>
        <w:rPr>
          <w:rFonts w:asciiTheme="minorHAnsi" w:hAnsiTheme="minorHAnsi" w:cstheme="minorHAnsi"/>
          <w:b/>
          <w:bCs/>
          <w:iCs/>
          <w:szCs w:val="24"/>
          <w:u w:val="single"/>
        </w:rPr>
        <w:t>2</w:t>
      </w:r>
      <w:r w:rsidRPr="00D13E53">
        <w:rPr>
          <w:rFonts w:asciiTheme="minorHAnsi" w:hAnsiTheme="minorHAnsi" w:cstheme="minorHAnsi"/>
          <w:b/>
          <w:bCs/>
          <w:iCs/>
          <w:szCs w:val="24"/>
          <w:u w:val="single"/>
        </w:rPr>
        <w:t>: Paragraph 6(</w:t>
      </w:r>
      <w:r w:rsidR="00DD4E58">
        <w:rPr>
          <w:rFonts w:asciiTheme="minorHAnsi" w:hAnsiTheme="minorHAnsi" w:cstheme="minorHAnsi"/>
          <w:b/>
          <w:bCs/>
          <w:iCs/>
          <w:szCs w:val="24"/>
          <w:u w:val="single"/>
        </w:rPr>
        <w:t>f</w:t>
      </w:r>
      <w:r w:rsidRPr="00D13E53">
        <w:rPr>
          <w:rFonts w:asciiTheme="minorHAnsi" w:hAnsiTheme="minorHAnsi" w:cstheme="minorHAnsi"/>
          <w:b/>
          <w:bCs/>
          <w:iCs/>
          <w:szCs w:val="24"/>
          <w:u w:val="single"/>
        </w:rPr>
        <w:t>)</w:t>
      </w:r>
    </w:p>
    <w:p w14:paraId="3FCDCA45" w14:textId="7E37CB7F" w:rsidR="00EE2298" w:rsidRPr="00D13E53" w:rsidRDefault="00EE2298" w:rsidP="00EE229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lastRenderedPageBreak/>
        <w:t>This item amends the amount which the total payments made under Part 2-3 of the Act must not exceed for the year 202</w:t>
      </w:r>
      <w:r w:rsidR="000C25AD">
        <w:rPr>
          <w:rFonts w:asciiTheme="minorHAnsi" w:hAnsiTheme="minorHAnsi" w:cstheme="minorHAnsi"/>
          <w:iCs/>
          <w:szCs w:val="24"/>
        </w:rPr>
        <w:t>5</w:t>
      </w:r>
      <w:r>
        <w:rPr>
          <w:rFonts w:asciiTheme="minorHAnsi" w:hAnsiTheme="minorHAnsi" w:cstheme="minorHAnsi"/>
          <w:iCs/>
          <w:szCs w:val="24"/>
        </w:rPr>
        <w:t xml:space="preserve"> as determined in the Principal Instrument. </w:t>
      </w:r>
    </w:p>
    <w:p w14:paraId="29C29C75" w14:textId="0CDFE7AE" w:rsidR="003617D5" w:rsidRPr="00D70BB8" w:rsidRDefault="00EE2298" w:rsidP="00EE2298">
      <w:pPr>
        <w:pStyle w:val="ListParagraph"/>
        <w:numPr>
          <w:ilvl w:val="0"/>
          <w:numId w:val="1"/>
        </w:numPr>
        <w:spacing w:before="360" w:after="120"/>
        <w:rPr>
          <w:rFonts w:asciiTheme="minorHAnsi" w:hAnsiTheme="minorHAnsi" w:cstheme="minorHAnsi"/>
          <w:iCs/>
        </w:rPr>
      </w:pPr>
      <w:bookmarkStart w:id="7" w:name="_Toc23942243"/>
      <w:bookmarkEnd w:id="7"/>
      <w:r w:rsidRPr="00D70BB8">
        <w:rPr>
          <w:rFonts w:asciiTheme="minorHAnsi" w:hAnsiTheme="minorHAnsi" w:cstheme="minorHAnsi"/>
          <w:iCs/>
          <w:szCs w:val="24"/>
        </w:rPr>
        <w:t>The amount for the year 202</w:t>
      </w:r>
      <w:r w:rsidR="000C25AD">
        <w:rPr>
          <w:rFonts w:asciiTheme="minorHAnsi" w:hAnsiTheme="minorHAnsi" w:cstheme="minorHAnsi"/>
          <w:iCs/>
          <w:szCs w:val="24"/>
        </w:rPr>
        <w:t>5</w:t>
      </w:r>
      <w:r w:rsidRPr="00D70BB8">
        <w:rPr>
          <w:rFonts w:asciiTheme="minorHAnsi" w:hAnsiTheme="minorHAnsi" w:cstheme="minorHAnsi"/>
          <w:iCs/>
          <w:szCs w:val="24"/>
        </w:rPr>
        <w:t xml:space="preserve"> has been increased</w:t>
      </w:r>
      <w:r>
        <w:rPr>
          <w:rFonts w:asciiTheme="minorHAnsi" w:hAnsiTheme="minorHAnsi" w:cstheme="minorHAnsi"/>
          <w:iCs/>
          <w:szCs w:val="24"/>
        </w:rPr>
        <w:t xml:space="preserve"> from</w:t>
      </w:r>
      <w:r w:rsidRPr="00D70BB8">
        <w:rPr>
          <w:rFonts w:asciiTheme="minorHAnsi" w:hAnsiTheme="minorHAnsi" w:cstheme="minorHAnsi"/>
          <w:iCs/>
          <w:szCs w:val="24"/>
        </w:rPr>
        <w:t xml:space="preserve"> </w:t>
      </w:r>
      <w:r>
        <w:rPr>
          <w:rFonts w:asciiTheme="minorHAnsi" w:hAnsiTheme="minorHAnsi" w:cstheme="minorHAnsi"/>
          <w:iCs/>
          <w:szCs w:val="24"/>
        </w:rPr>
        <w:t>$2,</w:t>
      </w:r>
      <w:r w:rsidR="000C25AD">
        <w:rPr>
          <w:rFonts w:asciiTheme="minorHAnsi" w:hAnsiTheme="minorHAnsi" w:cstheme="minorHAnsi"/>
          <w:iCs/>
          <w:szCs w:val="24"/>
        </w:rPr>
        <w:t>689</w:t>
      </w:r>
      <w:r>
        <w:rPr>
          <w:rFonts w:asciiTheme="minorHAnsi" w:hAnsiTheme="minorHAnsi" w:cstheme="minorHAnsi"/>
          <w:iCs/>
          <w:szCs w:val="24"/>
        </w:rPr>
        <w:t>,</w:t>
      </w:r>
      <w:r w:rsidR="00B5009B">
        <w:rPr>
          <w:rFonts w:asciiTheme="minorHAnsi" w:hAnsiTheme="minorHAnsi" w:cstheme="minorHAnsi"/>
          <w:iCs/>
          <w:szCs w:val="24"/>
        </w:rPr>
        <w:t>000</w:t>
      </w:r>
      <w:r>
        <w:rPr>
          <w:rFonts w:asciiTheme="minorHAnsi" w:hAnsiTheme="minorHAnsi" w:cstheme="minorHAnsi"/>
          <w:iCs/>
          <w:szCs w:val="24"/>
        </w:rPr>
        <w:t xml:space="preserve"> </w:t>
      </w:r>
      <w:r w:rsidRPr="00D70BB8">
        <w:rPr>
          <w:rFonts w:asciiTheme="minorHAnsi" w:hAnsiTheme="minorHAnsi" w:cstheme="minorHAnsi"/>
          <w:iCs/>
          <w:szCs w:val="24"/>
        </w:rPr>
        <w:t>to $2,</w:t>
      </w:r>
      <w:r w:rsidR="008A6011">
        <w:rPr>
          <w:rFonts w:asciiTheme="minorHAnsi" w:hAnsiTheme="minorHAnsi" w:cstheme="minorHAnsi"/>
          <w:iCs/>
          <w:szCs w:val="24"/>
        </w:rPr>
        <w:t>77</w:t>
      </w:r>
      <w:r w:rsidR="000C1DD4">
        <w:rPr>
          <w:rFonts w:asciiTheme="minorHAnsi" w:hAnsiTheme="minorHAnsi" w:cstheme="minorHAnsi"/>
          <w:iCs/>
          <w:szCs w:val="24"/>
        </w:rPr>
        <w:t>2</w:t>
      </w:r>
      <w:r w:rsidRPr="00D70BB8">
        <w:rPr>
          <w:rFonts w:asciiTheme="minorHAnsi" w:hAnsiTheme="minorHAnsi" w:cstheme="minorHAnsi"/>
          <w:iCs/>
          <w:szCs w:val="24"/>
        </w:rPr>
        <w:t xml:space="preserve">,000,000 to reflect the additional grant amounts </w:t>
      </w:r>
      <w:r w:rsidR="00A541E8">
        <w:rPr>
          <w:rFonts w:asciiTheme="minorHAnsi" w:hAnsiTheme="minorHAnsi" w:cstheme="minorHAnsi"/>
          <w:iCs/>
          <w:szCs w:val="24"/>
        </w:rPr>
        <w:t xml:space="preserve">accounting </w:t>
      </w:r>
      <w:r w:rsidRPr="00D70BB8">
        <w:rPr>
          <w:rFonts w:asciiTheme="minorHAnsi" w:hAnsiTheme="minorHAnsi" w:cstheme="minorHAnsi"/>
          <w:iCs/>
          <w:szCs w:val="24"/>
        </w:rPr>
        <w:t xml:space="preserve">for indexation and </w:t>
      </w:r>
      <w:r>
        <w:rPr>
          <w:rFonts w:asciiTheme="minorHAnsi" w:hAnsiTheme="minorHAnsi" w:cstheme="minorHAnsi"/>
          <w:iCs/>
          <w:szCs w:val="24"/>
        </w:rPr>
        <w:t xml:space="preserve">the payment of </w:t>
      </w:r>
      <w:r w:rsidRPr="00D70BB8">
        <w:rPr>
          <w:rFonts w:asciiTheme="minorHAnsi" w:hAnsiTheme="minorHAnsi" w:cstheme="minorHAnsi"/>
          <w:iCs/>
          <w:szCs w:val="24"/>
        </w:rPr>
        <w:t>grants</w:t>
      </w:r>
      <w:r>
        <w:rPr>
          <w:rFonts w:asciiTheme="minorHAnsi" w:hAnsiTheme="minorHAnsi" w:cstheme="minorHAnsi"/>
          <w:iCs/>
          <w:szCs w:val="24"/>
        </w:rPr>
        <w:t xml:space="preserve"> under various programs</w:t>
      </w:r>
      <w:r w:rsidR="00B7713B" w:rsidRPr="00B0710B">
        <w:rPr>
          <w:rFonts w:asciiTheme="minorHAnsi" w:hAnsiTheme="minorHAnsi"/>
        </w:rPr>
        <w:t>.</w:t>
      </w:r>
    </w:p>
    <w:p w14:paraId="56BC228E" w14:textId="04C7AFBE" w:rsidR="0015582B" w:rsidRPr="00D13E53" w:rsidRDefault="0015582B" w:rsidP="0015582B">
      <w:pPr>
        <w:spacing w:before="360" w:after="120"/>
        <w:rPr>
          <w:rFonts w:asciiTheme="minorHAnsi" w:hAnsiTheme="minorHAnsi" w:cstheme="minorHAnsi"/>
          <w:b/>
          <w:bCs/>
          <w:iCs/>
          <w:szCs w:val="24"/>
          <w:u w:val="single"/>
        </w:rPr>
      </w:pPr>
      <w:r w:rsidRPr="00D13E53">
        <w:rPr>
          <w:rFonts w:asciiTheme="minorHAnsi" w:hAnsiTheme="minorHAnsi" w:cstheme="minorHAnsi"/>
          <w:b/>
          <w:bCs/>
          <w:iCs/>
          <w:szCs w:val="24"/>
          <w:u w:val="single"/>
        </w:rPr>
        <w:t xml:space="preserve">Item </w:t>
      </w:r>
      <w:r>
        <w:rPr>
          <w:rFonts w:asciiTheme="minorHAnsi" w:hAnsiTheme="minorHAnsi" w:cstheme="minorHAnsi"/>
          <w:b/>
          <w:bCs/>
          <w:iCs/>
          <w:szCs w:val="24"/>
          <w:u w:val="single"/>
        </w:rPr>
        <w:t>3</w:t>
      </w:r>
      <w:r w:rsidRPr="00D13E53">
        <w:rPr>
          <w:rFonts w:asciiTheme="minorHAnsi" w:hAnsiTheme="minorHAnsi" w:cstheme="minorHAnsi"/>
          <w:b/>
          <w:bCs/>
          <w:iCs/>
          <w:szCs w:val="24"/>
          <w:u w:val="single"/>
        </w:rPr>
        <w:t xml:space="preserve">: </w:t>
      </w:r>
      <w:r w:rsidR="003617D5">
        <w:rPr>
          <w:rFonts w:asciiTheme="minorHAnsi" w:hAnsiTheme="minorHAnsi" w:cstheme="minorHAnsi"/>
          <w:b/>
          <w:bCs/>
          <w:iCs/>
          <w:szCs w:val="24"/>
          <w:u w:val="single"/>
        </w:rPr>
        <w:t>After p</w:t>
      </w:r>
      <w:r w:rsidRPr="00D13E53">
        <w:rPr>
          <w:rFonts w:asciiTheme="minorHAnsi" w:hAnsiTheme="minorHAnsi" w:cstheme="minorHAnsi"/>
          <w:b/>
          <w:bCs/>
          <w:iCs/>
          <w:szCs w:val="24"/>
          <w:u w:val="single"/>
        </w:rPr>
        <w:t>aragraph 6(</w:t>
      </w:r>
      <w:r w:rsidR="00DD4E58">
        <w:rPr>
          <w:rFonts w:asciiTheme="minorHAnsi" w:hAnsiTheme="minorHAnsi" w:cstheme="minorHAnsi"/>
          <w:b/>
          <w:bCs/>
          <w:iCs/>
          <w:szCs w:val="24"/>
          <w:u w:val="single"/>
        </w:rPr>
        <w:t>f</w:t>
      </w:r>
      <w:r w:rsidRPr="00D13E53">
        <w:rPr>
          <w:rFonts w:asciiTheme="minorHAnsi" w:hAnsiTheme="minorHAnsi" w:cstheme="minorHAnsi"/>
          <w:b/>
          <w:bCs/>
          <w:iCs/>
          <w:szCs w:val="24"/>
          <w:u w:val="single"/>
        </w:rPr>
        <w:t>)</w:t>
      </w:r>
    </w:p>
    <w:p w14:paraId="0A86822C" w14:textId="53F73EE7" w:rsidR="0015582B" w:rsidRPr="00996329" w:rsidRDefault="0015582B" w:rsidP="00010BAE">
      <w:pPr>
        <w:pStyle w:val="ListParagraph"/>
        <w:numPr>
          <w:ilvl w:val="0"/>
          <w:numId w:val="1"/>
        </w:numPr>
        <w:spacing w:before="360" w:after="120"/>
        <w:rPr>
          <w:rFonts w:asciiTheme="minorHAnsi" w:hAnsiTheme="minorHAnsi" w:cstheme="minorHAnsi"/>
          <w:iCs/>
          <w:szCs w:val="24"/>
        </w:rPr>
      </w:pPr>
      <w:r w:rsidRPr="00996329">
        <w:rPr>
          <w:rFonts w:asciiTheme="minorHAnsi" w:hAnsiTheme="minorHAnsi" w:cstheme="minorHAnsi"/>
          <w:iCs/>
          <w:szCs w:val="24"/>
        </w:rPr>
        <w:t xml:space="preserve">This item </w:t>
      </w:r>
      <w:r w:rsidR="003617D5">
        <w:rPr>
          <w:rFonts w:asciiTheme="minorHAnsi" w:hAnsiTheme="minorHAnsi" w:cstheme="minorHAnsi"/>
          <w:iCs/>
          <w:szCs w:val="24"/>
        </w:rPr>
        <w:t>inserts a new paragraph 6(</w:t>
      </w:r>
      <w:r w:rsidR="00DD4E58">
        <w:rPr>
          <w:rFonts w:asciiTheme="minorHAnsi" w:hAnsiTheme="minorHAnsi" w:cstheme="minorHAnsi"/>
          <w:iCs/>
          <w:szCs w:val="24"/>
        </w:rPr>
        <w:t>g</w:t>
      </w:r>
      <w:r w:rsidR="003617D5">
        <w:rPr>
          <w:rFonts w:asciiTheme="minorHAnsi" w:hAnsiTheme="minorHAnsi" w:cstheme="minorHAnsi"/>
          <w:iCs/>
          <w:szCs w:val="24"/>
        </w:rPr>
        <w:t>) which determines</w:t>
      </w:r>
      <w:r w:rsidRPr="00996329">
        <w:rPr>
          <w:rFonts w:asciiTheme="minorHAnsi" w:hAnsiTheme="minorHAnsi" w:cstheme="minorHAnsi"/>
          <w:iCs/>
          <w:szCs w:val="24"/>
        </w:rPr>
        <w:t xml:space="preserve"> the amount which the total payments made under Part 2-3 of the Act must not exceed for the year 202</w:t>
      </w:r>
      <w:r w:rsidR="0089749E">
        <w:rPr>
          <w:rFonts w:asciiTheme="minorHAnsi" w:hAnsiTheme="minorHAnsi" w:cstheme="minorHAnsi"/>
          <w:iCs/>
          <w:szCs w:val="24"/>
        </w:rPr>
        <w:t>6</w:t>
      </w:r>
      <w:r w:rsidRPr="00996329">
        <w:rPr>
          <w:rFonts w:asciiTheme="minorHAnsi" w:hAnsiTheme="minorHAnsi" w:cstheme="minorHAnsi"/>
          <w:iCs/>
          <w:szCs w:val="24"/>
        </w:rPr>
        <w:t xml:space="preserve">. </w:t>
      </w:r>
    </w:p>
    <w:p w14:paraId="653C8AA1" w14:textId="7A3C5343" w:rsidR="0015582B" w:rsidRPr="00996329" w:rsidRDefault="00B42391" w:rsidP="00010BAE">
      <w:pPr>
        <w:pStyle w:val="ListParagraph"/>
        <w:numPr>
          <w:ilvl w:val="0"/>
          <w:numId w:val="1"/>
        </w:numPr>
        <w:spacing w:before="360" w:after="120"/>
        <w:rPr>
          <w:rFonts w:asciiTheme="minorHAnsi" w:hAnsiTheme="minorHAnsi" w:cstheme="minorHAnsi"/>
          <w:iCs/>
        </w:rPr>
      </w:pPr>
      <w:r>
        <w:rPr>
          <w:rFonts w:asciiTheme="minorHAnsi" w:hAnsiTheme="minorHAnsi" w:cstheme="minorHAnsi"/>
          <w:iCs/>
          <w:szCs w:val="24"/>
        </w:rPr>
        <w:t>New paragraph 6(</w:t>
      </w:r>
      <w:r w:rsidR="00DD4E58">
        <w:rPr>
          <w:rFonts w:asciiTheme="minorHAnsi" w:hAnsiTheme="minorHAnsi" w:cstheme="minorHAnsi"/>
          <w:iCs/>
          <w:szCs w:val="24"/>
        </w:rPr>
        <w:t>g</w:t>
      </w:r>
      <w:r>
        <w:rPr>
          <w:rFonts w:asciiTheme="minorHAnsi" w:hAnsiTheme="minorHAnsi" w:cstheme="minorHAnsi"/>
          <w:iCs/>
          <w:szCs w:val="24"/>
        </w:rPr>
        <w:t>) determines</w:t>
      </w:r>
      <w:r w:rsidR="003617D5">
        <w:rPr>
          <w:rFonts w:asciiTheme="minorHAnsi" w:hAnsiTheme="minorHAnsi" w:cstheme="minorHAnsi"/>
          <w:iCs/>
          <w:szCs w:val="24"/>
        </w:rPr>
        <w:t xml:space="preserve"> that the maximum payment </w:t>
      </w:r>
      <w:r w:rsidR="0015582B" w:rsidRPr="00996329">
        <w:rPr>
          <w:rFonts w:asciiTheme="minorHAnsi" w:hAnsiTheme="minorHAnsi" w:cstheme="minorHAnsi"/>
          <w:iCs/>
          <w:szCs w:val="24"/>
        </w:rPr>
        <w:t>amount for the year 202</w:t>
      </w:r>
      <w:r w:rsidR="0089749E">
        <w:rPr>
          <w:rFonts w:asciiTheme="minorHAnsi" w:hAnsiTheme="minorHAnsi" w:cstheme="minorHAnsi"/>
          <w:iCs/>
          <w:szCs w:val="24"/>
        </w:rPr>
        <w:t>6</w:t>
      </w:r>
      <w:r w:rsidR="0015582B" w:rsidRPr="00996329">
        <w:rPr>
          <w:rFonts w:asciiTheme="minorHAnsi" w:hAnsiTheme="minorHAnsi" w:cstheme="minorHAnsi"/>
          <w:iCs/>
          <w:szCs w:val="24"/>
        </w:rPr>
        <w:t xml:space="preserve"> </w:t>
      </w:r>
      <w:r w:rsidR="003617D5">
        <w:rPr>
          <w:rFonts w:asciiTheme="minorHAnsi" w:hAnsiTheme="minorHAnsi" w:cstheme="minorHAnsi"/>
          <w:iCs/>
          <w:szCs w:val="24"/>
        </w:rPr>
        <w:t xml:space="preserve">for payments made under Part 2-3 of the Act </w:t>
      </w:r>
      <w:r w:rsidR="0015582B">
        <w:rPr>
          <w:rFonts w:asciiTheme="minorHAnsi" w:hAnsiTheme="minorHAnsi" w:cstheme="minorHAnsi"/>
          <w:iCs/>
          <w:szCs w:val="24"/>
        </w:rPr>
        <w:t xml:space="preserve">is </w:t>
      </w:r>
      <w:r w:rsidR="0015582B" w:rsidRPr="00996329">
        <w:rPr>
          <w:rFonts w:asciiTheme="minorHAnsi" w:hAnsiTheme="minorHAnsi" w:cstheme="minorHAnsi"/>
          <w:iCs/>
          <w:szCs w:val="24"/>
        </w:rPr>
        <w:t>$2,</w:t>
      </w:r>
      <w:r w:rsidR="0089749E">
        <w:rPr>
          <w:rFonts w:asciiTheme="minorHAnsi" w:hAnsiTheme="minorHAnsi" w:cstheme="minorHAnsi"/>
          <w:iCs/>
          <w:szCs w:val="24"/>
        </w:rPr>
        <w:t>8</w:t>
      </w:r>
      <w:r w:rsidR="00C45367">
        <w:rPr>
          <w:rFonts w:asciiTheme="minorHAnsi" w:hAnsiTheme="minorHAnsi" w:cstheme="minorHAnsi"/>
          <w:iCs/>
          <w:szCs w:val="24"/>
        </w:rPr>
        <w:t>51</w:t>
      </w:r>
      <w:r w:rsidR="0015582B" w:rsidRPr="00996329">
        <w:rPr>
          <w:rFonts w:asciiTheme="minorHAnsi" w:hAnsiTheme="minorHAnsi" w:cstheme="minorHAnsi"/>
          <w:iCs/>
          <w:szCs w:val="24"/>
        </w:rPr>
        <w:t>,</w:t>
      </w:r>
      <w:r w:rsidR="0015582B">
        <w:rPr>
          <w:rFonts w:asciiTheme="minorHAnsi" w:hAnsiTheme="minorHAnsi" w:cstheme="minorHAnsi"/>
          <w:iCs/>
          <w:szCs w:val="24"/>
        </w:rPr>
        <w:t>000</w:t>
      </w:r>
      <w:r w:rsidR="0015582B" w:rsidRPr="00996329">
        <w:rPr>
          <w:rFonts w:asciiTheme="minorHAnsi" w:hAnsiTheme="minorHAnsi" w:cstheme="minorHAnsi"/>
          <w:iCs/>
          <w:szCs w:val="24"/>
        </w:rPr>
        <w:t>,000</w:t>
      </w:r>
      <w:r w:rsidR="0015582B">
        <w:rPr>
          <w:rFonts w:asciiTheme="minorHAnsi" w:hAnsiTheme="minorHAnsi" w:cstheme="minorHAnsi"/>
          <w:iCs/>
          <w:szCs w:val="24"/>
        </w:rPr>
        <w:t>.</w:t>
      </w:r>
      <w:r w:rsidR="0015582B" w:rsidRPr="00996329">
        <w:rPr>
          <w:rFonts w:asciiTheme="minorHAnsi" w:hAnsiTheme="minorHAnsi" w:cstheme="minorHAnsi"/>
          <w:iCs/>
          <w:szCs w:val="24"/>
        </w:rPr>
        <w:t xml:space="preserve"> </w:t>
      </w:r>
    </w:p>
    <w:p w14:paraId="74FC55AF" w14:textId="66424429" w:rsidR="005E20F7" w:rsidRPr="00EE2298" w:rsidRDefault="005E20F7" w:rsidP="00010BAE">
      <w:pPr>
        <w:spacing w:before="360" w:after="120"/>
      </w:pPr>
    </w:p>
    <w:sectPr w:rsidR="005E20F7" w:rsidRPr="00EE229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6212" w14:textId="77777777" w:rsidR="00E73CCF" w:rsidRDefault="00E73CCF" w:rsidP="00783FAB">
      <w:pPr>
        <w:spacing w:after="0" w:line="240" w:lineRule="auto"/>
      </w:pPr>
      <w:r>
        <w:separator/>
      </w:r>
    </w:p>
  </w:endnote>
  <w:endnote w:type="continuationSeparator" w:id="0">
    <w:p w14:paraId="38D7CA89" w14:textId="77777777" w:rsidR="00E73CCF" w:rsidRDefault="00E73CCF" w:rsidP="00783FAB">
      <w:pPr>
        <w:spacing w:after="0" w:line="240" w:lineRule="auto"/>
      </w:pPr>
      <w:r>
        <w:continuationSeparator/>
      </w:r>
    </w:p>
  </w:endnote>
  <w:endnote w:type="continuationNotice" w:id="1">
    <w:p w14:paraId="11C14EC7" w14:textId="77777777" w:rsidR="00E73CCF" w:rsidRDefault="00E73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530263"/>
      <w:docPartObj>
        <w:docPartGallery w:val="Page Numbers (Bottom of Page)"/>
        <w:docPartUnique/>
      </w:docPartObj>
    </w:sdtPr>
    <w:sdtEndPr>
      <w:rPr>
        <w:noProof/>
      </w:rPr>
    </w:sdtEndPr>
    <w:sdtContent>
      <w:p w14:paraId="1F7EF9BF" w14:textId="77777777" w:rsidR="00EE2298" w:rsidRDefault="00EE229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53FD92B" w14:textId="77777777" w:rsidR="00EE2298" w:rsidRDefault="00EE2298" w:rsidP="00785B1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4529" w14:textId="77777777" w:rsidR="000A0622" w:rsidRDefault="000A0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290E" w14:textId="77777777" w:rsidR="00E73CCF" w:rsidRDefault="00E73CCF" w:rsidP="00783FAB">
      <w:pPr>
        <w:spacing w:after="0" w:line="240" w:lineRule="auto"/>
      </w:pPr>
      <w:r>
        <w:separator/>
      </w:r>
    </w:p>
  </w:footnote>
  <w:footnote w:type="continuationSeparator" w:id="0">
    <w:p w14:paraId="1312C7CB" w14:textId="77777777" w:rsidR="00E73CCF" w:rsidRDefault="00E73CCF" w:rsidP="00783FAB">
      <w:pPr>
        <w:spacing w:after="0" w:line="240" w:lineRule="auto"/>
      </w:pPr>
      <w:r>
        <w:continuationSeparator/>
      </w:r>
    </w:p>
  </w:footnote>
  <w:footnote w:type="continuationNotice" w:id="1">
    <w:p w14:paraId="30A3D723" w14:textId="77777777" w:rsidR="00E73CCF" w:rsidRDefault="00E73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4D0" w14:textId="77777777" w:rsidR="000A0622" w:rsidRDefault="000A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58B7" w14:textId="77777777" w:rsidR="000A0622" w:rsidRDefault="000A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87FF5"/>
    <w:multiLevelType w:val="hybridMultilevel"/>
    <w:tmpl w:val="204E9E0E"/>
    <w:lvl w:ilvl="0" w:tplc="8BE2FBCA">
      <w:start w:val="1"/>
      <w:numFmt w:val="lowerLetter"/>
      <w:lvlText w:val="%1."/>
      <w:lvlJc w:val="left"/>
      <w:pPr>
        <w:ind w:left="1440" w:hanging="720"/>
      </w:pPr>
      <w:rPr>
        <w:rFonts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A670DC8"/>
    <w:multiLevelType w:val="hybridMultilevel"/>
    <w:tmpl w:val="CAA6CF80"/>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C868D7"/>
    <w:multiLevelType w:val="hybridMultilevel"/>
    <w:tmpl w:val="2E48E560"/>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230804"/>
    <w:multiLevelType w:val="hybridMultilevel"/>
    <w:tmpl w:val="BD6456EE"/>
    <w:lvl w:ilvl="0" w:tplc="58645DD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104FCE"/>
    <w:multiLevelType w:val="hybridMultilevel"/>
    <w:tmpl w:val="9348C6FC"/>
    <w:lvl w:ilvl="0" w:tplc="19368C30">
      <w:start w:val="1"/>
      <w:numFmt w:val="decimal"/>
      <w:pStyle w:val="MBPoint"/>
      <w:lvlText w:val="%1."/>
      <w:lvlJc w:val="left"/>
      <w:pPr>
        <w:ind w:left="-207" w:hanging="360"/>
      </w:pPr>
      <w:rPr>
        <w:rFonts w:hint="default"/>
      </w:rPr>
    </w:lvl>
    <w:lvl w:ilvl="1" w:tplc="AE961FDE">
      <w:start w:val="1"/>
      <w:numFmt w:val="lowerLetter"/>
      <w:pStyle w:val="MBPointSub"/>
      <w:lvlText w:val="%2."/>
      <w:lvlJc w:val="left"/>
      <w:pPr>
        <w:ind w:left="513" w:hanging="360"/>
      </w:pPr>
    </w:lvl>
    <w:lvl w:ilvl="2" w:tplc="09706B2E">
      <w:start w:val="1"/>
      <w:numFmt w:val="lowerRoman"/>
      <w:lvlText w:val="%3."/>
      <w:lvlJc w:val="right"/>
      <w:pPr>
        <w:ind w:left="1233" w:hanging="180"/>
      </w:pPr>
    </w:lvl>
    <w:lvl w:ilvl="3" w:tplc="5C52165A">
      <w:start w:val="1"/>
      <w:numFmt w:val="decimal"/>
      <w:lvlText w:val="%4."/>
      <w:lvlJc w:val="left"/>
      <w:pPr>
        <w:ind w:left="1953" w:hanging="360"/>
      </w:pPr>
    </w:lvl>
    <w:lvl w:ilvl="4" w:tplc="CA501228" w:tentative="1">
      <w:start w:val="1"/>
      <w:numFmt w:val="lowerLetter"/>
      <w:lvlText w:val="%5."/>
      <w:lvlJc w:val="left"/>
      <w:pPr>
        <w:ind w:left="2673" w:hanging="360"/>
      </w:pPr>
    </w:lvl>
    <w:lvl w:ilvl="5" w:tplc="CE0067A0" w:tentative="1">
      <w:start w:val="1"/>
      <w:numFmt w:val="lowerRoman"/>
      <w:lvlText w:val="%6."/>
      <w:lvlJc w:val="right"/>
      <w:pPr>
        <w:ind w:left="3393" w:hanging="180"/>
      </w:pPr>
    </w:lvl>
    <w:lvl w:ilvl="6" w:tplc="D662F9C4" w:tentative="1">
      <w:start w:val="1"/>
      <w:numFmt w:val="decimal"/>
      <w:lvlText w:val="%7."/>
      <w:lvlJc w:val="left"/>
      <w:pPr>
        <w:ind w:left="4113" w:hanging="360"/>
      </w:pPr>
    </w:lvl>
    <w:lvl w:ilvl="7" w:tplc="78CA6EAA" w:tentative="1">
      <w:start w:val="1"/>
      <w:numFmt w:val="lowerLetter"/>
      <w:lvlText w:val="%8."/>
      <w:lvlJc w:val="left"/>
      <w:pPr>
        <w:ind w:left="4833" w:hanging="360"/>
      </w:pPr>
    </w:lvl>
    <w:lvl w:ilvl="8" w:tplc="F558EC0C" w:tentative="1">
      <w:start w:val="1"/>
      <w:numFmt w:val="lowerRoman"/>
      <w:lvlText w:val="%9."/>
      <w:lvlJc w:val="right"/>
      <w:pPr>
        <w:ind w:left="5553" w:hanging="180"/>
      </w:pPr>
    </w:lvl>
  </w:abstractNum>
  <w:abstractNum w:abstractNumId="6" w15:restartNumberingAfterBreak="0">
    <w:nsid w:val="7BEF610E"/>
    <w:multiLevelType w:val="hybridMultilevel"/>
    <w:tmpl w:val="4DF2C2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7420043">
    <w:abstractNumId w:val="1"/>
  </w:num>
  <w:num w:numId="2" w16cid:durableId="1145587732">
    <w:abstractNumId w:val="7"/>
  </w:num>
  <w:num w:numId="3" w16cid:durableId="587621401">
    <w:abstractNumId w:val="2"/>
  </w:num>
  <w:num w:numId="4" w16cid:durableId="1451122158">
    <w:abstractNumId w:val="4"/>
  </w:num>
  <w:num w:numId="5" w16cid:durableId="1589120319">
    <w:abstractNumId w:val="0"/>
  </w:num>
  <w:num w:numId="6" w16cid:durableId="1241332659">
    <w:abstractNumId w:val="6"/>
  </w:num>
  <w:num w:numId="7" w16cid:durableId="1376393892">
    <w:abstractNumId w:val="5"/>
  </w:num>
  <w:num w:numId="8" w16cid:durableId="161101285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784B"/>
    <w:rsid w:val="00010BAE"/>
    <w:rsid w:val="00011E4D"/>
    <w:rsid w:val="000138CF"/>
    <w:rsid w:val="000140D5"/>
    <w:rsid w:val="000146FA"/>
    <w:rsid w:val="0001554B"/>
    <w:rsid w:val="00016AFF"/>
    <w:rsid w:val="00017F54"/>
    <w:rsid w:val="000305EA"/>
    <w:rsid w:val="00031E3C"/>
    <w:rsid w:val="00032CB3"/>
    <w:rsid w:val="0003624C"/>
    <w:rsid w:val="00036FAE"/>
    <w:rsid w:val="00037523"/>
    <w:rsid w:val="00044508"/>
    <w:rsid w:val="00044569"/>
    <w:rsid w:val="00044FDC"/>
    <w:rsid w:val="00047668"/>
    <w:rsid w:val="00047A2A"/>
    <w:rsid w:val="0005020B"/>
    <w:rsid w:val="000505A9"/>
    <w:rsid w:val="00057815"/>
    <w:rsid w:val="00057A1E"/>
    <w:rsid w:val="000614A1"/>
    <w:rsid w:val="00062794"/>
    <w:rsid w:val="00062CF1"/>
    <w:rsid w:val="00063ACB"/>
    <w:rsid w:val="0006484E"/>
    <w:rsid w:val="000668B0"/>
    <w:rsid w:val="00070266"/>
    <w:rsid w:val="000725F7"/>
    <w:rsid w:val="00076E76"/>
    <w:rsid w:val="00083AD0"/>
    <w:rsid w:val="00083F41"/>
    <w:rsid w:val="000846B7"/>
    <w:rsid w:val="00084AD9"/>
    <w:rsid w:val="000A0622"/>
    <w:rsid w:val="000A2A28"/>
    <w:rsid w:val="000A2D3A"/>
    <w:rsid w:val="000A3124"/>
    <w:rsid w:val="000A35D6"/>
    <w:rsid w:val="000A421A"/>
    <w:rsid w:val="000B1BE1"/>
    <w:rsid w:val="000B3914"/>
    <w:rsid w:val="000B6430"/>
    <w:rsid w:val="000C1DD4"/>
    <w:rsid w:val="000C224C"/>
    <w:rsid w:val="000C25AD"/>
    <w:rsid w:val="000C34FD"/>
    <w:rsid w:val="000C4D6B"/>
    <w:rsid w:val="000C6079"/>
    <w:rsid w:val="000D1472"/>
    <w:rsid w:val="000D5E6D"/>
    <w:rsid w:val="000E08A5"/>
    <w:rsid w:val="000E0AD6"/>
    <w:rsid w:val="000E3516"/>
    <w:rsid w:val="000E4AAD"/>
    <w:rsid w:val="000E57DB"/>
    <w:rsid w:val="000E6FD6"/>
    <w:rsid w:val="000F1811"/>
    <w:rsid w:val="000F7A8C"/>
    <w:rsid w:val="00103015"/>
    <w:rsid w:val="00103253"/>
    <w:rsid w:val="001042BA"/>
    <w:rsid w:val="00106EF4"/>
    <w:rsid w:val="00120A34"/>
    <w:rsid w:val="0012329D"/>
    <w:rsid w:val="00124260"/>
    <w:rsid w:val="00125A8E"/>
    <w:rsid w:val="00127CD8"/>
    <w:rsid w:val="001301AD"/>
    <w:rsid w:val="001334D9"/>
    <w:rsid w:val="001377D9"/>
    <w:rsid w:val="00137ACD"/>
    <w:rsid w:val="0014071E"/>
    <w:rsid w:val="00140DAD"/>
    <w:rsid w:val="00140E3D"/>
    <w:rsid w:val="001421FE"/>
    <w:rsid w:val="001437EA"/>
    <w:rsid w:val="00144950"/>
    <w:rsid w:val="00145BE1"/>
    <w:rsid w:val="00146B2F"/>
    <w:rsid w:val="0015276C"/>
    <w:rsid w:val="00152947"/>
    <w:rsid w:val="0015393D"/>
    <w:rsid w:val="0015508C"/>
    <w:rsid w:val="0015582B"/>
    <w:rsid w:val="00160153"/>
    <w:rsid w:val="00161A1F"/>
    <w:rsid w:val="0017006A"/>
    <w:rsid w:val="00173A64"/>
    <w:rsid w:val="00173E0C"/>
    <w:rsid w:val="00185491"/>
    <w:rsid w:val="00190AD3"/>
    <w:rsid w:val="00190D22"/>
    <w:rsid w:val="001935FB"/>
    <w:rsid w:val="00195030"/>
    <w:rsid w:val="001964E2"/>
    <w:rsid w:val="00197C3F"/>
    <w:rsid w:val="001A2FE9"/>
    <w:rsid w:val="001A4389"/>
    <w:rsid w:val="001B19AC"/>
    <w:rsid w:val="001B3C7A"/>
    <w:rsid w:val="001C3277"/>
    <w:rsid w:val="001D00E3"/>
    <w:rsid w:val="001D0AF3"/>
    <w:rsid w:val="001D1D8A"/>
    <w:rsid w:val="001D36EE"/>
    <w:rsid w:val="001D6B5D"/>
    <w:rsid w:val="001E07CE"/>
    <w:rsid w:val="001E3CB9"/>
    <w:rsid w:val="001E52EB"/>
    <w:rsid w:val="001E5A0B"/>
    <w:rsid w:val="001E753E"/>
    <w:rsid w:val="001F127D"/>
    <w:rsid w:val="001F3626"/>
    <w:rsid w:val="001F7336"/>
    <w:rsid w:val="00200358"/>
    <w:rsid w:val="002005CD"/>
    <w:rsid w:val="002014C1"/>
    <w:rsid w:val="00201764"/>
    <w:rsid w:val="00201F75"/>
    <w:rsid w:val="00202EC1"/>
    <w:rsid w:val="00204283"/>
    <w:rsid w:val="00204EEF"/>
    <w:rsid w:val="00205DBD"/>
    <w:rsid w:val="00207297"/>
    <w:rsid w:val="002112E8"/>
    <w:rsid w:val="0021337D"/>
    <w:rsid w:val="00216A1C"/>
    <w:rsid w:val="002221C9"/>
    <w:rsid w:val="00223F82"/>
    <w:rsid w:val="00224C52"/>
    <w:rsid w:val="00232304"/>
    <w:rsid w:val="002378EE"/>
    <w:rsid w:val="002402EA"/>
    <w:rsid w:val="00243292"/>
    <w:rsid w:val="002445E3"/>
    <w:rsid w:val="00247EBF"/>
    <w:rsid w:val="00261499"/>
    <w:rsid w:val="0026204D"/>
    <w:rsid w:val="002672A4"/>
    <w:rsid w:val="0027025C"/>
    <w:rsid w:val="00270370"/>
    <w:rsid w:val="002747E8"/>
    <w:rsid w:val="00274EEA"/>
    <w:rsid w:val="0027686D"/>
    <w:rsid w:val="002808A9"/>
    <w:rsid w:val="00281165"/>
    <w:rsid w:val="00283ED8"/>
    <w:rsid w:val="00284C9D"/>
    <w:rsid w:val="00285272"/>
    <w:rsid w:val="0028764D"/>
    <w:rsid w:val="00292863"/>
    <w:rsid w:val="00294430"/>
    <w:rsid w:val="00296CA7"/>
    <w:rsid w:val="00296FAF"/>
    <w:rsid w:val="00297EAB"/>
    <w:rsid w:val="002A15F1"/>
    <w:rsid w:val="002A4961"/>
    <w:rsid w:val="002A6881"/>
    <w:rsid w:val="002A6ADE"/>
    <w:rsid w:val="002B09F8"/>
    <w:rsid w:val="002B313C"/>
    <w:rsid w:val="002B5C28"/>
    <w:rsid w:val="002C1F84"/>
    <w:rsid w:val="002C310D"/>
    <w:rsid w:val="002C40FB"/>
    <w:rsid w:val="002D1504"/>
    <w:rsid w:val="002D564A"/>
    <w:rsid w:val="002E12E6"/>
    <w:rsid w:val="002F4B9B"/>
    <w:rsid w:val="002F76C6"/>
    <w:rsid w:val="00304A88"/>
    <w:rsid w:val="00304E64"/>
    <w:rsid w:val="00307358"/>
    <w:rsid w:val="0031070C"/>
    <w:rsid w:val="00313612"/>
    <w:rsid w:val="00316053"/>
    <w:rsid w:val="003170AC"/>
    <w:rsid w:val="00326C24"/>
    <w:rsid w:val="0033070E"/>
    <w:rsid w:val="0033656E"/>
    <w:rsid w:val="003440C7"/>
    <w:rsid w:val="00346059"/>
    <w:rsid w:val="00350779"/>
    <w:rsid w:val="00353488"/>
    <w:rsid w:val="00353D81"/>
    <w:rsid w:val="00354743"/>
    <w:rsid w:val="00355DAC"/>
    <w:rsid w:val="00356782"/>
    <w:rsid w:val="003617D5"/>
    <w:rsid w:val="00364969"/>
    <w:rsid w:val="00365D2C"/>
    <w:rsid w:val="00367095"/>
    <w:rsid w:val="00367C2D"/>
    <w:rsid w:val="0037028F"/>
    <w:rsid w:val="003719BF"/>
    <w:rsid w:val="00371D95"/>
    <w:rsid w:val="00375010"/>
    <w:rsid w:val="0037728A"/>
    <w:rsid w:val="00377427"/>
    <w:rsid w:val="00386B68"/>
    <w:rsid w:val="00386E17"/>
    <w:rsid w:val="003870C6"/>
    <w:rsid w:val="0038758C"/>
    <w:rsid w:val="003913F1"/>
    <w:rsid w:val="00393A61"/>
    <w:rsid w:val="00394454"/>
    <w:rsid w:val="00395655"/>
    <w:rsid w:val="0039567E"/>
    <w:rsid w:val="00395D82"/>
    <w:rsid w:val="003A0965"/>
    <w:rsid w:val="003A373E"/>
    <w:rsid w:val="003A3D0E"/>
    <w:rsid w:val="003A4424"/>
    <w:rsid w:val="003A530C"/>
    <w:rsid w:val="003A5841"/>
    <w:rsid w:val="003A7B17"/>
    <w:rsid w:val="003B29B0"/>
    <w:rsid w:val="003B2DA8"/>
    <w:rsid w:val="003B3044"/>
    <w:rsid w:val="003B6C2D"/>
    <w:rsid w:val="003C04F4"/>
    <w:rsid w:val="003C0D20"/>
    <w:rsid w:val="003C16A9"/>
    <w:rsid w:val="003C202D"/>
    <w:rsid w:val="003C7C50"/>
    <w:rsid w:val="003D0E21"/>
    <w:rsid w:val="003D47C4"/>
    <w:rsid w:val="003D7CE2"/>
    <w:rsid w:val="003E4413"/>
    <w:rsid w:val="003E5B26"/>
    <w:rsid w:val="003F09F7"/>
    <w:rsid w:val="003F1AA1"/>
    <w:rsid w:val="003F24BC"/>
    <w:rsid w:val="003F5D1B"/>
    <w:rsid w:val="00402CC7"/>
    <w:rsid w:val="00402D70"/>
    <w:rsid w:val="00403CE4"/>
    <w:rsid w:val="004075A3"/>
    <w:rsid w:val="00410A3F"/>
    <w:rsid w:val="0041144F"/>
    <w:rsid w:val="00413BE8"/>
    <w:rsid w:val="004143B1"/>
    <w:rsid w:val="0041456B"/>
    <w:rsid w:val="00415A55"/>
    <w:rsid w:val="004247EC"/>
    <w:rsid w:val="00425A1E"/>
    <w:rsid w:val="00425FCB"/>
    <w:rsid w:val="00430F1B"/>
    <w:rsid w:val="004327E1"/>
    <w:rsid w:val="00434240"/>
    <w:rsid w:val="00434641"/>
    <w:rsid w:val="00434CDD"/>
    <w:rsid w:val="004355D0"/>
    <w:rsid w:val="004355E8"/>
    <w:rsid w:val="00436435"/>
    <w:rsid w:val="0044090F"/>
    <w:rsid w:val="00442912"/>
    <w:rsid w:val="00445460"/>
    <w:rsid w:val="00446B03"/>
    <w:rsid w:val="0044797F"/>
    <w:rsid w:val="00455C2A"/>
    <w:rsid w:val="00472CF6"/>
    <w:rsid w:val="00472F61"/>
    <w:rsid w:val="00473AEF"/>
    <w:rsid w:val="00481DE1"/>
    <w:rsid w:val="004844BC"/>
    <w:rsid w:val="00484DBC"/>
    <w:rsid w:val="00490BA0"/>
    <w:rsid w:val="00494339"/>
    <w:rsid w:val="00494834"/>
    <w:rsid w:val="0049486C"/>
    <w:rsid w:val="004A2F70"/>
    <w:rsid w:val="004A409F"/>
    <w:rsid w:val="004A48D9"/>
    <w:rsid w:val="004A6B2D"/>
    <w:rsid w:val="004B2C3F"/>
    <w:rsid w:val="004C2D0F"/>
    <w:rsid w:val="004D5695"/>
    <w:rsid w:val="004D665B"/>
    <w:rsid w:val="004D7B86"/>
    <w:rsid w:val="004E1667"/>
    <w:rsid w:val="004F47FC"/>
    <w:rsid w:val="004F53E6"/>
    <w:rsid w:val="004F54FF"/>
    <w:rsid w:val="00503218"/>
    <w:rsid w:val="00505873"/>
    <w:rsid w:val="00506F28"/>
    <w:rsid w:val="005146EC"/>
    <w:rsid w:val="00515BBE"/>
    <w:rsid w:val="005169CB"/>
    <w:rsid w:val="00517337"/>
    <w:rsid w:val="005173FC"/>
    <w:rsid w:val="00523EC7"/>
    <w:rsid w:val="00524226"/>
    <w:rsid w:val="00527330"/>
    <w:rsid w:val="00533D28"/>
    <w:rsid w:val="00536596"/>
    <w:rsid w:val="005366FF"/>
    <w:rsid w:val="00537A32"/>
    <w:rsid w:val="0054602B"/>
    <w:rsid w:val="00546375"/>
    <w:rsid w:val="00546BD5"/>
    <w:rsid w:val="005620CA"/>
    <w:rsid w:val="00572401"/>
    <w:rsid w:val="005732E6"/>
    <w:rsid w:val="00577C30"/>
    <w:rsid w:val="005812FF"/>
    <w:rsid w:val="005819C8"/>
    <w:rsid w:val="0058422E"/>
    <w:rsid w:val="00584B84"/>
    <w:rsid w:val="00587EEA"/>
    <w:rsid w:val="005905A0"/>
    <w:rsid w:val="00591EC0"/>
    <w:rsid w:val="00597535"/>
    <w:rsid w:val="005A0260"/>
    <w:rsid w:val="005A54B4"/>
    <w:rsid w:val="005A7050"/>
    <w:rsid w:val="005B218F"/>
    <w:rsid w:val="005B3CBC"/>
    <w:rsid w:val="005B510A"/>
    <w:rsid w:val="005C0740"/>
    <w:rsid w:val="005C18D0"/>
    <w:rsid w:val="005D24B8"/>
    <w:rsid w:val="005E2026"/>
    <w:rsid w:val="005E20F7"/>
    <w:rsid w:val="005F080B"/>
    <w:rsid w:val="005F4914"/>
    <w:rsid w:val="005F5DF6"/>
    <w:rsid w:val="005F5FA1"/>
    <w:rsid w:val="005F7D42"/>
    <w:rsid w:val="0060088C"/>
    <w:rsid w:val="00604F05"/>
    <w:rsid w:val="0060713B"/>
    <w:rsid w:val="00611D31"/>
    <w:rsid w:val="00616F7D"/>
    <w:rsid w:val="006202A1"/>
    <w:rsid w:val="0062319E"/>
    <w:rsid w:val="00625432"/>
    <w:rsid w:val="00626E42"/>
    <w:rsid w:val="00627EDA"/>
    <w:rsid w:val="00636200"/>
    <w:rsid w:val="00645DC7"/>
    <w:rsid w:val="0064724F"/>
    <w:rsid w:val="006507CB"/>
    <w:rsid w:val="00651D68"/>
    <w:rsid w:val="00652D30"/>
    <w:rsid w:val="00656314"/>
    <w:rsid w:val="00661BE8"/>
    <w:rsid w:val="0066464F"/>
    <w:rsid w:val="0066658C"/>
    <w:rsid w:val="00667B6F"/>
    <w:rsid w:val="00667F82"/>
    <w:rsid w:val="006700AA"/>
    <w:rsid w:val="0067097E"/>
    <w:rsid w:val="00677A0D"/>
    <w:rsid w:val="00683049"/>
    <w:rsid w:val="00683087"/>
    <w:rsid w:val="00685653"/>
    <w:rsid w:val="00691E2D"/>
    <w:rsid w:val="006930D1"/>
    <w:rsid w:val="006931AD"/>
    <w:rsid w:val="006940BB"/>
    <w:rsid w:val="00696CF0"/>
    <w:rsid w:val="00697001"/>
    <w:rsid w:val="006A1788"/>
    <w:rsid w:val="006A666D"/>
    <w:rsid w:val="006B2D99"/>
    <w:rsid w:val="006B6E38"/>
    <w:rsid w:val="006C169A"/>
    <w:rsid w:val="006C6DF7"/>
    <w:rsid w:val="006D58E2"/>
    <w:rsid w:val="006D7B6B"/>
    <w:rsid w:val="006E3838"/>
    <w:rsid w:val="006E3C40"/>
    <w:rsid w:val="006E70EA"/>
    <w:rsid w:val="006E7699"/>
    <w:rsid w:val="006F27AC"/>
    <w:rsid w:val="006F3E5C"/>
    <w:rsid w:val="006F627D"/>
    <w:rsid w:val="00701947"/>
    <w:rsid w:val="00701CB8"/>
    <w:rsid w:val="00701E47"/>
    <w:rsid w:val="00707E57"/>
    <w:rsid w:val="00707F49"/>
    <w:rsid w:val="007103B5"/>
    <w:rsid w:val="00714C62"/>
    <w:rsid w:val="00717DB2"/>
    <w:rsid w:val="007213BB"/>
    <w:rsid w:val="0072758F"/>
    <w:rsid w:val="007314EF"/>
    <w:rsid w:val="00735A84"/>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39A9"/>
    <w:rsid w:val="0077536C"/>
    <w:rsid w:val="00782538"/>
    <w:rsid w:val="007828DD"/>
    <w:rsid w:val="00783FAB"/>
    <w:rsid w:val="00785B13"/>
    <w:rsid w:val="00786DFD"/>
    <w:rsid w:val="007918DE"/>
    <w:rsid w:val="00791AAC"/>
    <w:rsid w:val="00795969"/>
    <w:rsid w:val="007A6AF0"/>
    <w:rsid w:val="007B44CD"/>
    <w:rsid w:val="007B4836"/>
    <w:rsid w:val="007B4CB8"/>
    <w:rsid w:val="007B6C05"/>
    <w:rsid w:val="007C5020"/>
    <w:rsid w:val="007D12B2"/>
    <w:rsid w:val="007D1F16"/>
    <w:rsid w:val="007D4E08"/>
    <w:rsid w:val="007D6CE2"/>
    <w:rsid w:val="007E00A8"/>
    <w:rsid w:val="007E16D6"/>
    <w:rsid w:val="007E2197"/>
    <w:rsid w:val="007E3446"/>
    <w:rsid w:val="007E3447"/>
    <w:rsid w:val="007E36E5"/>
    <w:rsid w:val="007E4530"/>
    <w:rsid w:val="007E4E40"/>
    <w:rsid w:val="007E6EC6"/>
    <w:rsid w:val="007F138A"/>
    <w:rsid w:val="007F563E"/>
    <w:rsid w:val="007F58D5"/>
    <w:rsid w:val="00803447"/>
    <w:rsid w:val="008035CF"/>
    <w:rsid w:val="0080584E"/>
    <w:rsid w:val="00805FEB"/>
    <w:rsid w:val="00807511"/>
    <w:rsid w:val="00811E34"/>
    <w:rsid w:val="00812C37"/>
    <w:rsid w:val="008134D5"/>
    <w:rsid w:val="00813A38"/>
    <w:rsid w:val="008144D6"/>
    <w:rsid w:val="00823B66"/>
    <w:rsid w:val="00824A98"/>
    <w:rsid w:val="008310AA"/>
    <w:rsid w:val="00834114"/>
    <w:rsid w:val="008430FD"/>
    <w:rsid w:val="00844669"/>
    <w:rsid w:val="00844D23"/>
    <w:rsid w:val="008517D8"/>
    <w:rsid w:val="00852869"/>
    <w:rsid w:val="00852CDC"/>
    <w:rsid w:val="00855239"/>
    <w:rsid w:val="008560F5"/>
    <w:rsid w:val="00856BC4"/>
    <w:rsid w:val="008662D3"/>
    <w:rsid w:val="00867101"/>
    <w:rsid w:val="008755D8"/>
    <w:rsid w:val="0088497A"/>
    <w:rsid w:val="00892A69"/>
    <w:rsid w:val="0089478D"/>
    <w:rsid w:val="0089749E"/>
    <w:rsid w:val="008A1F97"/>
    <w:rsid w:val="008A20A7"/>
    <w:rsid w:val="008A359B"/>
    <w:rsid w:val="008A6011"/>
    <w:rsid w:val="008A620D"/>
    <w:rsid w:val="008A6224"/>
    <w:rsid w:val="008B478B"/>
    <w:rsid w:val="008B61B7"/>
    <w:rsid w:val="008C3AB4"/>
    <w:rsid w:val="008C48EF"/>
    <w:rsid w:val="008C497B"/>
    <w:rsid w:val="008C76FD"/>
    <w:rsid w:val="008D72EA"/>
    <w:rsid w:val="008D74B1"/>
    <w:rsid w:val="008D7625"/>
    <w:rsid w:val="008D7665"/>
    <w:rsid w:val="008E30D6"/>
    <w:rsid w:val="008E30D9"/>
    <w:rsid w:val="008E68D3"/>
    <w:rsid w:val="008E79DF"/>
    <w:rsid w:val="008F002D"/>
    <w:rsid w:val="008F43E8"/>
    <w:rsid w:val="00902A26"/>
    <w:rsid w:val="00903257"/>
    <w:rsid w:val="009048A2"/>
    <w:rsid w:val="00905C61"/>
    <w:rsid w:val="00906FC1"/>
    <w:rsid w:val="009072F5"/>
    <w:rsid w:val="00907D61"/>
    <w:rsid w:val="00910064"/>
    <w:rsid w:val="009114DC"/>
    <w:rsid w:val="00911D92"/>
    <w:rsid w:val="009121D3"/>
    <w:rsid w:val="009176F5"/>
    <w:rsid w:val="00925AE5"/>
    <w:rsid w:val="00933AD6"/>
    <w:rsid w:val="009421AA"/>
    <w:rsid w:val="0094476A"/>
    <w:rsid w:val="0094774B"/>
    <w:rsid w:val="00970AAB"/>
    <w:rsid w:val="00974504"/>
    <w:rsid w:val="00975A4A"/>
    <w:rsid w:val="00976413"/>
    <w:rsid w:val="009767B4"/>
    <w:rsid w:val="00977D37"/>
    <w:rsid w:val="009807AE"/>
    <w:rsid w:val="00990334"/>
    <w:rsid w:val="00991158"/>
    <w:rsid w:val="0099199E"/>
    <w:rsid w:val="0099435F"/>
    <w:rsid w:val="00995C44"/>
    <w:rsid w:val="009A04A5"/>
    <w:rsid w:val="009A35A0"/>
    <w:rsid w:val="009A5835"/>
    <w:rsid w:val="009A7CFA"/>
    <w:rsid w:val="009B0C51"/>
    <w:rsid w:val="009B2183"/>
    <w:rsid w:val="009B29AC"/>
    <w:rsid w:val="009B4B7F"/>
    <w:rsid w:val="009B76E1"/>
    <w:rsid w:val="009C0F35"/>
    <w:rsid w:val="009C10C1"/>
    <w:rsid w:val="009C4F55"/>
    <w:rsid w:val="009C5E5D"/>
    <w:rsid w:val="009D23FB"/>
    <w:rsid w:val="009D3CE7"/>
    <w:rsid w:val="009D7562"/>
    <w:rsid w:val="009E0803"/>
    <w:rsid w:val="009E765D"/>
    <w:rsid w:val="009E7C1C"/>
    <w:rsid w:val="009F13BF"/>
    <w:rsid w:val="009F1D34"/>
    <w:rsid w:val="009F4C47"/>
    <w:rsid w:val="009F528F"/>
    <w:rsid w:val="009F6AC9"/>
    <w:rsid w:val="00A06B04"/>
    <w:rsid w:val="00A07E76"/>
    <w:rsid w:val="00A105DA"/>
    <w:rsid w:val="00A20031"/>
    <w:rsid w:val="00A202D5"/>
    <w:rsid w:val="00A23CDC"/>
    <w:rsid w:val="00A24596"/>
    <w:rsid w:val="00A24B24"/>
    <w:rsid w:val="00A25E6C"/>
    <w:rsid w:val="00A3301A"/>
    <w:rsid w:val="00A355B4"/>
    <w:rsid w:val="00A40E3D"/>
    <w:rsid w:val="00A40EA6"/>
    <w:rsid w:val="00A47C4E"/>
    <w:rsid w:val="00A52753"/>
    <w:rsid w:val="00A541E8"/>
    <w:rsid w:val="00A550E8"/>
    <w:rsid w:val="00A556D1"/>
    <w:rsid w:val="00A56E8B"/>
    <w:rsid w:val="00A607FB"/>
    <w:rsid w:val="00A701A6"/>
    <w:rsid w:val="00A71133"/>
    <w:rsid w:val="00A7209C"/>
    <w:rsid w:val="00A75873"/>
    <w:rsid w:val="00A761C7"/>
    <w:rsid w:val="00A77D42"/>
    <w:rsid w:val="00A82E17"/>
    <w:rsid w:val="00A83B8B"/>
    <w:rsid w:val="00A85075"/>
    <w:rsid w:val="00A851EE"/>
    <w:rsid w:val="00A90245"/>
    <w:rsid w:val="00A93F1F"/>
    <w:rsid w:val="00A95361"/>
    <w:rsid w:val="00AA12F7"/>
    <w:rsid w:val="00AA3173"/>
    <w:rsid w:val="00AA3A3E"/>
    <w:rsid w:val="00AA7119"/>
    <w:rsid w:val="00AB183C"/>
    <w:rsid w:val="00AB19B6"/>
    <w:rsid w:val="00AC6ABA"/>
    <w:rsid w:val="00AD1C80"/>
    <w:rsid w:val="00AD2E24"/>
    <w:rsid w:val="00AD5627"/>
    <w:rsid w:val="00AD65C9"/>
    <w:rsid w:val="00AD6639"/>
    <w:rsid w:val="00AE3EE3"/>
    <w:rsid w:val="00AE4A25"/>
    <w:rsid w:val="00AE5CCB"/>
    <w:rsid w:val="00AE7179"/>
    <w:rsid w:val="00AF2521"/>
    <w:rsid w:val="00AF2D26"/>
    <w:rsid w:val="00AF58D0"/>
    <w:rsid w:val="00AF6215"/>
    <w:rsid w:val="00AF6F6E"/>
    <w:rsid w:val="00B00A18"/>
    <w:rsid w:val="00B021A3"/>
    <w:rsid w:val="00B06904"/>
    <w:rsid w:val="00B11323"/>
    <w:rsid w:val="00B11F8C"/>
    <w:rsid w:val="00B13A2F"/>
    <w:rsid w:val="00B145D2"/>
    <w:rsid w:val="00B178D3"/>
    <w:rsid w:val="00B22F73"/>
    <w:rsid w:val="00B339F8"/>
    <w:rsid w:val="00B4065C"/>
    <w:rsid w:val="00B42391"/>
    <w:rsid w:val="00B43512"/>
    <w:rsid w:val="00B5009B"/>
    <w:rsid w:val="00B52CD8"/>
    <w:rsid w:val="00B54334"/>
    <w:rsid w:val="00B604EB"/>
    <w:rsid w:val="00B6108C"/>
    <w:rsid w:val="00B67F7B"/>
    <w:rsid w:val="00B731DA"/>
    <w:rsid w:val="00B739E2"/>
    <w:rsid w:val="00B7713B"/>
    <w:rsid w:val="00B8151D"/>
    <w:rsid w:val="00B819AA"/>
    <w:rsid w:val="00B92FD0"/>
    <w:rsid w:val="00BA117B"/>
    <w:rsid w:val="00BA54AA"/>
    <w:rsid w:val="00BA5564"/>
    <w:rsid w:val="00BB2109"/>
    <w:rsid w:val="00BB2C6B"/>
    <w:rsid w:val="00BB38D4"/>
    <w:rsid w:val="00BB4D85"/>
    <w:rsid w:val="00BB61E4"/>
    <w:rsid w:val="00BB631E"/>
    <w:rsid w:val="00BB71A8"/>
    <w:rsid w:val="00BC1A11"/>
    <w:rsid w:val="00BC33E1"/>
    <w:rsid w:val="00BC4BD5"/>
    <w:rsid w:val="00BC50A3"/>
    <w:rsid w:val="00BC58E3"/>
    <w:rsid w:val="00BD41D4"/>
    <w:rsid w:val="00BD465A"/>
    <w:rsid w:val="00BD47A9"/>
    <w:rsid w:val="00BD5316"/>
    <w:rsid w:val="00BD5A86"/>
    <w:rsid w:val="00BD6AC2"/>
    <w:rsid w:val="00BE214C"/>
    <w:rsid w:val="00BE4861"/>
    <w:rsid w:val="00BE68F9"/>
    <w:rsid w:val="00BF2A9B"/>
    <w:rsid w:val="00BF3DAE"/>
    <w:rsid w:val="00C02595"/>
    <w:rsid w:val="00C12197"/>
    <w:rsid w:val="00C1330A"/>
    <w:rsid w:val="00C145EB"/>
    <w:rsid w:val="00C21803"/>
    <w:rsid w:val="00C2416A"/>
    <w:rsid w:val="00C30E45"/>
    <w:rsid w:val="00C325A5"/>
    <w:rsid w:val="00C33D21"/>
    <w:rsid w:val="00C36A15"/>
    <w:rsid w:val="00C3701B"/>
    <w:rsid w:val="00C37043"/>
    <w:rsid w:val="00C4300F"/>
    <w:rsid w:val="00C43FC8"/>
    <w:rsid w:val="00C45367"/>
    <w:rsid w:val="00C45661"/>
    <w:rsid w:val="00C5010C"/>
    <w:rsid w:val="00C50EF9"/>
    <w:rsid w:val="00C51AEF"/>
    <w:rsid w:val="00C5283B"/>
    <w:rsid w:val="00C62BC1"/>
    <w:rsid w:val="00C64879"/>
    <w:rsid w:val="00C66953"/>
    <w:rsid w:val="00C73133"/>
    <w:rsid w:val="00C731FA"/>
    <w:rsid w:val="00C7617C"/>
    <w:rsid w:val="00C82C91"/>
    <w:rsid w:val="00C846A2"/>
    <w:rsid w:val="00C90EFC"/>
    <w:rsid w:val="00C90FC4"/>
    <w:rsid w:val="00C931A2"/>
    <w:rsid w:val="00C954B7"/>
    <w:rsid w:val="00C9591A"/>
    <w:rsid w:val="00C970D0"/>
    <w:rsid w:val="00CA46AC"/>
    <w:rsid w:val="00CA4F71"/>
    <w:rsid w:val="00CA79DF"/>
    <w:rsid w:val="00CB337B"/>
    <w:rsid w:val="00CB45D5"/>
    <w:rsid w:val="00CB7A83"/>
    <w:rsid w:val="00CC08E3"/>
    <w:rsid w:val="00CC3AE0"/>
    <w:rsid w:val="00CC3C0B"/>
    <w:rsid w:val="00CC3CD3"/>
    <w:rsid w:val="00CC4C6D"/>
    <w:rsid w:val="00CC6A6D"/>
    <w:rsid w:val="00CD20F8"/>
    <w:rsid w:val="00CD3705"/>
    <w:rsid w:val="00CD3ECA"/>
    <w:rsid w:val="00CD6E72"/>
    <w:rsid w:val="00CE3EA5"/>
    <w:rsid w:val="00CF1C96"/>
    <w:rsid w:val="00CF5A8C"/>
    <w:rsid w:val="00D010D3"/>
    <w:rsid w:val="00D044A2"/>
    <w:rsid w:val="00D05A8C"/>
    <w:rsid w:val="00D119DD"/>
    <w:rsid w:val="00D13E53"/>
    <w:rsid w:val="00D14A9D"/>
    <w:rsid w:val="00D17A67"/>
    <w:rsid w:val="00D17FC6"/>
    <w:rsid w:val="00D217D1"/>
    <w:rsid w:val="00D2477E"/>
    <w:rsid w:val="00D2517F"/>
    <w:rsid w:val="00D25304"/>
    <w:rsid w:val="00D32FAD"/>
    <w:rsid w:val="00D3758C"/>
    <w:rsid w:val="00D44076"/>
    <w:rsid w:val="00D4584E"/>
    <w:rsid w:val="00D45CA0"/>
    <w:rsid w:val="00D46134"/>
    <w:rsid w:val="00D468A9"/>
    <w:rsid w:val="00D50946"/>
    <w:rsid w:val="00D5387E"/>
    <w:rsid w:val="00D55C45"/>
    <w:rsid w:val="00D56A3B"/>
    <w:rsid w:val="00D61A73"/>
    <w:rsid w:val="00D63270"/>
    <w:rsid w:val="00D63CDD"/>
    <w:rsid w:val="00D66B65"/>
    <w:rsid w:val="00D70EAE"/>
    <w:rsid w:val="00D723E0"/>
    <w:rsid w:val="00D73415"/>
    <w:rsid w:val="00D747A2"/>
    <w:rsid w:val="00D74B9B"/>
    <w:rsid w:val="00D773CB"/>
    <w:rsid w:val="00D8103E"/>
    <w:rsid w:val="00D818BA"/>
    <w:rsid w:val="00D82748"/>
    <w:rsid w:val="00D842A2"/>
    <w:rsid w:val="00D84946"/>
    <w:rsid w:val="00D849F3"/>
    <w:rsid w:val="00D86C63"/>
    <w:rsid w:val="00D87150"/>
    <w:rsid w:val="00D93741"/>
    <w:rsid w:val="00DA3F3F"/>
    <w:rsid w:val="00DA552F"/>
    <w:rsid w:val="00DB1C9E"/>
    <w:rsid w:val="00DB2434"/>
    <w:rsid w:val="00DB461B"/>
    <w:rsid w:val="00DB4D35"/>
    <w:rsid w:val="00DB6247"/>
    <w:rsid w:val="00DC0135"/>
    <w:rsid w:val="00DC366F"/>
    <w:rsid w:val="00DC3E8C"/>
    <w:rsid w:val="00DC4B5E"/>
    <w:rsid w:val="00DD0DE9"/>
    <w:rsid w:val="00DD1234"/>
    <w:rsid w:val="00DD408F"/>
    <w:rsid w:val="00DD4E58"/>
    <w:rsid w:val="00DD5F43"/>
    <w:rsid w:val="00DD651A"/>
    <w:rsid w:val="00DD7496"/>
    <w:rsid w:val="00DD7B03"/>
    <w:rsid w:val="00DE02BB"/>
    <w:rsid w:val="00DE4E2D"/>
    <w:rsid w:val="00DE5F92"/>
    <w:rsid w:val="00DE715E"/>
    <w:rsid w:val="00DE7C37"/>
    <w:rsid w:val="00DF13F3"/>
    <w:rsid w:val="00DF2998"/>
    <w:rsid w:val="00DF3683"/>
    <w:rsid w:val="00DF46B2"/>
    <w:rsid w:val="00DF51C8"/>
    <w:rsid w:val="00DF61B7"/>
    <w:rsid w:val="00E01C32"/>
    <w:rsid w:val="00E01F85"/>
    <w:rsid w:val="00E07A8A"/>
    <w:rsid w:val="00E1257E"/>
    <w:rsid w:val="00E24E50"/>
    <w:rsid w:val="00E2515A"/>
    <w:rsid w:val="00E251EE"/>
    <w:rsid w:val="00E302D5"/>
    <w:rsid w:val="00E33927"/>
    <w:rsid w:val="00E33FED"/>
    <w:rsid w:val="00E42107"/>
    <w:rsid w:val="00E43542"/>
    <w:rsid w:val="00E475FD"/>
    <w:rsid w:val="00E54AE0"/>
    <w:rsid w:val="00E5541C"/>
    <w:rsid w:val="00E55D04"/>
    <w:rsid w:val="00E57C10"/>
    <w:rsid w:val="00E60A2A"/>
    <w:rsid w:val="00E62C51"/>
    <w:rsid w:val="00E631F9"/>
    <w:rsid w:val="00E662FD"/>
    <w:rsid w:val="00E72FD0"/>
    <w:rsid w:val="00E73CCF"/>
    <w:rsid w:val="00E757D0"/>
    <w:rsid w:val="00E767BE"/>
    <w:rsid w:val="00E85D3A"/>
    <w:rsid w:val="00E8671C"/>
    <w:rsid w:val="00E90298"/>
    <w:rsid w:val="00E916A2"/>
    <w:rsid w:val="00E91930"/>
    <w:rsid w:val="00EA6D4F"/>
    <w:rsid w:val="00EA716A"/>
    <w:rsid w:val="00EA7EA8"/>
    <w:rsid w:val="00EC0A15"/>
    <w:rsid w:val="00ED74DF"/>
    <w:rsid w:val="00EE2298"/>
    <w:rsid w:val="00EE412B"/>
    <w:rsid w:val="00EF124E"/>
    <w:rsid w:val="00EF4ACB"/>
    <w:rsid w:val="00EF5938"/>
    <w:rsid w:val="00F00674"/>
    <w:rsid w:val="00F03635"/>
    <w:rsid w:val="00F0455E"/>
    <w:rsid w:val="00F05D64"/>
    <w:rsid w:val="00F0609A"/>
    <w:rsid w:val="00F1230D"/>
    <w:rsid w:val="00F14BCE"/>
    <w:rsid w:val="00F1697B"/>
    <w:rsid w:val="00F21042"/>
    <w:rsid w:val="00F21B9F"/>
    <w:rsid w:val="00F21FAC"/>
    <w:rsid w:val="00F315AE"/>
    <w:rsid w:val="00F3264E"/>
    <w:rsid w:val="00F33C21"/>
    <w:rsid w:val="00F36014"/>
    <w:rsid w:val="00F36E18"/>
    <w:rsid w:val="00F37BC2"/>
    <w:rsid w:val="00F41DE5"/>
    <w:rsid w:val="00F43DAD"/>
    <w:rsid w:val="00F452F8"/>
    <w:rsid w:val="00F45857"/>
    <w:rsid w:val="00F50C61"/>
    <w:rsid w:val="00F513EB"/>
    <w:rsid w:val="00F5236B"/>
    <w:rsid w:val="00F5252A"/>
    <w:rsid w:val="00F54266"/>
    <w:rsid w:val="00F552D2"/>
    <w:rsid w:val="00F5679F"/>
    <w:rsid w:val="00F607D7"/>
    <w:rsid w:val="00F60D6A"/>
    <w:rsid w:val="00F60F15"/>
    <w:rsid w:val="00F62708"/>
    <w:rsid w:val="00F62D62"/>
    <w:rsid w:val="00F6460E"/>
    <w:rsid w:val="00F64CB4"/>
    <w:rsid w:val="00F65889"/>
    <w:rsid w:val="00F72398"/>
    <w:rsid w:val="00F74CC9"/>
    <w:rsid w:val="00F77106"/>
    <w:rsid w:val="00F85B48"/>
    <w:rsid w:val="00F861AE"/>
    <w:rsid w:val="00F871D7"/>
    <w:rsid w:val="00F87E45"/>
    <w:rsid w:val="00F87FB6"/>
    <w:rsid w:val="00F90098"/>
    <w:rsid w:val="00F9205E"/>
    <w:rsid w:val="00F920B4"/>
    <w:rsid w:val="00F92FA5"/>
    <w:rsid w:val="00F935BD"/>
    <w:rsid w:val="00F96889"/>
    <w:rsid w:val="00FA0810"/>
    <w:rsid w:val="00FA6309"/>
    <w:rsid w:val="00FA6319"/>
    <w:rsid w:val="00FB0F41"/>
    <w:rsid w:val="00FB14CA"/>
    <w:rsid w:val="00FB46DD"/>
    <w:rsid w:val="00FB656A"/>
    <w:rsid w:val="00FB7019"/>
    <w:rsid w:val="00FC1146"/>
    <w:rsid w:val="00FC522B"/>
    <w:rsid w:val="00FD0A30"/>
    <w:rsid w:val="00FD1A80"/>
    <w:rsid w:val="00FD282D"/>
    <w:rsid w:val="00FD575A"/>
    <w:rsid w:val="00FE2F0A"/>
    <w:rsid w:val="00FE5C18"/>
    <w:rsid w:val="00FF0697"/>
    <w:rsid w:val="00FF2A10"/>
    <w:rsid w:val="00FF5289"/>
    <w:rsid w:val="00FF557B"/>
    <w:rsid w:val="00FF57B7"/>
    <w:rsid w:val="00FF6E25"/>
    <w:rsid w:val="00FF7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2A6881"/>
    <w:rPr>
      <w:color w:val="605E5C"/>
      <w:shd w:val="clear" w:color="auto" w:fill="E1DFDD"/>
    </w:rPr>
  </w:style>
  <w:style w:type="paragraph" w:customStyle="1" w:styleId="Default">
    <w:name w:val="Default"/>
    <w:rsid w:val="00062CF1"/>
    <w:pPr>
      <w:autoSpaceDE w:val="0"/>
      <w:autoSpaceDN w:val="0"/>
      <w:adjustRightInd w:val="0"/>
      <w:spacing w:after="0" w:line="240" w:lineRule="auto"/>
    </w:pPr>
    <w:rPr>
      <w:rFonts w:ascii="Calibri" w:hAnsi="Calibri" w:cs="Calibri"/>
      <w:color w:val="000000"/>
      <w:szCs w:val="24"/>
    </w:rPr>
  </w:style>
  <w:style w:type="paragraph" w:customStyle="1" w:styleId="MBPoint">
    <w:name w:val="MB Point"/>
    <w:basedOn w:val="ListParagraph"/>
    <w:qFormat/>
    <w:rsid w:val="0014071E"/>
    <w:pPr>
      <w:numPr>
        <w:numId w:val="7"/>
      </w:numPr>
      <w:spacing w:after="60" w:line="240" w:lineRule="auto"/>
      <w:ind w:left="425" w:hanging="357"/>
      <w:contextualSpacing w:val="0"/>
    </w:pPr>
    <w:rPr>
      <w:rFonts w:cs="Times New Roman"/>
      <w:szCs w:val="24"/>
    </w:rPr>
  </w:style>
  <w:style w:type="paragraph" w:customStyle="1" w:styleId="MBPointSub">
    <w:name w:val="MB Point Sub"/>
    <w:basedOn w:val="ListParagraph"/>
    <w:link w:val="MBPointSubChar"/>
    <w:qFormat/>
    <w:rsid w:val="0014071E"/>
    <w:pPr>
      <w:numPr>
        <w:ilvl w:val="1"/>
        <w:numId w:val="7"/>
      </w:numPr>
      <w:spacing w:after="60" w:line="240" w:lineRule="auto"/>
      <w:ind w:left="510" w:hanging="357"/>
      <w:contextualSpacing w:val="0"/>
    </w:pPr>
    <w:rPr>
      <w:rFonts w:cs="Times New Roman"/>
      <w:szCs w:val="24"/>
    </w:rPr>
  </w:style>
  <w:style w:type="character" w:customStyle="1" w:styleId="MBPointSubChar">
    <w:name w:val="MB Point Sub Char"/>
    <w:basedOn w:val="DefaultParagraphFont"/>
    <w:link w:val="MBPointSub"/>
    <w:rsid w:val="0014071E"/>
    <w:rPr>
      <w:rFonts w:cs="Times New Roman"/>
      <w:szCs w:val="24"/>
    </w:rPr>
  </w:style>
  <w:style w:type="paragraph" w:styleId="NormalWeb">
    <w:name w:val="Normal (Web)"/>
    <w:basedOn w:val="Normal"/>
    <w:uiPriority w:val="99"/>
    <w:semiHidden/>
    <w:unhideWhenUsed/>
    <w:rsid w:val="000A421A"/>
    <w:pPr>
      <w:spacing w:before="100" w:beforeAutospacing="1" w:after="100" w:afterAutospacing="1" w:line="240" w:lineRule="auto"/>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90075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DF1FCD801C04DB8F34C2D9687281F" ma:contentTypeVersion="" ma:contentTypeDescription="PDMS Document Site Content Type" ma:contentTypeScope="" ma:versionID="d906e688af8bbe24415506680e8c57d0">
  <xsd:schema xmlns:xsd="http://www.w3.org/2001/XMLSchema" xmlns:xs="http://www.w3.org/2001/XMLSchema" xmlns:p="http://schemas.microsoft.com/office/2006/metadata/properties" xmlns:ns2="3DD0D381-2646-4D63-95E6-1FED8FDB148F" targetNamespace="http://schemas.microsoft.com/office/2006/metadata/properties" ma:root="true" ma:fieldsID="e40d50e967396d0208f775c7924cf321" ns2:_="">
    <xsd:import namespace="3DD0D381-2646-4D63-95E6-1FED8FDB14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0D381-2646-4D63-95E6-1FED8FDB14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DD0D381-2646-4D63-95E6-1FED8FDB14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D6BBB7CC-4EC2-4BB5-87BD-06865DEF2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0D381-2646-4D63-95E6-1FED8FDB1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2F429-4198-4ECD-8E59-23F01B09005A}">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3DD0D381-2646-4D63-95E6-1FED8FDB148F"/>
    <ds:schemaRef ds:uri="http://purl.org/dc/elements/1.1/"/>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James McLaren</cp:lastModifiedBy>
  <cp:revision>3</cp:revision>
  <cp:lastPrinted>2019-11-17T23:12:00Z</cp:lastPrinted>
  <dcterms:created xsi:type="dcterms:W3CDTF">2024-12-11T06:06:00Z</dcterms:created>
  <dcterms:modified xsi:type="dcterms:W3CDTF">2024-12-12T04:13:00Z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0x010100266966F133664895A6EE3632470D45F500AA0DF1FCD801C04DB8F34C2D9687281F</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