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3EBA99ED" w:rsidR="003929D9" w:rsidRPr="0050121E" w:rsidRDefault="003929D9" w:rsidP="0050121E">
      <w:pPr>
        <w:spacing w:after="0" w:line="240" w:lineRule="auto"/>
        <w:ind w:right="40"/>
        <w:jc w:val="center"/>
        <w:rPr>
          <w:rFonts w:ascii="Times New Roman" w:eastAsiaTheme="minorEastAsia" w:hAnsi="Times New Roman" w:cs="Times New Roman"/>
          <w:b/>
          <w:bCs/>
          <w:sz w:val="24"/>
          <w:szCs w:val="24"/>
          <w:u w:val="single"/>
          <w:lang w:val="en-AU" w:eastAsia="en-AU"/>
        </w:rPr>
      </w:pPr>
      <w:bookmarkStart w:id="0" w:name="_GoBack"/>
      <w:bookmarkEnd w:id="0"/>
      <w:r w:rsidRPr="0050121E">
        <w:rPr>
          <w:rFonts w:ascii="Times New Roman" w:eastAsiaTheme="minorEastAsia" w:hAnsi="Times New Roman" w:cs="Times New Roman"/>
          <w:b/>
          <w:bCs/>
          <w:sz w:val="24"/>
          <w:szCs w:val="24"/>
          <w:u w:val="single"/>
          <w:lang w:val="en-AU" w:eastAsia="en-AU"/>
        </w:rPr>
        <w:t>EXPLANATORY STATEMENT</w:t>
      </w:r>
    </w:p>
    <w:p w14:paraId="3E224EA2" w14:textId="77777777" w:rsidR="003929D9" w:rsidRPr="0050121E" w:rsidRDefault="003929D9" w:rsidP="0050121E">
      <w:pPr>
        <w:spacing w:after="0" w:line="240" w:lineRule="auto"/>
        <w:ind w:right="40"/>
        <w:jc w:val="center"/>
        <w:rPr>
          <w:rFonts w:ascii="Times New Roman" w:eastAsiaTheme="minorEastAsia" w:hAnsi="Times New Roman" w:cs="Times New Roman"/>
          <w:b/>
          <w:bCs/>
          <w:sz w:val="24"/>
          <w:szCs w:val="24"/>
          <w:u w:val="single"/>
          <w:lang w:val="en-AU" w:eastAsia="en-AU"/>
        </w:rPr>
      </w:pPr>
    </w:p>
    <w:p w14:paraId="211771E0" w14:textId="77777777" w:rsidR="009F561C" w:rsidRPr="0050121E" w:rsidRDefault="009F561C" w:rsidP="0050121E">
      <w:pPr>
        <w:spacing w:after="0" w:line="240" w:lineRule="auto"/>
        <w:jc w:val="center"/>
        <w:rPr>
          <w:rFonts w:ascii="Times New Roman" w:eastAsiaTheme="minorEastAsia" w:hAnsi="Times New Roman" w:cs="Times New Roman"/>
          <w:sz w:val="24"/>
          <w:szCs w:val="24"/>
          <w:lang w:val="en-AU" w:eastAsia="en-AU"/>
        </w:rPr>
      </w:pPr>
      <w:r w:rsidRPr="0050121E">
        <w:rPr>
          <w:rFonts w:ascii="Times New Roman" w:eastAsiaTheme="minorEastAsia" w:hAnsi="Times New Roman" w:cs="Times New Roman"/>
          <w:sz w:val="24"/>
          <w:szCs w:val="24"/>
          <w:lang w:val="en-AU" w:eastAsia="en-AU"/>
        </w:rPr>
        <w:t>Minister for Immigration and Multicultural Affairs</w:t>
      </w:r>
    </w:p>
    <w:p w14:paraId="145B3FCD" w14:textId="0223C40F" w:rsidR="003929D9" w:rsidRPr="0050121E" w:rsidRDefault="003929D9" w:rsidP="0050121E">
      <w:pPr>
        <w:spacing w:before="240" w:after="0" w:line="240" w:lineRule="auto"/>
        <w:jc w:val="center"/>
        <w:rPr>
          <w:rFonts w:ascii="Times New Roman" w:eastAsiaTheme="minorEastAsia" w:hAnsi="Times New Roman" w:cs="Times New Roman"/>
          <w:i/>
          <w:sz w:val="24"/>
          <w:szCs w:val="24"/>
          <w:lang w:val="en-AU" w:eastAsia="en-AU"/>
        </w:rPr>
      </w:pPr>
      <w:r w:rsidRPr="0050121E">
        <w:rPr>
          <w:rFonts w:ascii="Times New Roman" w:eastAsiaTheme="minorEastAsia" w:hAnsi="Times New Roman" w:cs="Times New Roman"/>
          <w:i/>
          <w:sz w:val="24"/>
          <w:szCs w:val="24"/>
          <w:lang w:val="en-AU" w:eastAsia="en-AU"/>
        </w:rPr>
        <w:t>Migration Act 1958</w:t>
      </w:r>
    </w:p>
    <w:p w14:paraId="6E0EE180" w14:textId="14F050C7" w:rsidR="002B6C0F" w:rsidRPr="0050121E" w:rsidRDefault="00F05AF7" w:rsidP="007F6532">
      <w:pPr>
        <w:spacing w:before="240" w:after="240" w:line="240" w:lineRule="auto"/>
        <w:jc w:val="center"/>
        <w:rPr>
          <w:rFonts w:ascii="Times New Roman" w:eastAsiaTheme="minorEastAsia" w:hAnsi="Times New Roman" w:cs="Times New Roman"/>
          <w:i/>
          <w:sz w:val="24"/>
          <w:szCs w:val="24"/>
          <w:lang w:val="en-AU" w:eastAsia="en-AU"/>
        </w:rPr>
      </w:pPr>
      <w:r w:rsidRPr="0050121E">
        <w:rPr>
          <w:rFonts w:ascii="Times New Roman" w:eastAsiaTheme="minorEastAsia" w:hAnsi="Times New Roman" w:cs="Times New Roman"/>
          <w:i/>
          <w:sz w:val="24"/>
          <w:szCs w:val="24"/>
          <w:lang w:val="en-AU" w:eastAsia="en-AU"/>
        </w:rPr>
        <w:t>Migration Ame</w:t>
      </w:r>
      <w:r w:rsidR="00CD28DE" w:rsidRPr="0050121E">
        <w:rPr>
          <w:rFonts w:ascii="Times New Roman" w:eastAsiaTheme="minorEastAsia" w:hAnsi="Times New Roman" w:cs="Times New Roman"/>
          <w:i/>
          <w:sz w:val="24"/>
          <w:szCs w:val="24"/>
          <w:lang w:val="en-AU" w:eastAsia="en-AU"/>
        </w:rPr>
        <w:t>ndment (Temporary Graduate Visa Application Charge</w:t>
      </w:r>
      <w:r w:rsidRPr="0050121E">
        <w:rPr>
          <w:rFonts w:ascii="Times New Roman" w:eastAsiaTheme="minorEastAsia" w:hAnsi="Times New Roman" w:cs="Times New Roman"/>
          <w:i/>
          <w:sz w:val="24"/>
          <w:szCs w:val="24"/>
          <w:lang w:val="en-AU" w:eastAsia="en-AU"/>
        </w:rPr>
        <w:t xml:space="preserve">) Regulations </w:t>
      </w:r>
      <w:r w:rsidR="0051446D" w:rsidRPr="0050121E">
        <w:rPr>
          <w:rFonts w:ascii="Times New Roman" w:eastAsiaTheme="minorEastAsia" w:hAnsi="Times New Roman" w:cs="Times New Roman"/>
          <w:i/>
          <w:sz w:val="24"/>
          <w:szCs w:val="24"/>
          <w:lang w:val="en-AU" w:eastAsia="en-AU"/>
        </w:rPr>
        <w:t>2024</w:t>
      </w:r>
    </w:p>
    <w:p w14:paraId="41496C14" w14:textId="77777777" w:rsidR="00F33D82" w:rsidRPr="0050121E" w:rsidRDefault="00F33D82" w:rsidP="00D53224">
      <w:pPr>
        <w:pStyle w:val="EMoutlinetext"/>
      </w:pPr>
      <w:r w:rsidRPr="0050121E">
        <w:t xml:space="preserve">The </w:t>
      </w:r>
      <w:r w:rsidRPr="0050121E">
        <w:rPr>
          <w:i/>
        </w:rPr>
        <w:t>Migration Act 1958</w:t>
      </w:r>
      <w:r w:rsidRPr="0050121E">
        <w:t xml:space="preserve"> (the Migration Act) is an Act relating to the entry into, and presence in, Australia of aliens, and the departure or deportation from Australia of aliens and certain other persons.</w:t>
      </w:r>
    </w:p>
    <w:p w14:paraId="57D1A2CE" w14:textId="750E0ACD" w:rsidR="00F33D82" w:rsidRPr="0050121E" w:rsidRDefault="00F33D82" w:rsidP="00D53224">
      <w:pPr>
        <w:pStyle w:val="EMoutlinetext"/>
      </w:pPr>
      <w:r w:rsidRPr="0050121E">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p>
    <w:p w14:paraId="51A008A0" w14:textId="38BB4A76" w:rsidR="00471E72" w:rsidRPr="0050121E" w:rsidRDefault="00471E72" w:rsidP="00D53224">
      <w:pPr>
        <w:pStyle w:val="EMoutlinetext"/>
      </w:pPr>
      <w:r w:rsidRPr="0050121E">
        <w:t xml:space="preserve">Subsection 45B(1) of the Migration Act provides that the amount of the visa application charge (VAC) is the amount, not exceeding the VAC limit, prescribed </w:t>
      </w:r>
      <w:r w:rsidR="00903855" w:rsidRPr="0050121E">
        <w:t xml:space="preserve">by the </w:t>
      </w:r>
      <w:r w:rsidR="00903855" w:rsidRPr="00A950C9">
        <w:rPr>
          <w:rStyle w:val="Acttitle"/>
        </w:rPr>
        <w:t>Migration Regulations 1994</w:t>
      </w:r>
      <w:r w:rsidR="00903855" w:rsidRPr="0050121E">
        <w:t xml:space="preserve"> (the Migration Regulations) </w:t>
      </w:r>
      <w:r w:rsidRPr="0050121E">
        <w:t xml:space="preserve">in relation to the </w:t>
      </w:r>
      <w:r w:rsidR="00BC4EA8" w:rsidRPr="0050121E">
        <w:t xml:space="preserve">visa </w:t>
      </w:r>
      <w:r w:rsidRPr="0050121E">
        <w:t xml:space="preserve">application. The VAC limit is </w:t>
      </w:r>
      <w:r w:rsidR="002A66EC" w:rsidRPr="0050121E">
        <w:t>calcul</w:t>
      </w:r>
      <w:r w:rsidR="00F77137" w:rsidRPr="0050121E">
        <w:t>ated with reference to section</w:t>
      </w:r>
      <w:r w:rsidR="00903855" w:rsidRPr="0050121E">
        <w:t>s</w:t>
      </w:r>
      <w:r w:rsidR="00F77137" w:rsidRPr="0050121E">
        <w:t xml:space="preserve"> 5</w:t>
      </w:r>
      <w:r w:rsidR="002A66EC" w:rsidRPr="0050121E">
        <w:t xml:space="preserve"> </w:t>
      </w:r>
      <w:r w:rsidR="00903855" w:rsidRPr="0050121E">
        <w:t xml:space="preserve">and 6 </w:t>
      </w:r>
      <w:r w:rsidR="002A66EC" w:rsidRPr="0050121E">
        <w:t>of</w:t>
      </w:r>
      <w:r w:rsidRPr="0050121E">
        <w:t xml:space="preserve"> </w:t>
      </w:r>
      <w:r w:rsidRPr="00A950C9">
        <w:t>the</w:t>
      </w:r>
      <w:r w:rsidRPr="0050121E">
        <w:rPr>
          <w:i/>
        </w:rPr>
        <w:t xml:space="preserve"> </w:t>
      </w:r>
      <w:r w:rsidRPr="00A950C9">
        <w:rPr>
          <w:rStyle w:val="Acttitle"/>
        </w:rPr>
        <w:t>Migration (Visa Application) Charge Act 1997</w:t>
      </w:r>
      <w:r w:rsidRPr="0050121E">
        <w:t xml:space="preserve"> (</w:t>
      </w:r>
      <w:r w:rsidR="005457E2" w:rsidRPr="0050121E">
        <w:t xml:space="preserve">the </w:t>
      </w:r>
      <w:r w:rsidRPr="0050121E">
        <w:t xml:space="preserve">VAC Act). </w:t>
      </w:r>
    </w:p>
    <w:p w14:paraId="6C7F861F" w14:textId="204183C0" w:rsidR="0061692A" w:rsidRDefault="00471E72" w:rsidP="00D53224">
      <w:pPr>
        <w:pStyle w:val="EMoutlinetext"/>
      </w:pPr>
      <w:r w:rsidRPr="0050121E">
        <w:t xml:space="preserve">The purpose of the </w:t>
      </w:r>
      <w:r w:rsidRPr="00A950C9">
        <w:rPr>
          <w:rStyle w:val="Acttitle"/>
        </w:rPr>
        <w:t>Migration Amendment (</w:t>
      </w:r>
      <w:r w:rsidR="0061692A" w:rsidRPr="00A950C9">
        <w:rPr>
          <w:rStyle w:val="Acttitle"/>
        </w:rPr>
        <w:t>Temporary Graduate Visa Application Charge</w:t>
      </w:r>
      <w:r w:rsidRPr="00A950C9">
        <w:rPr>
          <w:rStyle w:val="Acttitle"/>
        </w:rPr>
        <w:t xml:space="preserve">) Regulations </w:t>
      </w:r>
      <w:r w:rsidR="0051446D" w:rsidRPr="00A950C9">
        <w:rPr>
          <w:rStyle w:val="Acttitle"/>
        </w:rPr>
        <w:t>2024</w:t>
      </w:r>
      <w:r w:rsidRPr="005928C7">
        <w:t xml:space="preserve"> (the </w:t>
      </w:r>
      <w:r w:rsidR="00216D6C" w:rsidRPr="005928C7">
        <w:t xml:space="preserve">Amendment </w:t>
      </w:r>
      <w:r w:rsidRPr="005928C7">
        <w:t xml:space="preserve">Regulations) is to amend the Migration Regulations to </w:t>
      </w:r>
      <w:r w:rsidR="0061692A" w:rsidRPr="005928C7">
        <w:t>apply an uplift</w:t>
      </w:r>
      <w:r w:rsidR="00A267B2" w:rsidRPr="005928C7">
        <w:t xml:space="preserve"> of 14.75%</w:t>
      </w:r>
      <w:r w:rsidR="0061692A" w:rsidRPr="005928C7">
        <w:t xml:space="preserve"> to the </w:t>
      </w:r>
      <w:r w:rsidR="0087065E">
        <w:t>Subclass 485 (</w:t>
      </w:r>
      <w:r w:rsidR="0061692A" w:rsidRPr="005928C7">
        <w:t>Temporary Graduate) visa application charge (VAC)</w:t>
      </w:r>
      <w:r w:rsidR="00B042E1">
        <w:t>.</w:t>
      </w:r>
    </w:p>
    <w:p w14:paraId="0270709D" w14:textId="14ABACE1" w:rsidR="00471E72" w:rsidRPr="0050121E" w:rsidRDefault="001A6735" w:rsidP="00D53224">
      <w:pPr>
        <w:pStyle w:val="EMoutlinetext"/>
      </w:pPr>
      <w:r>
        <w:t>Indexed VACs are</w:t>
      </w:r>
      <w:r w:rsidR="005B1BE5">
        <w:t xml:space="preserve"> </w:t>
      </w:r>
      <w:r w:rsidR="001E63F8">
        <w:t>calculated from a baseline amount, applying the</w:t>
      </w:r>
      <w:r w:rsidR="0091701B">
        <w:t xml:space="preserve"> </w:t>
      </w:r>
      <w:r w:rsidR="005B488F">
        <w:t>relevant uplift</w:t>
      </w:r>
      <w:r w:rsidR="005B1BE5">
        <w:t>,</w:t>
      </w:r>
      <w:r w:rsidR="001E63F8">
        <w:t xml:space="preserve"> and then</w:t>
      </w:r>
      <w:r w:rsidR="001E63F8" w:rsidRPr="00471E72">
        <w:t xml:space="preserve"> </w:t>
      </w:r>
      <w:r w:rsidR="002B388C">
        <w:t>round</w:t>
      </w:r>
      <w:r w:rsidR="005B1BE5">
        <w:t xml:space="preserve">ed to the nearest $5. </w:t>
      </w:r>
      <w:r w:rsidR="00471E72" w:rsidRPr="00471E72">
        <w:t>The</w:t>
      </w:r>
      <w:r w:rsidR="0074491E">
        <w:t xml:space="preserve"> Regulations do not impose VACs that </w:t>
      </w:r>
      <w:r w:rsidR="00471E72" w:rsidRPr="00471E72">
        <w:t xml:space="preserve">exceed the applicable charge limits </w:t>
      </w:r>
      <w:r w:rsidR="00471E72" w:rsidRPr="0050121E">
        <w:t xml:space="preserve">set out in the </w:t>
      </w:r>
      <w:r w:rsidR="005B1BE5" w:rsidRPr="0050121E">
        <w:t>VAC Act</w:t>
      </w:r>
      <w:r w:rsidR="00471E72" w:rsidRPr="0050121E">
        <w:t>.</w:t>
      </w:r>
    </w:p>
    <w:p w14:paraId="58DE4F07" w14:textId="08F672CB" w:rsidR="003D0953" w:rsidRPr="0050121E" w:rsidRDefault="003D0953" w:rsidP="00D53224">
      <w:pPr>
        <w:pStyle w:val="EMoutlinetext"/>
      </w:pPr>
      <w:r w:rsidRPr="0050121E">
        <w:t>The one-off increase to the VAC for the Subclass 485 visa supports the Australian Government’s approach to delivering managed, sustainable migration growth and restoring integrity in the international education sector. It is intended that CPI indexation amendments will be made in subsequent years.</w:t>
      </w:r>
    </w:p>
    <w:p w14:paraId="03508F69" w14:textId="6F2118FC" w:rsidR="00767BA3" w:rsidRPr="0050121E" w:rsidRDefault="00F33D82" w:rsidP="00D53224">
      <w:pPr>
        <w:pStyle w:val="EMoutlinetext"/>
      </w:pPr>
      <w:r w:rsidRPr="0050121E">
        <w:t xml:space="preserve">The Migration Act specifies no conditions that need to be satisfied before the power </w:t>
      </w:r>
      <w:r w:rsidR="00D53224">
        <w:t>to make the R</w:t>
      </w:r>
      <w:r w:rsidRPr="0050121E">
        <w:t>egulations may be exercised.</w:t>
      </w:r>
    </w:p>
    <w:p w14:paraId="43B52C2B" w14:textId="5B6787DF" w:rsidR="002C3719" w:rsidRPr="0050121E" w:rsidRDefault="003929D9" w:rsidP="00D53224">
      <w:pPr>
        <w:pStyle w:val="EMoutlinetext"/>
      </w:pPr>
      <w:r w:rsidRPr="0050121E">
        <w:t xml:space="preserve">The matters dealt with in the Regulations are appropriate for implementation in regulations rather than by </w:t>
      </w:r>
      <w:r w:rsidR="00D53224">
        <w:t>p</w:t>
      </w:r>
      <w:r w:rsidRPr="0050121E">
        <w:t xml:space="preserve">arliamentary enactment. It has been the consistent practice of the </w:t>
      </w:r>
      <w:r w:rsidR="00D53224">
        <w:t>g</w:t>
      </w:r>
      <w:r w:rsidRPr="0050121E">
        <w:t xml:space="preserve">overnment of the day to provide for detailed visa criteria and conditions in the Migration Regulations rather than in the Migration Act itself. </w:t>
      </w:r>
      <w:r w:rsidR="00272A17" w:rsidRPr="0050121E">
        <w:t xml:space="preserve">The Migration Act expressly provides for these matters </w:t>
      </w:r>
      <w:r w:rsidR="00DA5F25" w:rsidRPr="0050121E">
        <w:t>to be prescribed in regulations</w:t>
      </w:r>
      <w:r w:rsidR="00EE1C8E" w:rsidRPr="0050121E">
        <w:t>. The current Migration Regulations have been in place since 1994, when they replaced regulations made in 1989 and 1993. Providing for these details to be in delegated legislation rather than primary legislati</w:t>
      </w:r>
      <w:r w:rsidR="00806BC1" w:rsidRPr="0050121E">
        <w:t xml:space="preserve">on gives the Government the </w:t>
      </w:r>
      <w:r w:rsidR="00272A17" w:rsidRPr="0050121E">
        <w:t xml:space="preserve">ability to </w:t>
      </w:r>
      <w:r w:rsidR="00272A17" w:rsidRPr="0050121E">
        <w:lastRenderedPageBreak/>
        <w:t>effectively manage the operation of Australia’s visa program and respond quickly to emerging needs.</w:t>
      </w:r>
    </w:p>
    <w:p w14:paraId="21B51944" w14:textId="49F160F6" w:rsidR="00A97916" w:rsidRPr="0050121E" w:rsidRDefault="005218AB" w:rsidP="00D53224">
      <w:pPr>
        <w:pStyle w:val="EMoutlinetext"/>
      </w:pPr>
      <w:r w:rsidRPr="0050121E">
        <w:t xml:space="preserve">A Statement of Compatibility with Human Rights (the Statement) has been completed in accordance with the </w:t>
      </w:r>
      <w:r w:rsidRPr="00D53224">
        <w:rPr>
          <w:rStyle w:val="Acttitle"/>
        </w:rPr>
        <w:t>Human Rights (Parliamentary Scrutiny) Act 2011</w:t>
      </w:r>
      <w:r w:rsidRPr="0050121E">
        <w:t xml:space="preserve">. The overall assessment is that the Regulations are compatible with human rights. A copy of the Statement is at </w:t>
      </w:r>
      <w:r w:rsidRPr="00D53224">
        <w:rPr>
          <w:u w:val="single"/>
        </w:rPr>
        <w:t>Attachment</w:t>
      </w:r>
      <w:r w:rsidR="00A52638" w:rsidRPr="00D53224">
        <w:rPr>
          <w:u w:val="single"/>
        </w:rPr>
        <w:t> </w:t>
      </w:r>
      <w:r w:rsidR="00C76FA8" w:rsidRPr="00D53224">
        <w:rPr>
          <w:u w:val="single"/>
        </w:rPr>
        <w:t>A</w:t>
      </w:r>
      <w:r w:rsidRPr="0050121E">
        <w:t>.</w:t>
      </w:r>
    </w:p>
    <w:p w14:paraId="156F0279" w14:textId="3EF870D7" w:rsidR="00A97916" w:rsidRPr="0050121E" w:rsidRDefault="00BF156A" w:rsidP="00D53224">
      <w:pPr>
        <w:pStyle w:val="EMoutlinetext"/>
      </w:pPr>
      <w:r w:rsidRPr="0050121E">
        <w:t xml:space="preserve">The Office of Impact Analysis (OIA) has assessed that the </w:t>
      </w:r>
      <w:r w:rsidR="0074491E" w:rsidRPr="0050121E">
        <w:t>Regulations</w:t>
      </w:r>
      <w:r w:rsidRPr="0050121E">
        <w:t xml:space="preserve"> do not trigger the Australian Government Impact Analysis Requirements. </w:t>
      </w:r>
      <w:r w:rsidR="00F27DEA" w:rsidRPr="0050121E">
        <w:t>The OIA reference</w:t>
      </w:r>
      <w:r w:rsidR="005928C7" w:rsidRPr="0050121E">
        <w:t xml:space="preserve"> is </w:t>
      </w:r>
      <w:r w:rsidR="00C84038" w:rsidRPr="0050121E">
        <w:t>OBPR22-03270</w:t>
      </w:r>
      <w:r w:rsidR="005928C7" w:rsidRPr="0050121E">
        <w:t>.</w:t>
      </w:r>
    </w:p>
    <w:p w14:paraId="3DB59059" w14:textId="43E17109" w:rsidR="00A97916" w:rsidRPr="0050121E" w:rsidRDefault="005928C7" w:rsidP="00D53224">
      <w:pPr>
        <w:pStyle w:val="EMoutlinetext"/>
      </w:pPr>
      <w:r w:rsidRPr="0050121E">
        <w:t>C</w:t>
      </w:r>
      <w:r w:rsidR="00B51AC6" w:rsidRPr="0050121E">
        <w:t xml:space="preserve">onsultation </w:t>
      </w:r>
      <w:r w:rsidRPr="0050121E">
        <w:t xml:space="preserve">was undertaken with the Department of </w:t>
      </w:r>
      <w:r w:rsidR="00D53224">
        <w:t xml:space="preserve">the </w:t>
      </w:r>
      <w:r w:rsidRPr="0050121E">
        <w:t xml:space="preserve">Prime Minister and Cabinet, Treasury and </w:t>
      </w:r>
      <w:r w:rsidR="00D53224">
        <w:t xml:space="preserve">the </w:t>
      </w:r>
      <w:r w:rsidRPr="0050121E">
        <w:t xml:space="preserve">Department of Finance. </w:t>
      </w:r>
      <w:r w:rsidR="00EC1A8C" w:rsidRPr="0050121E">
        <w:t>More broadly,</w:t>
      </w:r>
      <w:r w:rsidRPr="0050121E">
        <w:t xml:space="preserve"> </w:t>
      </w:r>
      <w:r w:rsidR="00EC1A8C" w:rsidRPr="0050121E">
        <w:t xml:space="preserve">cross-government consultation occurred during the 2024-25 Budget process to inform the Government’s decision in relation to increasing the VAC by the uplift. </w:t>
      </w:r>
      <w:r w:rsidR="00BF156A" w:rsidRPr="0050121E">
        <w:t xml:space="preserve">This accords with consultation requirements in subsection 17(1) of the </w:t>
      </w:r>
      <w:r w:rsidR="00BF156A" w:rsidRPr="00D53224">
        <w:rPr>
          <w:rStyle w:val="Acttitle"/>
        </w:rPr>
        <w:t>Legislation Act 2003</w:t>
      </w:r>
      <w:r w:rsidR="00BF156A" w:rsidRPr="0050121E">
        <w:t xml:space="preserve"> (the Legislation Act). </w:t>
      </w:r>
    </w:p>
    <w:p w14:paraId="1119F4E8" w14:textId="33B7465E" w:rsidR="00A97916" w:rsidRPr="0050121E" w:rsidRDefault="00FA2A98" w:rsidP="00D53224">
      <w:pPr>
        <w:pStyle w:val="EMoutlinetext"/>
      </w:pPr>
      <w:r w:rsidRPr="0050121E">
        <w:t xml:space="preserve">The amendments commence on </w:t>
      </w:r>
      <w:r w:rsidR="00A267B2" w:rsidRPr="0050121E">
        <w:t>1 February 2025</w:t>
      </w:r>
      <w:r w:rsidR="002B6C0F" w:rsidRPr="0050121E">
        <w:t xml:space="preserve">. </w:t>
      </w:r>
    </w:p>
    <w:p w14:paraId="072196BC" w14:textId="4728DEEB" w:rsidR="00676095" w:rsidRPr="0050121E" w:rsidRDefault="00676095" w:rsidP="00D53224">
      <w:pPr>
        <w:pStyle w:val="EMoutlinetext"/>
      </w:pPr>
      <w:r w:rsidRPr="0050121E">
        <w:t xml:space="preserve">Further details of the </w:t>
      </w:r>
      <w:r w:rsidR="00F27ABD" w:rsidRPr="0050121E">
        <w:t xml:space="preserve">Amendment </w:t>
      </w:r>
      <w:r w:rsidRPr="0050121E">
        <w:t xml:space="preserve">Regulations are set out in </w:t>
      </w:r>
      <w:r w:rsidR="00C76FA8" w:rsidRPr="00D53224">
        <w:rPr>
          <w:u w:val="single"/>
        </w:rPr>
        <w:t>Attachment B</w:t>
      </w:r>
      <w:r w:rsidRPr="0050121E">
        <w:t>.</w:t>
      </w:r>
    </w:p>
    <w:p w14:paraId="0CD8E5E1" w14:textId="0FFF24E0" w:rsidR="00676095" w:rsidRPr="0050121E" w:rsidRDefault="00676095" w:rsidP="00D53224">
      <w:pPr>
        <w:pStyle w:val="EMoutlinetext"/>
      </w:pPr>
      <w:r w:rsidRPr="0050121E">
        <w:t xml:space="preserve">The </w:t>
      </w:r>
      <w:r w:rsidR="00F27ABD" w:rsidRPr="0050121E">
        <w:t>Amendment</w:t>
      </w:r>
      <w:r w:rsidR="00202FCC" w:rsidRPr="0050121E">
        <w:t xml:space="preserve"> </w:t>
      </w:r>
      <w:r w:rsidRPr="0050121E">
        <w:t>Regulations amend the Migration Regulations</w:t>
      </w:r>
      <w:r w:rsidR="00276E83" w:rsidRPr="0050121E">
        <w:t>,</w:t>
      </w:r>
      <w:r w:rsidRPr="0050121E">
        <w:t xml:space="preserve"> which are exempt from </w:t>
      </w:r>
      <w:proofErr w:type="spellStart"/>
      <w:r w:rsidRPr="0050121E">
        <w:t>sunsetting</w:t>
      </w:r>
      <w:proofErr w:type="spellEnd"/>
      <w:r w:rsidRPr="0050121E">
        <w:t xml:space="preserve"> under table item 38A of section 12 of the </w:t>
      </w:r>
      <w:r w:rsidRPr="00D53224">
        <w:rPr>
          <w:rStyle w:val="Acttitle"/>
        </w:rPr>
        <w:t>Legislation (Exemptions and Other Matters) Regulation 2015</w:t>
      </w:r>
      <w:r w:rsidRPr="0050121E">
        <w:t xml:space="preserve">. The Migration Regulations are exempt from </w:t>
      </w:r>
      <w:proofErr w:type="spellStart"/>
      <w:r w:rsidRPr="0050121E">
        <w:t>sunsetting</w:t>
      </w:r>
      <w:proofErr w:type="spellEnd"/>
      <w:r w:rsidRPr="0050121E">
        <w:t xml:space="preserve"> on the basis that the repeal and remaking of the Migration Regulations:</w:t>
      </w:r>
    </w:p>
    <w:p w14:paraId="77F791DF" w14:textId="77777777" w:rsidR="00676095" w:rsidRPr="00D509B8" w:rsidRDefault="00676095" w:rsidP="00D53224">
      <w:pPr>
        <w:pStyle w:val="EMoutlinebullet"/>
      </w:pPr>
      <w:r w:rsidRPr="00D509B8">
        <w:t xml:space="preserve">is unnecessary as the Migration Regulations are regularly amended </w:t>
      </w:r>
      <w:r w:rsidRPr="00890AC3">
        <w:t>numerous times</w:t>
      </w:r>
      <w:r w:rsidRPr="00D509B8">
        <w:t xml:space="preserve"> each year to update policy settings for immigration programs; </w:t>
      </w:r>
    </w:p>
    <w:p w14:paraId="6FA40D7F" w14:textId="77777777" w:rsidR="00676095" w:rsidRPr="00D509B8" w:rsidRDefault="00676095" w:rsidP="00D53224">
      <w:pPr>
        <w:pStyle w:val="EMoutlinebullet"/>
      </w:pPr>
      <w:r w:rsidRPr="00D509B8">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3A6BA26" w14:textId="77777777" w:rsidR="00676095" w:rsidRPr="00D509B8" w:rsidRDefault="00676095" w:rsidP="00D53224">
      <w:pPr>
        <w:pStyle w:val="EMoutlinebullet"/>
      </w:pPr>
      <w:proofErr w:type="gramStart"/>
      <w:r w:rsidRPr="00D509B8">
        <w:t>would</w:t>
      </w:r>
      <w:proofErr w:type="gramEnd"/>
      <w:r w:rsidRPr="00D509B8">
        <w:t xml:space="preserve"> demand complicated and costly systems, training and operational changes that would impose significant strain on Government resources and the Australian public for insignificant gain, while not advancing the aims of the Legislation Act.</w:t>
      </w:r>
    </w:p>
    <w:p w14:paraId="03DA320F" w14:textId="0CEF8401" w:rsidR="00EC1A8C" w:rsidRPr="0050121E" w:rsidRDefault="00EC1A8C" w:rsidP="00D53224">
      <w:pPr>
        <w:pStyle w:val="EMoutlinetext"/>
      </w:pPr>
      <w:r w:rsidRPr="0050121E">
        <w:t xml:space="preserve">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w:t>
      </w:r>
      <w:proofErr w:type="spellStart"/>
      <w:r w:rsidRPr="0050121E">
        <w:t>sunsetting</w:t>
      </w:r>
      <w:proofErr w:type="spellEnd"/>
      <w:r w:rsidRPr="0050121E">
        <w:t xml:space="preserve"> framework under Part 4 of the Legislation Act.</w:t>
      </w:r>
    </w:p>
    <w:p w14:paraId="0F64613C" w14:textId="7435B8E8" w:rsidR="003929D9" w:rsidRPr="0050121E" w:rsidRDefault="003929D9" w:rsidP="00D53224">
      <w:pPr>
        <w:pStyle w:val="EMoutlinetext"/>
      </w:pPr>
      <w:r w:rsidRPr="0050121E">
        <w:t xml:space="preserve">The Regulations are a </w:t>
      </w:r>
      <w:r w:rsidR="00BE52F6" w:rsidRPr="0050121E">
        <w:t xml:space="preserve">disallowable </w:t>
      </w:r>
      <w:r w:rsidRPr="0050121E">
        <w:t>legislative instrument for the purposes of the Legislation Act</w:t>
      </w:r>
      <w:r w:rsidR="00676095" w:rsidRPr="0050121E">
        <w:t>.</w:t>
      </w:r>
    </w:p>
    <w:p w14:paraId="284BF61D" w14:textId="1A4995E1" w:rsidR="006C3C73" w:rsidRDefault="00676095" w:rsidP="00EF0F7B">
      <w:pPr>
        <w:spacing w:after="120" w:line="276" w:lineRule="auto"/>
        <w:ind w:left="-1134"/>
        <w:rPr>
          <w:rFonts w:ascii="Times New Roman" w:eastAsiaTheme="minorEastAsia" w:hAnsi="Times New Roman" w:cs="Times New Roman"/>
          <w:b/>
          <w:sz w:val="24"/>
          <w:szCs w:val="24"/>
          <w:u w:val="single"/>
          <w:lang w:val="en-AU" w:eastAsia="en-AU"/>
        </w:rPr>
      </w:pPr>
      <w:r w:rsidRPr="00C76FA8">
        <w:rPr>
          <w:rFonts w:ascii="Times New Roman" w:hAnsi="Times New Roman" w:cs="Times New Roman"/>
          <w:sz w:val="24"/>
          <w:szCs w:val="24"/>
        </w:rPr>
        <w:br w:type="page"/>
      </w:r>
      <w:bookmarkStart w:id="1" w:name="PM"/>
      <w:bookmarkEnd w:id="1"/>
    </w:p>
    <w:p w14:paraId="3E19BC6F" w14:textId="53D53868" w:rsidR="001D2B2F" w:rsidRPr="00AC5FF9" w:rsidRDefault="001D2B2F" w:rsidP="00EF0F7B">
      <w:pPr>
        <w:spacing w:before="240" w:after="0" w:line="276" w:lineRule="auto"/>
        <w:jc w:val="right"/>
        <w:rPr>
          <w:rFonts w:ascii="Times New Roman" w:eastAsiaTheme="minorEastAsia" w:hAnsi="Times New Roman" w:cs="Times New Roman"/>
          <w:sz w:val="24"/>
          <w:szCs w:val="24"/>
          <w:lang w:val="en-AU" w:eastAsia="en-AU"/>
        </w:rPr>
      </w:pPr>
      <w:r w:rsidRPr="00C76FA8">
        <w:rPr>
          <w:rFonts w:ascii="Times New Roman" w:eastAsiaTheme="minorEastAsia" w:hAnsi="Times New Roman" w:cs="Times New Roman"/>
          <w:b/>
          <w:sz w:val="24"/>
          <w:szCs w:val="24"/>
          <w:u w:val="single"/>
          <w:lang w:val="en-AU" w:eastAsia="en-AU"/>
        </w:rPr>
        <w:lastRenderedPageBreak/>
        <w:t>ATTACHMENT A</w:t>
      </w:r>
    </w:p>
    <w:p w14:paraId="7C5ED20D" w14:textId="77777777" w:rsidR="001D2B2F" w:rsidRPr="00AC5FF9" w:rsidRDefault="001D2B2F" w:rsidP="00EF0F7B">
      <w:pPr>
        <w:shd w:val="clear" w:color="auto" w:fill="FFFFFF"/>
        <w:spacing w:after="0" w:line="276" w:lineRule="auto"/>
        <w:ind w:right="43"/>
        <w:jc w:val="right"/>
        <w:rPr>
          <w:rFonts w:ascii="Times New Roman" w:eastAsia="Times New Roman" w:hAnsi="Times New Roman" w:cs="Times New Roman"/>
          <w:color w:val="000000"/>
          <w:sz w:val="24"/>
          <w:szCs w:val="24"/>
          <w:lang w:val="en-AU" w:eastAsia="en-AU"/>
        </w:rPr>
      </w:pPr>
      <w:r w:rsidRPr="00C76FA8">
        <w:rPr>
          <w:rFonts w:ascii="Times New Roman" w:eastAsia="Times New Roman" w:hAnsi="Times New Roman" w:cs="Times New Roman"/>
          <w:b/>
          <w:bCs/>
          <w:color w:val="000000"/>
          <w:sz w:val="24"/>
          <w:szCs w:val="24"/>
          <w:lang w:val="en-AU" w:eastAsia="en-AU"/>
        </w:rPr>
        <w:t> </w:t>
      </w:r>
    </w:p>
    <w:p w14:paraId="6FCC8F86" w14:textId="77777777" w:rsidR="0027465A" w:rsidRPr="0050121E" w:rsidRDefault="0027465A" w:rsidP="007F6532">
      <w:pPr>
        <w:spacing w:before="240" w:after="240" w:line="276" w:lineRule="auto"/>
        <w:jc w:val="center"/>
        <w:outlineLvl w:val="1"/>
        <w:rPr>
          <w:rFonts w:ascii="Times New Roman" w:eastAsia="Calibri" w:hAnsi="Times New Roman" w:cs="Times New Roman"/>
          <w:b/>
          <w:sz w:val="28"/>
          <w:szCs w:val="28"/>
          <w:lang w:val="en-AU"/>
        </w:rPr>
      </w:pPr>
      <w:r w:rsidRPr="0050121E">
        <w:rPr>
          <w:rFonts w:ascii="Times New Roman" w:eastAsia="Calibri" w:hAnsi="Times New Roman" w:cs="Times New Roman"/>
          <w:b/>
          <w:sz w:val="28"/>
          <w:szCs w:val="28"/>
          <w:lang w:val="en-AU"/>
        </w:rPr>
        <w:t>Statement of Compatibility with Human Rights</w:t>
      </w:r>
    </w:p>
    <w:p w14:paraId="15AB08EF" w14:textId="77777777" w:rsidR="0027465A" w:rsidRPr="0050121E" w:rsidRDefault="0027465A" w:rsidP="007F6532">
      <w:pPr>
        <w:spacing w:before="240" w:after="240" w:line="276" w:lineRule="auto"/>
        <w:jc w:val="center"/>
        <w:rPr>
          <w:rFonts w:ascii="Times New Roman" w:eastAsia="Calibri" w:hAnsi="Times New Roman" w:cs="Times New Roman"/>
          <w:i/>
          <w:sz w:val="24"/>
          <w:szCs w:val="24"/>
          <w:lang w:val="en-AU"/>
        </w:rPr>
      </w:pPr>
      <w:r w:rsidRPr="0050121E">
        <w:rPr>
          <w:rFonts w:ascii="Times New Roman" w:eastAsia="Calibri" w:hAnsi="Times New Roman" w:cs="Times New Roman"/>
          <w:i/>
          <w:sz w:val="24"/>
          <w:szCs w:val="24"/>
          <w:lang w:val="en-AU"/>
        </w:rPr>
        <w:t>Prepared in accordance with Part 3 of the Human Rights (Parliamentary Scrutiny) Act 2011</w:t>
      </w:r>
    </w:p>
    <w:p w14:paraId="1465BFBF" w14:textId="47FE0491" w:rsidR="0027465A" w:rsidRPr="0050121E" w:rsidRDefault="0027465A" w:rsidP="007F6532">
      <w:pPr>
        <w:spacing w:before="240" w:after="240" w:line="276" w:lineRule="auto"/>
        <w:jc w:val="center"/>
        <w:rPr>
          <w:rFonts w:ascii="Times New Roman" w:eastAsiaTheme="minorEastAsia" w:hAnsi="Times New Roman" w:cs="Times New Roman"/>
          <w:b/>
          <w:i/>
          <w:sz w:val="24"/>
          <w:szCs w:val="24"/>
          <w:lang w:val="en-AU" w:eastAsia="en-AU"/>
        </w:rPr>
      </w:pPr>
      <w:r w:rsidRPr="0050121E">
        <w:rPr>
          <w:rFonts w:ascii="Times New Roman" w:eastAsiaTheme="minorEastAsia" w:hAnsi="Times New Roman" w:cs="Times New Roman"/>
          <w:b/>
          <w:i/>
          <w:sz w:val="24"/>
          <w:szCs w:val="24"/>
          <w:lang w:val="en-AU" w:eastAsia="en-AU"/>
        </w:rPr>
        <w:t>Migration Amendment (Temporary Graduate Visa Application Charge) Regulations 2024</w:t>
      </w:r>
    </w:p>
    <w:p w14:paraId="1E79C3A7" w14:textId="77777777" w:rsidR="0027465A" w:rsidRPr="0050121E" w:rsidRDefault="0027465A" w:rsidP="00D53224">
      <w:pPr>
        <w:pStyle w:val="EMoutlinetext"/>
        <w:rPr>
          <w:rFonts w:eastAsiaTheme="minorEastAsia"/>
        </w:rPr>
      </w:pPr>
      <w:r w:rsidRPr="0050121E">
        <w:rPr>
          <w:rFonts w:eastAsiaTheme="minorEastAsia"/>
        </w:rPr>
        <w:t xml:space="preserve">This Disallowable Legislative Instrument is compatible with the human rights and freedoms recognised or declared in the international instruments listed in section 3 of the </w:t>
      </w:r>
      <w:r w:rsidRPr="00D53224">
        <w:rPr>
          <w:rStyle w:val="Acttitle"/>
          <w:rFonts w:eastAsiaTheme="minorEastAsia"/>
        </w:rPr>
        <w:t>Human Rights (Parliamentary Scrutiny) Act 2011</w:t>
      </w:r>
      <w:r w:rsidRPr="0050121E">
        <w:rPr>
          <w:rFonts w:eastAsiaTheme="minorEastAsia"/>
        </w:rPr>
        <w:t>.</w:t>
      </w:r>
    </w:p>
    <w:p w14:paraId="62279C46" w14:textId="77777777" w:rsidR="0027465A" w:rsidRPr="009B7EF3" w:rsidRDefault="0027465A" w:rsidP="00EF0F7B">
      <w:pPr>
        <w:spacing w:before="120" w:after="120" w:line="276" w:lineRule="auto"/>
        <w:jc w:val="both"/>
        <w:outlineLvl w:val="2"/>
        <w:rPr>
          <w:rFonts w:ascii="Times New Roman" w:hAnsi="Times New Roman" w:cs="Times New Roman"/>
          <w:b/>
          <w:sz w:val="24"/>
          <w:szCs w:val="24"/>
        </w:rPr>
      </w:pPr>
      <w:r w:rsidRPr="009B7EF3">
        <w:rPr>
          <w:rFonts w:ascii="Times New Roman" w:hAnsi="Times New Roman" w:cs="Times New Roman"/>
          <w:b/>
          <w:sz w:val="24"/>
          <w:szCs w:val="24"/>
        </w:rPr>
        <w:t>Overview of the Disallowable Legislative Instrument</w:t>
      </w:r>
    </w:p>
    <w:p w14:paraId="24A3163A" w14:textId="212F3C42" w:rsidR="0027465A" w:rsidRPr="009B7EF3" w:rsidRDefault="0027465A" w:rsidP="00D53224">
      <w:pPr>
        <w:pStyle w:val="EMoutlinetext"/>
        <w:rPr>
          <w:i/>
        </w:rPr>
      </w:pPr>
      <w:r w:rsidRPr="009B7EF3">
        <w:rPr>
          <w:lang w:val="en"/>
        </w:rPr>
        <w:t xml:space="preserve">The purpose of </w:t>
      </w:r>
      <w:r w:rsidRPr="009B7EF3">
        <w:t xml:space="preserve">the </w:t>
      </w:r>
      <w:r>
        <w:rPr>
          <w:i/>
        </w:rPr>
        <w:t>Migration Amendment (Temporary Graduate Visa Application Charge</w:t>
      </w:r>
      <w:r w:rsidRPr="009B7EF3">
        <w:rPr>
          <w:i/>
        </w:rPr>
        <w:t>) Regulations 2024</w:t>
      </w:r>
      <w:r>
        <w:rPr>
          <w:i/>
        </w:rPr>
        <w:t xml:space="preserve"> </w:t>
      </w:r>
      <w:r w:rsidRPr="009B7EF3">
        <w:t xml:space="preserve">(the Regulations) is to amend the </w:t>
      </w:r>
      <w:r w:rsidRPr="009B7EF3">
        <w:rPr>
          <w:i/>
        </w:rPr>
        <w:t>Migration Regulations 1994</w:t>
      </w:r>
      <w:r w:rsidRPr="009B7EF3">
        <w:t xml:space="preserve"> (the Migration Regulations) to increase the visa application charge (VAC) </w:t>
      </w:r>
      <w:r>
        <w:t>in line with</w:t>
      </w:r>
      <w:r w:rsidRPr="009B7EF3">
        <w:t xml:space="preserve"> the 2024-25 Budget Decision </w:t>
      </w:r>
      <w:r w:rsidRPr="009B7EF3">
        <w:rPr>
          <w:i/>
        </w:rPr>
        <w:t>V</w:t>
      </w:r>
      <w:r w:rsidR="00D53224">
        <w:rPr>
          <w:i/>
        </w:rPr>
        <w:t>isa Application Charge Uplift.</w:t>
      </w:r>
    </w:p>
    <w:p w14:paraId="1F987F05" w14:textId="77777777" w:rsidR="0027465A" w:rsidRPr="009B7EF3" w:rsidRDefault="0027465A" w:rsidP="00D53224">
      <w:pPr>
        <w:pStyle w:val="EMoutlinetext"/>
      </w:pPr>
      <w:r w:rsidRPr="009B7EF3">
        <w:t xml:space="preserve">In particular, the Regulations amend the Migration Regulations to increase the VAC </w:t>
      </w:r>
      <w:r>
        <w:t xml:space="preserve">as </w:t>
      </w:r>
      <w:r w:rsidRPr="009B7EF3">
        <w:t>a one-off increase to the VAC for the</w:t>
      </w:r>
      <w:r>
        <w:t xml:space="preserve"> Temporary Graduate (subclass 485) visa (Subclass 485 visa)</w:t>
      </w:r>
      <w:r w:rsidRPr="009B7EF3">
        <w:t xml:space="preserve"> in accordance with the 2024-25 Budget Decision </w:t>
      </w:r>
      <w:r w:rsidRPr="009B7EF3">
        <w:rPr>
          <w:i/>
        </w:rPr>
        <w:t>Visa Application Charge Uplift.</w:t>
      </w:r>
      <w:r w:rsidRPr="009B7EF3">
        <w:t xml:space="preserve"> </w:t>
      </w:r>
    </w:p>
    <w:p w14:paraId="384DB563" w14:textId="601C37D2" w:rsidR="0027465A" w:rsidRDefault="0027465A" w:rsidP="00D53224">
      <w:pPr>
        <w:pStyle w:val="EMoutlinetext"/>
      </w:pPr>
      <w:r>
        <w:t>In effect, this means that</w:t>
      </w:r>
      <w:r w:rsidRPr="009B7EF3">
        <w:t xml:space="preserve"> affected VACs are increased </w:t>
      </w:r>
      <w:r>
        <w:t>on 1 February</w:t>
      </w:r>
      <w:r w:rsidRPr="009B7EF3">
        <w:t xml:space="preserve"> 202</w:t>
      </w:r>
      <w:r w:rsidR="00641FCD">
        <w:t>5</w:t>
      </w:r>
      <w:r w:rsidRPr="009B7EF3">
        <w:t xml:space="preserve"> from</w:t>
      </w:r>
      <w:r>
        <w:t xml:space="preserve"> their current 2023-24 baseline amounts</w:t>
      </w:r>
      <w:r w:rsidRPr="009B7EF3">
        <w:t xml:space="preserve">. In line with </w:t>
      </w:r>
      <w:r>
        <w:t xml:space="preserve">the </w:t>
      </w:r>
      <w:r w:rsidRPr="009B7EF3">
        <w:t xml:space="preserve">2024-25 Budget Decision </w:t>
      </w:r>
      <w:r w:rsidRPr="009B7EF3">
        <w:rPr>
          <w:i/>
        </w:rPr>
        <w:t>Visa Application Charge Uplift</w:t>
      </w:r>
      <w:r w:rsidRPr="009B7EF3">
        <w:t xml:space="preserve">, the base application </w:t>
      </w:r>
      <w:r>
        <w:t xml:space="preserve">charge component of the VAC for an initial Subclass 485 visa primary applicant is increased to $2,235. </w:t>
      </w:r>
      <w:r w:rsidRPr="009B7EF3">
        <w:t xml:space="preserve">The additional </w:t>
      </w:r>
      <w:r>
        <w:t xml:space="preserve">initial </w:t>
      </w:r>
      <w:r w:rsidRPr="009B7EF3">
        <w:t>applicant charge component for any other applicant who is at</w:t>
      </w:r>
      <w:r>
        <w:t xml:space="preserve"> least 18 is increased to $1,115</w:t>
      </w:r>
      <w:r w:rsidRPr="009B7EF3">
        <w:t xml:space="preserve">, and the additional </w:t>
      </w:r>
      <w:r>
        <w:t xml:space="preserve">initial </w:t>
      </w:r>
      <w:r w:rsidRPr="009B7EF3">
        <w:t>applicant charge component for any other applicant who is l</w:t>
      </w:r>
      <w:r>
        <w:t>ess than 18 is increased to $560.</w:t>
      </w:r>
    </w:p>
    <w:p w14:paraId="18347740" w14:textId="77777777" w:rsidR="0027465A" w:rsidRDefault="0027465A" w:rsidP="00D53224">
      <w:pPr>
        <w:pStyle w:val="EMoutlinetext"/>
      </w:pPr>
      <w:r w:rsidRPr="00CB3869">
        <w:t>For appl</w:t>
      </w:r>
      <w:r>
        <w:t xml:space="preserve">icants who hold a Subclass 485 </w:t>
      </w:r>
      <w:r w:rsidRPr="00CB3869">
        <w:t>visa in the Post‑Study Work stream, the Post‑Higher Education Work stream or the Replacement stream, and are applying</w:t>
      </w:r>
      <w:r>
        <w:t xml:space="preserve"> for a subsequent Subclass 485 visa</w:t>
      </w:r>
      <w:r w:rsidRPr="00CB3869">
        <w:t xml:space="preserve"> in the Post‑Higher Education Wor</w:t>
      </w:r>
      <w:r>
        <w:t xml:space="preserve">k stream the VAC is increased to $880. </w:t>
      </w:r>
      <w:r w:rsidRPr="009B7EF3">
        <w:t xml:space="preserve">The additional </w:t>
      </w:r>
      <w:r>
        <w:t xml:space="preserve">subsequent </w:t>
      </w:r>
      <w:r w:rsidRPr="009B7EF3">
        <w:t>applicant charge component for any other applicant who is at</w:t>
      </w:r>
      <w:r>
        <w:t xml:space="preserve"> least 18 is increased to $440</w:t>
      </w:r>
      <w:r w:rsidRPr="009B7EF3">
        <w:t xml:space="preserve">, and the additional </w:t>
      </w:r>
      <w:r>
        <w:t xml:space="preserve">subsequent </w:t>
      </w:r>
      <w:r w:rsidRPr="009B7EF3">
        <w:t>applicant charge component for any other applicant who is l</w:t>
      </w:r>
      <w:r>
        <w:t>ess than 18 is increased to $225.</w:t>
      </w:r>
    </w:p>
    <w:p w14:paraId="2FCF9563" w14:textId="7DE766BA" w:rsidR="0027465A" w:rsidRPr="009B7EF3" w:rsidRDefault="00E61275" w:rsidP="00D53224">
      <w:pPr>
        <w:pStyle w:val="EMoutlinetext"/>
      </w:pPr>
      <w:r>
        <w:t xml:space="preserve">The </w:t>
      </w:r>
      <w:r w:rsidR="0027465A" w:rsidRPr="009B7EF3">
        <w:t xml:space="preserve">increased VAC amounts are also rounded to the nearest $5. The one-off increase to the VAC for </w:t>
      </w:r>
      <w:r w:rsidR="0027465A">
        <w:t xml:space="preserve">the Subclass 485 visa </w:t>
      </w:r>
      <w:r w:rsidR="0027465A" w:rsidRPr="009B7EF3">
        <w:t xml:space="preserve">supports the </w:t>
      </w:r>
      <w:r w:rsidR="0027465A">
        <w:t xml:space="preserve">Australian </w:t>
      </w:r>
      <w:r w:rsidR="0027465A" w:rsidRPr="009B7EF3">
        <w:t xml:space="preserve">Government’s approach to delivering managed, sustainable migration </w:t>
      </w:r>
      <w:r w:rsidR="0027465A">
        <w:t xml:space="preserve">growth </w:t>
      </w:r>
      <w:r w:rsidR="0027465A" w:rsidRPr="00A71DC9">
        <w:t xml:space="preserve">and restoring integrity in the international education sector. </w:t>
      </w:r>
    </w:p>
    <w:p w14:paraId="49A2C736" w14:textId="77777777" w:rsidR="0027465A" w:rsidRPr="009B7EF3" w:rsidRDefault="0027465A" w:rsidP="00E61275">
      <w:pPr>
        <w:keepNext/>
        <w:spacing w:before="120" w:after="120" w:line="276" w:lineRule="auto"/>
        <w:jc w:val="both"/>
        <w:outlineLvl w:val="2"/>
        <w:rPr>
          <w:rFonts w:ascii="Times New Roman" w:hAnsi="Times New Roman" w:cs="Times New Roman"/>
          <w:b/>
          <w:sz w:val="24"/>
          <w:szCs w:val="24"/>
        </w:rPr>
      </w:pPr>
      <w:r w:rsidRPr="009B7EF3">
        <w:rPr>
          <w:rFonts w:ascii="Times New Roman" w:hAnsi="Times New Roman" w:cs="Times New Roman"/>
          <w:b/>
          <w:sz w:val="24"/>
          <w:szCs w:val="24"/>
        </w:rPr>
        <w:lastRenderedPageBreak/>
        <w:t>Right to Education</w:t>
      </w:r>
    </w:p>
    <w:p w14:paraId="04C15111" w14:textId="77777777" w:rsidR="0027465A" w:rsidRPr="009B7EF3" w:rsidRDefault="0027465A" w:rsidP="00E61275">
      <w:pPr>
        <w:keepNext/>
        <w:spacing w:before="120" w:after="120" w:line="276" w:lineRule="auto"/>
        <w:jc w:val="both"/>
        <w:outlineLvl w:val="2"/>
        <w:rPr>
          <w:rFonts w:ascii="Times New Roman" w:hAnsi="Times New Roman" w:cs="Times New Roman"/>
          <w:b/>
          <w:sz w:val="24"/>
          <w:szCs w:val="24"/>
        </w:rPr>
      </w:pPr>
      <w:r w:rsidRPr="009B7EF3">
        <w:rPr>
          <w:rFonts w:ascii="Times New Roman" w:hAnsi="Times New Roman" w:cs="Times New Roman"/>
          <w:b/>
          <w:sz w:val="24"/>
          <w:szCs w:val="24"/>
        </w:rPr>
        <w:t>Human Rights Implications</w:t>
      </w:r>
    </w:p>
    <w:p w14:paraId="074FA29D" w14:textId="77777777" w:rsidR="0027465A" w:rsidRPr="009B7EF3" w:rsidRDefault="0027465A" w:rsidP="00E61275">
      <w:pPr>
        <w:pStyle w:val="EMoutlinetext"/>
        <w:keepNext/>
      </w:pPr>
      <w:r w:rsidRPr="009B7EF3">
        <w:t>This Disallowable Legislative Instrument may engage the following right</w:t>
      </w:r>
      <w:r>
        <w:t>s</w:t>
      </w:r>
      <w:r w:rsidRPr="009B7EF3">
        <w:t>:</w:t>
      </w:r>
    </w:p>
    <w:p w14:paraId="151E25AC" w14:textId="1F811340" w:rsidR="0027465A" w:rsidRPr="00644FE6" w:rsidRDefault="0027465A" w:rsidP="00D53224">
      <w:pPr>
        <w:pStyle w:val="EMoutlinebullet"/>
        <w:rPr>
          <w:lang w:val="en-AU"/>
        </w:rPr>
      </w:pPr>
      <w:r w:rsidRPr="00644FE6">
        <w:rPr>
          <w:lang w:val="en-AU"/>
        </w:rPr>
        <w:t xml:space="preserve">the right to work in Article 6(1) of the </w:t>
      </w:r>
      <w:r w:rsidRPr="00D53224">
        <w:rPr>
          <w:rStyle w:val="Acttitle"/>
          <w:rFonts w:eastAsiaTheme="minorHAnsi"/>
        </w:rPr>
        <w:t>International Covenant on Economic, Social and Cultural Rights</w:t>
      </w:r>
      <w:r w:rsidRPr="00597923">
        <w:rPr>
          <w:lang w:val="en-AU"/>
        </w:rPr>
        <w:t xml:space="preserve"> </w:t>
      </w:r>
      <w:r w:rsidRPr="00644FE6">
        <w:rPr>
          <w:lang w:val="en-AU"/>
        </w:rPr>
        <w:t>(ICESCR)</w:t>
      </w:r>
      <w:r w:rsidR="00D53224">
        <w:rPr>
          <w:lang w:val="en-AU"/>
        </w:rPr>
        <w:t>;</w:t>
      </w:r>
    </w:p>
    <w:p w14:paraId="4097F9A5" w14:textId="77777777" w:rsidR="0027465A" w:rsidRPr="00644FE6" w:rsidRDefault="0027465A" w:rsidP="00D53224">
      <w:pPr>
        <w:pStyle w:val="EMoutlinebullet"/>
        <w:rPr>
          <w:lang w:val="en-AU"/>
        </w:rPr>
      </w:pPr>
      <w:proofErr w:type="gramStart"/>
      <w:r w:rsidRPr="00644FE6">
        <w:rPr>
          <w:lang w:val="en-AU"/>
        </w:rPr>
        <w:t>the</w:t>
      </w:r>
      <w:proofErr w:type="gramEnd"/>
      <w:r w:rsidRPr="00644FE6">
        <w:rPr>
          <w:lang w:val="en-AU"/>
        </w:rPr>
        <w:t xml:space="preserve"> right to education in Article 13(1) of the ICESCR. </w:t>
      </w:r>
    </w:p>
    <w:p w14:paraId="215117B1" w14:textId="77777777" w:rsidR="0027465A" w:rsidRPr="00D53224" w:rsidRDefault="0027465A" w:rsidP="00D53224">
      <w:pPr>
        <w:pStyle w:val="EMoutlinetext"/>
      </w:pPr>
      <w:r w:rsidRPr="00644FE6">
        <w:t xml:space="preserve">In circumstances where an applicant is in Australia and makes an application for a Subclass 485 visa, the VAC </w:t>
      </w:r>
      <w:r w:rsidRPr="00D53224">
        <w:t xml:space="preserve">increase for these visas may engage the right to work in Article 6 and the right to education in Article 13 of the ICESCR. </w:t>
      </w:r>
    </w:p>
    <w:p w14:paraId="3F06B898" w14:textId="1DAA5A61" w:rsidR="0027465A" w:rsidRPr="009B7EF3" w:rsidRDefault="0027465A" w:rsidP="00D53224">
      <w:pPr>
        <w:pStyle w:val="EMoutlinetext"/>
      </w:pPr>
      <w:r w:rsidRPr="00D53224">
        <w:t xml:space="preserve">To the extent that increasing the VAC for the Subclass 485 visa limits these rights for applicants in Australia, the limitation is reasonable and proportionate because the VAC for the Subclass 485 visa is and remains a small part of the cost to remain in Australia for the purposes of following the completion of study, noting that Subclass 485 holders are expected to support themselves with work rights. The VAC increase is also necessary to pursue the legitimate objective of promoting the general welfare of Australian society by ensuring managed, sustainable growth in the migration program and restoring integrity in the international education sector. As the VAC is a </w:t>
      </w:r>
      <w:r w:rsidR="00244746">
        <w:t xml:space="preserve">small component of the cost </w:t>
      </w:r>
      <w:r w:rsidRPr="00D53224">
        <w:t>to live, work and study in Australia following graduation as an international student</w:t>
      </w:r>
      <w:r>
        <w:t xml:space="preserve"> in Australia</w:t>
      </w:r>
      <w:r w:rsidRPr="009B7EF3">
        <w:t xml:space="preserve">, the VAC increase is unlikely to have a material impact on international students choosing Australia as their country of education </w:t>
      </w:r>
      <w:r>
        <w:t>and residence following completion of study.</w:t>
      </w:r>
    </w:p>
    <w:p w14:paraId="7FE46A25" w14:textId="77777777" w:rsidR="0027465A" w:rsidRPr="009B7EF3" w:rsidRDefault="0027465A" w:rsidP="00EF0F7B">
      <w:pPr>
        <w:keepNext/>
        <w:spacing w:before="120" w:after="120" w:line="276" w:lineRule="auto"/>
        <w:jc w:val="both"/>
        <w:outlineLvl w:val="2"/>
        <w:rPr>
          <w:rFonts w:ascii="Times New Roman" w:hAnsi="Times New Roman" w:cs="Times New Roman"/>
          <w:b/>
          <w:sz w:val="24"/>
          <w:szCs w:val="24"/>
        </w:rPr>
      </w:pPr>
      <w:r w:rsidRPr="009B7EF3">
        <w:rPr>
          <w:rFonts w:ascii="Times New Roman" w:hAnsi="Times New Roman" w:cs="Times New Roman"/>
          <w:b/>
          <w:sz w:val="24"/>
          <w:szCs w:val="24"/>
        </w:rPr>
        <w:t>Conclusion</w:t>
      </w:r>
    </w:p>
    <w:p w14:paraId="3F44D87D" w14:textId="587F7CE0" w:rsidR="0027465A" w:rsidRPr="0050121E" w:rsidRDefault="0027465A" w:rsidP="00D53224">
      <w:pPr>
        <w:pStyle w:val="EMoutlinetext"/>
      </w:pPr>
      <w:r w:rsidRPr="009B7EF3">
        <w:t xml:space="preserve">The Disallowable Legislative Instrument is compatible with human rights because to the extent that it may limit human rights, those limitations are </w:t>
      </w:r>
      <w:r>
        <w:t>reasonable, necessary and proportionate</w:t>
      </w:r>
      <w:r w:rsidRPr="009B7EF3">
        <w:t>.</w:t>
      </w:r>
    </w:p>
    <w:p w14:paraId="0A8647B7" w14:textId="77777777" w:rsidR="00D53224" w:rsidRDefault="00D53224" w:rsidP="00EF0F7B">
      <w:pPr>
        <w:spacing w:before="120" w:after="120" w:line="276" w:lineRule="auto"/>
        <w:jc w:val="center"/>
        <w:rPr>
          <w:rFonts w:ascii="Times New Roman" w:hAnsi="Times New Roman"/>
          <w:b/>
          <w:sz w:val="24"/>
          <w:szCs w:val="24"/>
        </w:rPr>
      </w:pPr>
    </w:p>
    <w:p w14:paraId="3A9BA03C" w14:textId="77777777" w:rsidR="00D53224" w:rsidRDefault="00D53224" w:rsidP="00EF0F7B">
      <w:pPr>
        <w:spacing w:before="120" w:after="120" w:line="276" w:lineRule="auto"/>
        <w:jc w:val="center"/>
        <w:rPr>
          <w:rFonts w:ascii="Times New Roman" w:hAnsi="Times New Roman"/>
          <w:b/>
          <w:sz w:val="24"/>
          <w:szCs w:val="24"/>
        </w:rPr>
      </w:pPr>
    </w:p>
    <w:p w14:paraId="4F320C46" w14:textId="6B2D0EBF" w:rsidR="0027465A" w:rsidRPr="00A64CE3" w:rsidRDefault="0027465A" w:rsidP="00EF0F7B">
      <w:pPr>
        <w:spacing w:before="120" w:after="120" w:line="276" w:lineRule="auto"/>
        <w:jc w:val="center"/>
        <w:rPr>
          <w:rFonts w:ascii="Times New Roman" w:hAnsi="Times New Roman"/>
          <w:b/>
          <w:sz w:val="24"/>
          <w:szCs w:val="24"/>
        </w:rPr>
      </w:pPr>
      <w:r w:rsidRPr="00A64CE3">
        <w:rPr>
          <w:rFonts w:ascii="Times New Roman" w:hAnsi="Times New Roman"/>
          <w:b/>
          <w:sz w:val="24"/>
          <w:szCs w:val="24"/>
        </w:rPr>
        <w:t>The Hon Tony Burke MP</w:t>
      </w:r>
    </w:p>
    <w:p w14:paraId="0115D38D" w14:textId="51649655" w:rsidR="0027465A" w:rsidRPr="0050121E" w:rsidRDefault="00277BA3" w:rsidP="00EF0F7B">
      <w:pPr>
        <w:spacing w:before="120" w:after="120" w:line="276" w:lineRule="auto"/>
        <w:jc w:val="center"/>
        <w:rPr>
          <w:rFonts w:ascii="Times New Roman" w:hAnsi="Times New Roman"/>
          <w:b/>
          <w:sz w:val="24"/>
          <w:szCs w:val="24"/>
        </w:rPr>
      </w:pPr>
      <w:r w:rsidRPr="00277BA3">
        <w:rPr>
          <w:rFonts w:ascii="Times New Roman" w:hAnsi="Times New Roman"/>
          <w:b/>
          <w:sz w:val="24"/>
          <w:szCs w:val="24"/>
        </w:rPr>
        <w:t>Minister for Immigration and Multicultural Affairs</w:t>
      </w:r>
    </w:p>
    <w:p w14:paraId="092E11CC" w14:textId="1B4CF00A" w:rsidR="00BA6F3F" w:rsidRDefault="00BA6F3F" w:rsidP="00EF0F7B">
      <w:pPr>
        <w:spacing w:line="276" w:lineRule="auto"/>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br w:type="page"/>
      </w:r>
    </w:p>
    <w:p w14:paraId="04BB4A04" w14:textId="385BFFA0" w:rsidR="00405C04" w:rsidRPr="00D509B8" w:rsidRDefault="00405C04" w:rsidP="00EF0F7B">
      <w:pPr>
        <w:spacing w:before="240" w:after="0" w:line="276" w:lineRule="auto"/>
        <w:jc w:val="right"/>
        <w:rPr>
          <w:rFonts w:ascii="Times New Roman" w:eastAsiaTheme="minorEastAsia" w:hAnsi="Times New Roman" w:cs="Times New Roman"/>
          <w:b/>
          <w:sz w:val="24"/>
          <w:szCs w:val="24"/>
          <w:u w:val="single"/>
          <w:lang w:val="en-AU" w:eastAsia="en-AU"/>
        </w:rPr>
      </w:pPr>
      <w:r w:rsidRPr="00D509B8">
        <w:rPr>
          <w:rFonts w:ascii="Times New Roman" w:eastAsiaTheme="minorEastAsia" w:hAnsi="Times New Roman" w:cs="Times New Roman"/>
          <w:b/>
          <w:sz w:val="24"/>
          <w:szCs w:val="24"/>
          <w:u w:val="single"/>
          <w:lang w:val="en-AU" w:eastAsia="en-AU"/>
        </w:rPr>
        <w:lastRenderedPageBreak/>
        <w:t xml:space="preserve">ATTACHMENT </w:t>
      </w:r>
      <w:r w:rsidR="00DF7DFE">
        <w:rPr>
          <w:rFonts w:ascii="Times New Roman" w:eastAsiaTheme="minorEastAsia" w:hAnsi="Times New Roman" w:cs="Times New Roman"/>
          <w:b/>
          <w:sz w:val="24"/>
          <w:szCs w:val="24"/>
          <w:u w:val="single"/>
          <w:lang w:val="en-AU" w:eastAsia="en-AU"/>
        </w:rPr>
        <w:t>B</w:t>
      </w:r>
    </w:p>
    <w:p w14:paraId="20132112" w14:textId="4EE09887" w:rsidR="00405C04" w:rsidRPr="00D509B8" w:rsidRDefault="00405C04" w:rsidP="00EF0F7B">
      <w:pPr>
        <w:spacing w:after="0" w:line="276" w:lineRule="auto"/>
        <w:ind w:right="91"/>
        <w:rPr>
          <w:rFonts w:ascii="Times New Roman" w:eastAsiaTheme="minorEastAsia" w:hAnsi="Times New Roman" w:cs="Times New Roman"/>
          <w:b/>
          <w:bCs/>
          <w:color w:val="000000" w:themeColor="text1"/>
          <w:sz w:val="24"/>
          <w:szCs w:val="24"/>
          <w:u w:val="single"/>
          <w:lang w:val="en-AU" w:eastAsia="en-AU"/>
        </w:rPr>
      </w:pPr>
    </w:p>
    <w:p w14:paraId="5BF79D0C" w14:textId="3643D913" w:rsidR="00D509B8" w:rsidRPr="0050121E" w:rsidRDefault="00D509B8" w:rsidP="00EF0F7B">
      <w:pPr>
        <w:spacing w:after="0" w:line="276" w:lineRule="auto"/>
        <w:ind w:right="91"/>
        <w:rPr>
          <w:rFonts w:ascii="Times New Roman" w:hAnsi="Times New Roman" w:cs="Times New Roman"/>
          <w:b/>
          <w:bCs/>
          <w:i/>
          <w:iCs/>
          <w:color w:val="000000" w:themeColor="text1"/>
          <w:sz w:val="24"/>
          <w:szCs w:val="24"/>
          <w:u w:val="single"/>
        </w:rPr>
      </w:pPr>
      <w:r w:rsidRPr="0050121E">
        <w:rPr>
          <w:rFonts w:ascii="Times New Roman" w:hAnsi="Times New Roman" w:cs="Times New Roman"/>
          <w:b/>
          <w:bCs/>
          <w:color w:val="000000" w:themeColor="text1"/>
          <w:sz w:val="24"/>
          <w:szCs w:val="24"/>
          <w:u w:val="single"/>
        </w:rPr>
        <w:t xml:space="preserve">Details of the </w:t>
      </w:r>
      <w:r w:rsidR="00F05AF7" w:rsidRPr="0050121E">
        <w:rPr>
          <w:rFonts w:ascii="Times New Roman" w:hAnsi="Times New Roman" w:cs="Times New Roman"/>
          <w:b/>
          <w:bCs/>
          <w:i/>
          <w:color w:val="000000" w:themeColor="text1"/>
          <w:sz w:val="24"/>
          <w:szCs w:val="24"/>
          <w:u w:val="single"/>
        </w:rPr>
        <w:t>Migration Amendment (</w:t>
      </w:r>
      <w:r w:rsidR="00E902F3" w:rsidRPr="0050121E">
        <w:rPr>
          <w:rFonts w:ascii="Times New Roman" w:hAnsi="Times New Roman" w:cs="Times New Roman"/>
          <w:b/>
          <w:bCs/>
          <w:i/>
          <w:color w:val="000000" w:themeColor="text1"/>
          <w:sz w:val="24"/>
          <w:szCs w:val="24"/>
          <w:u w:val="single"/>
        </w:rPr>
        <w:t>Temporary Graduate Visa Application Charge)</w:t>
      </w:r>
      <w:r w:rsidR="00F05AF7" w:rsidRPr="0050121E">
        <w:rPr>
          <w:rFonts w:ascii="Times New Roman" w:hAnsi="Times New Roman" w:cs="Times New Roman"/>
          <w:b/>
          <w:bCs/>
          <w:i/>
          <w:color w:val="000000" w:themeColor="text1"/>
          <w:sz w:val="24"/>
          <w:szCs w:val="24"/>
          <w:u w:val="single"/>
        </w:rPr>
        <w:t xml:space="preserve"> Regulations </w:t>
      </w:r>
      <w:r w:rsidR="0051446D" w:rsidRPr="0050121E">
        <w:rPr>
          <w:rFonts w:ascii="Times New Roman" w:hAnsi="Times New Roman" w:cs="Times New Roman"/>
          <w:b/>
          <w:bCs/>
          <w:i/>
          <w:color w:val="000000" w:themeColor="text1"/>
          <w:sz w:val="24"/>
          <w:szCs w:val="24"/>
          <w:u w:val="single"/>
        </w:rPr>
        <w:t>2024</w:t>
      </w:r>
    </w:p>
    <w:p w14:paraId="210F68D9" w14:textId="77777777" w:rsidR="008B6058" w:rsidRDefault="008B6058" w:rsidP="00EF0F7B">
      <w:pPr>
        <w:pStyle w:val="ItemHead"/>
        <w:keepNext w:val="0"/>
        <w:keepLines w:val="0"/>
        <w:widowControl w:val="0"/>
        <w:spacing w:before="0" w:line="276" w:lineRule="auto"/>
        <w:rPr>
          <w:rFonts w:ascii="Times New Roman" w:hAnsi="Times New Roman" w:cs="Times New Roman"/>
          <w:b w:val="0"/>
          <w:bCs w:val="0"/>
          <w:u w:val="single"/>
        </w:rPr>
      </w:pPr>
    </w:p>
    <w:p w14:paraId="1D2867D8" w14:textId="0244B639" w:rsidR="002753C5" w:rsidRPr="002753C5" w:rsidRDefault="002753C5" w:rsidP="00EF0F7B">
      <w:pPr>
        <w:pStyle w:val="ItemHead"/>
        <w:keepNext w:val="0"/>
        <w:keepLines w:val="0"/>
        <w:widowControl w:val="0"/>
        <w:spacing w:before="0" w:line="276" w:lineRule="auto"/>
        <w:rPr>
          <w:rFonts w:ascii="Times New Roman" w:hAnsi="Times New Roman" w:cs="Times New Roman"/>
          <w:b w:val="0"/>
          <w:bCs w:val="0"/>
          <w:u w:val="single"/>
        </w:rPr>
      </w:pPr>
      <w:r w:rsidRPr="002753C5">
        <w:rPr>
          <w:rFonts w:ascii="Times New Roman" w:hAnsi="Times New Roman" w:cs="Times New Roman"/>
          <w:b w:val="0"/>
          <w:bCs w:val="0"/>
          <w:u w:val="single"/>
        </w:rPr>
        <w:t>Section 1 – Name</w:t>
      </w:r>
    </w:p>
    <w:p w14:paraId="4BA714D0" w14:textId="7E699E2A" w:rsidR="008B6058" w:rsidRPr="0050121E" w:rsidRDefault="002753C5" w:rsidP="00EF0F7B">
      <w:pPr>
        <w:pStyle w:val="EMclausenotes"/>
        <w:spacing w:line="276" w:lineRule="auto"/>
      </w:pPr>
      <w:r w:rsidRPr="002753C5">
        <w:t>This section provide</w:t>
      </w:r>
      <w:r w:rsidR="00710B53">
        <w:t>s</w:t>
      </w:r>
      <w:r w:rsidRPr="002753C5">
        <w:t xml:space="preserve"> that the name of the instrument is the </w:t>
      </w:r>
      <w:r w:rsidRPr="0050121E">
        <w:rPr>
          <w:i/>
        </w:rPr>
        <w:t>Migration Ame</w:t>
      </w:r>
      <w:r w:rsidR="00E902F3" w:rsidRPr="0050121E">
        <w:rPr>
          <w:i/>
        </w:rPr>
        <w:t xml:space="preserve">ndment (Temporary </w:t>
      </w:r>
      <w:r w:rsidR="00392754">
        <w:rPr>
          <w:rFonts w:eastAsia="SimSun"/>
          <w:i/>
        </w:rPr>
        <w:t>Graduate</w:t>
      </w:r>
      <w:r w:rsidR="00244746">
        <w:rPr>
          <w:rFonts w:eastAsia="SimSun"/>
          <w:i/>
        </w:rPr>
        <w:t xml:space="preserve"> Visa</w:t>
      </w:r>
      <w:r w:rsidR="00392754" w:rsidRPr="00856CBD">
        <w:rPr>
          <w:rFonts w:eastAsia="SimSun"/>
          <w:i/>
        </w:rPr>
        <w:t xml:space="preserve"> </w:t>
      </w:r>
      <w:r w:rsidR="00E902F3" w:rsidRPr="0050121E">
        <w:rPr>
          <w:i/>
        </w:rPr>
        <w:t>Application Charge</w:t>
      </w:r>
      <w:r w:rsidRPr="0050121E">
        <w:rPr>
          <w:i/>
        </w:rPr>
        <w:t xml:space="preserve">) Regulations </w:t>
      </w:r>
      <w:r w:rsidR="0051446D" w:rsidRPr="0050121E">
        <w:rPr>
          <w:i/>
        </w:rPr>
        <w:t>2024</w:t>
      </w:r>
      <w:r w:rsidRPr="0050121E">
        <w:t xml:space="preserve"> (the Regulations). </w:t>
      </w:r>
    </w:p>
    <w:p w14:paraId="018D8CE0" w14:textId="5141D7E6" w:rsidR="008B6058" w:rsidRPr="0050121E" w:rsidRDefault="002753C5" w:rsidP="00EF0F7B">
      <w:pPr>
        <w:spacing w:after="0" w:line="276" w:lineRule="auto"/>
        <w:ind w:right="91"/>
        <w:rPr>
          <w:rFonts w:ascii="Times New Roman" w:hAnsi="Times New Roman" w:cs="Times New Roman"/>
          <w:sz w:val="24"/>
          <w:szCs w:val="24"/>
          <w:u w:val="single"/>
        </w:rPr>
      </w:pPr>
      <w:r w:rsidRPr="002753C5">
        <w:rPr>
          <w:rFonts w:ascii="Times New Roman" w:hAnsi="Times New Roman" w:cs="Times New Roman"/>
          <w:sz w:val="24"/>
          <w:szCs w:val="24"/>
          <w:u w:val="single"/>
        </w:rPr>
        <w:t>Se</w:t>
      </w:r>
      <w:r>
        <w:rPr>
          <w:rFonts w:ascii="Times New Roman" w:hAnsi="Times New Roman" w:cs="Times New Roman"/>
          <w:sz w:val="24"/>
          <w:szCs w:val="24"/>
          <w:u w:val="single"/>
        </w:rPr>
        <w:t>c</w:t>
      </w:r>
      <w:r w:rsidRPr="002753C5">
        <w:rPr>
          <w:rFonts w:ascii="Times New Roman" w:hAnsi="Times New Roman" w:cs="Times New Roman"/>
          <w:sz w:val="24"/>
          <w:szCs w:val="24"/>
          <w:u w:val="single"/>
        </w:rPr>
        <w:t>tion 2 – Commencement</w:t>
      </w:r>
    </w:p>
    <w:p w14:paraId="6035CF47" w14:textId="245961F7" w:rsidR="008B6058" w:rsidRPr="0050121E" w:rsidRDefault="00710B53" w:rsidP="00EF0F7B">
      <w:pPr>
        <w:pStyle w:val="EMclausenotes"/>
        <w:spacing w:line="276" w:lineRule="auto"/>
        <w:rPr>
          <w:rFonts w:eastAsia="SimSun"/>
        </w:rPr>
      </w:pPr>
      <w:r>
        <w:rPr>
          <w:rFonts w:eastAsia="SimSun"/>
        </w:rPr>
        <w:t>This section</w:t>
      </w:r>
      <w:r w:rsidR="002753C5" w:rsidRPr="002753C5">
        <w:rPr>
          <w:rFonts w:eastAsia="SimSun"/>
        </w:rPr>
        <w:t xml:space="preserve"> </w:t>
      </w:r>
      <w:r w:rsidR="002753C5" w:rsidRPr="0050121E">
        <w:rPr>
          <w:rFonts w:eastAsia="SimSun"/>
        </w:rPr>
        <w:t>provide</w:t>
      </w:r>
      <w:r w:rsidRPr="0050121E">
        <w:rPr>
          <w:rFonts w:eastAsia="SimSun"/>
        </w:rPr>
        <w:t>s</w:t>
      </w:r>
      <w:r w:rsidR="002753C5" w:rsidRPr="002753C5">
        <w:rPr>
          <w:rFonts w:eastAsia="SimSun"/>
        </w:rPr>
        <w:t xml:space="preserve"> for the whole of the instrument to commence </w:t>
      </w:r>
      <w:r w:rsidR="002753C5" w:rsidRPr="00EC1A8C">
        <w:rPr>
          <w:rFonts w:eastAsia="SimSun"/>
        </w:rPr>
        <w:t xml:space="preserve">on </w:t>
      </w:r>
      <w:r w:rsidR="00CD3D7C" w:rsidRPr="00EC1A8C">
        <w:rPr>
          <w:rFonts w:eastAsia="SimSun"/>
        </w:rPr>
        <w:t>1 February</w:t>
      </w:r>
      <w:r w:rsidR="002753C5" w:rsidRPr="00EC1A8C">
        <w:rPr>
          <w:rFonts w:eastAsia="SimSun"/>
        </w:rPr>
        <w:t xml:space="preserve"> </w:t>
      </w:r>
      <w:r w:rsidR="0051446D" w:rsidRPr="00EC1A8C">
        <w:rPr>
          <w:rFonts w:eastAsia="SimSun"/>
        </w:rPr>
        <w:t>202</w:t>
      </w:r>
      <w:r w:rsidR="00641FCD">
        <w:rPr>
          <w:rFonts w:eastAsia="SimSun"/>
        </w:rPr>
        <w:t>5</w:t>
      </w:r>
      <w:r w:rsidR="002753C5" w:rsidRPr="00EC1A8C">
        <w:rPr>
          <w:rFonts w:eastAsia="SimSun"/>
        </w:rPr>
        <w:t>.</w:t>
      </w:r>
    </w:p>
    <w:p w14:paraId="18C18983" w14:textId="7B78B146" w:rsidR="002753C5" w:rsidRPr="002753C5" w:rsidRDefault="002753C5" w:rsidP="00EF0F7B">
      <w:pPr>
        <w:tabs>
          <w:tab w:val="left" w:pos="6521"/>
        </w:tabs>
        <w:spacing w:after="0" w:line="276" w:lineRule="auto"/>
        <w:ind w:right="170"/>
        <w:rPr>
          <w:rFonts w:ascii="Times New Roman" w:hAnsi="Times New Roman" w:cs="Times New Roman"/>
          <w:sz w:val="24"/>
          <w:szCs w:val="24"/>
          <w:u w:val="single"/>
        </w:rPr>
      </w:pPr>
      <w:r w:rsidRPr="002753C5">
        <w:rPr>
          <w:rFonts w:ascii="Times New Roman" w:hAnsi="Times New Roman" w:cs="Times New Roman"/>
          <w:sz w:val="24"/>
          <w:szCs w:val="24"/>
          <w:u w:val="single"/>
        </w:rPr>
        <w:t>Section 3 – Authority</w:t>
      </w:r>
    </w:p>
    <w:p w14:paraId="4D04E1D5" w14:textId="09CEA170" w:rsidR="008B6058" w:rsidRPr="0050121E" w:rsidRDefault="002753C5" w:rsidP="00EF0F7B">
      <w:pPr>
        <w:pStyle w:val="EMclausenotes"/>
        <w:spacing w:line="276" w:lineRule="auto"/>
        <w:rPr>
          <w:rFonts w:eastAsia="SimSun"/>
        </w:rPr>
      </w:pPr>
      <w:r w:rsidRPr="002753C5">
        <w:rPr>
          <w:rFonts w:eastAsia="SimSun"/>
        </w:rPr>
        <w:t xml:space="preserve">This section </w:t>
      </w:r>
      <w:r w:rsidRPr="002753C5">
        <w:t>provide</w:t>
      </w:r>
      <w:r w:rsidR="00710B53">
        <w:t>s</w:t>
      </w:r>
      <w:r w:rsidRPr="002753C5">
        <w:rPr>
          <w:rFonts w:eastAsia="SimSun"/>
        </w:rPr>
        <w:t xml:space="preserve"> that the instrument is made under the </w:t>
      </w:r>
      <w:r w:rsidRPr="002753C5">
        <w:rPr>
          <w:rFonts w:eastAsia="SimSun"/>
          <w:i/>
          <w:iCs/>
        </w:rPr>
        <w:t xml:space="preserve">Migration Act 1958 </w:t>
      </w:r>
      <w:r w:rsidRPr="002753C5">
        <w:rPr>
          <w:rFonts w:eastAsia="SimSun"/>
        </w:rPr>
        <w:t>(the Migration Act).</w:t>
      </w:r>
    </w:p>
    <w:p w14:paraId="03BED159" w14:textId="3F2A18C4" w:rsidR="002753C5" w:rsidRPr="002753C5" w:rsidRDefault="002753C5" w:rsidP="00EF0F7B">
      <w:pPr>
        <w:spacing w:after="0" w:line="276" w:lineRule="auto"/>
        <w:rPr>
          <w:rFonts w:ascii="Times New Roman" w:eastAsia="SimSun" w:hAnsi="Times New Roman" w:cs="Times New Roman"/>
          <w:sz w:val="24"/>
          <w:szCs w:val="24"/>
          <w:u w:val="single"/>
        </w:rPr>
      </w:pPr>
      <w:r w:rsidRPr="002753C5">
        <w:rPr>
          <w:rFonts w:ascii="Times New Roman" w:eastAsia="SimSun" w:hAnsi="Times New Roman" w:cs="Times New Roman"/>
          <w:sz w:val="24"/>
          <w:szCs w:val="24"/>
          <w:u w:val="single"/>
        </w:rPr>
        <w:t>Section 4</w:t>
      </w:r>
      <w:r w:rsidRPr="002753C5">
        <w:rPr>
          <w:rFonts w:ascii="Times New Roman" w:hAnsi="Times New Roman" w:cs="Times New Roman"/>
          <w:sz w:val="24"/>
          <w:szCs w:val="24"/>
          <w:u w:val="single"/>
        </w:rPr>
        <w:t xml:space="preserve"> – </w:t>
      </w:r>
      <w:r w:rsidRPr="002753C5">
        <w:rPr>
          <w:rFonts w:ascii="Times New Roman" w:eastAsia="SimSun" w:hAnsi="Times New Roman" w:cs="Times New Roman"/>
          <w:sz w:val="24"/>
          <w:szCs w:val="24"/>
          <w:u w:val="single"/>
        </w:rPr>
        <w:t>Schedules</w:t>
      </w:r>
    </w:p>
    <w:p w14:paraId="66F502E0" w14:textId="1AB40EA1" w:rsidR="008B6058" w:rsidRPr="0050121E" w:rsidRDefault="0050121E" w:rsidP="00EF0F7B">
      <w:pPr>
        <w:pStyle w:val="EMclausenotes"/>
        <w:spacing w:line="276" w:lineRule="auto"/>
      </w:pPr>
      <w:r>
        <w:t>Thi</w:t>
      </w:r>
      <w:r w:rsidR="002753C5" w:rsidRPr="002753C5">
        <w:t>s section provide</w:t>
      </w:r>
      <w:r w:rsidR="00710B53">
        <w:t>s</w:t>
      </w:r>
      <w:r w:rsidR="002753C5" w:rsidRPr="002753C5">
        <w:t xml:space="preserve"> </w:t>
      </w:r>
      <w:r w:rsidR="002F05A6" w:rsidRPr="002F05A6">
        <w:t>that each instrument that is specified in a Schedule to this instrument is amended or repealed as set out in the applicable items in the Schedule concerned, and any other item in a Schedule to this instrument has effect according to its terms.</w:t>
      </w:r>
    </w:p>
    <w:p w14:paraId="36977A45" w14:textId="68BE70F2" w:rsidR="002753C5" w:rsidRPr="002753C5" w:rsidRDefault="002753C5" w:rsidP="00EF0F7B">
      <w:pPr>
        <w:spacing w:after="0" w:line="276" w:lineRule="auto"/>
        <w:rPr>
          <w:rFonts w:ascii="Times New Roman" w:hAnsi="Times New Roman" w:cs="Times New Roman"/>
          <w:b/>
          <w:sz w:val="24"/>
          <w:szCs w:val="24"/>
          <w:u w:val="single"/>
        </w:rPr>
      </w:pPr>
      <w:r w:rsidRPr="002753C5">
        <w:rPr>
          <w:rFonts w:ascii="Times New Roman" w:hAnsi="Times New Roman" w:cs="Times New Roman"/>
          <w:b/>
          <w:sz w:val="24"/>
          <w:szCs w:val="24"/>
          <w:u w:val="single"/>
        </w:rPr>
        <w:t>Schedule 1</w:t>
      </w:r>
      <w:r w:rsidR="00154E97">
        <w:rPr>
          <w:rFonts w:ascii="Times New Roman" w:hAnsi="Times New Roman" w:cs="Times New Roman"/>
          <w:b/>
          <w:sz w:val="24"/>
          <w:szCs w:val="24"/>
          <w:u w:val="single"/>
        </w:rPr>
        <w:t>—</w:t>
      </w:r>
      <w:r w:rsidRPr="002753C5">
        <w:rPr>
          <w:rFonts w:ascii="Times New Roman" w:hAnsi="Times New Roman" w:cs="Times New Roman"/>
          <w:b/>
          <w:sz w:val="24"/>
          <w:szCs w:val="24"/>
          <w:u w:val="single"/>
        </w:rPr>
        <w:t xml:space="preserve">Amendments </w:t>
      </w:r>
    </w:p>
    <w:p w14:paraId="744D63E4" w14:textId="640E9474" w:rsidR="0090644A" w:rsidRDefault="002753C5" w:rsidP="00EF0F7B">
      <w:pPr>
        <w:spacing w:before="240" w:after="240" w:line="276" w:lineRule="auto"/>
        <w:rPr>
          <w:rFonts w:ascii="Times New Roman" w:hAnsi="Times New Roman" w:cs="Times New Roman"/>
          <w:b/>
          <w:i/>
          <w:sz w:val="24"/>
          <w:szCs w:val="24"/>
        </w:rPr>
      </w:pPr>
      <w:r w:rsidRPr="002753C5">
        <w:rPr>
          <w:rFonts w:ascii="Times New Roman" w:hAnsi="Times New Roman" w:cs="Times New Roman"/>
          <w:b/>
          <w:i/>
          <w:sz w:val="24"/>
          <w:szCs w:val="24"/>
        </w:rPr>
        <w:t>M</w:t>
      </w:r>
      <w:r>
        <w:rPr>
          <w:rFonts w:ascii="Times New Roman" w:hAnsi="Times New Roman" w:cs="Times New Roman"/>
          <w:b/>
          <w:i/>
          <w:sz w:val="24"/>
          <w:szCs w:val="24"/>
        </w:rPr>
        <w:t>i</w:t>
      </w:r>
      <w:r w:rsidRPr="002753C5">
        <w:rPr>
          <w:rFonts w:ascii="Times New Roman" w:hAnsi="Times New Roman" w:cs="Times New Roman"/>
          <w:b/>
          <w:i/>
          <w:sz w:val="24"/>
          <w:szCs w:val="24"/>
        </w:rPr>
        <w:t>gration Regulations 1994</w:t>
      </w:r>
    </w:p>
    <w:p w14:paraId="549E8F7A" w14:textId="74C9B8C1" w:rsidR="005C6D09" w:rsidRDefault="00392754" w:rsidP="00EF0F7B">
      <w:pPr>
        <w:pStyle w:val="EMclausenotes"/>
        <w:spacing w:line="276" w:lineRule="auto"/>
      </w:pPr>
      <w:r>
        <w:t>The amendments in</w:t>
      </w:r>
      <w:r w:rsidR="0090644A" w:rsidRPr="0090644A">
        <w:t xml:space="preserve"> Sch</w:t>
      </w:r>
      <w:r>
        <w:t>edule 1 to the Regulations give</w:t>
      </w:r>
      <w:r w:rsidR="0090644A" w:rsidRPr="0090644A">
        <w:t xml:space="preserve"> effect to the 2024-25 Budget Decision </w:t>
      </w:r>
      <w:r w:rsidR="0090644A" w:rsidRPr="0090644A">
        <w:rPr>
          <w:i/>
        </w:rPr>
        <w:t>Visa Application Charge Uplift</w:t>
      </w:r>
      <w:r w:rsidR="0090644A" w:rsidRPr="0090644A">
        <w:t xml:space="preserve"> to </w:t>
      </w:r>
      <w:r w:rsidR="0090644A">
        <w:t>apply an uplift of 14.75% to the Temporary Graduate (Subclass 485) visa application charge (VAC).</w:t>
      </w:r>
      <w:r>
        <w:t xml:space="preserve"> </w:t>
      </w:r>
      <w:r w:rsidR="005C6D09">
        <w:t>These increases do not exceed the applicable charge limits set out in the Migration (Visa Application) Charge Act 1997 (the VAC Act).</w:t>
      </w:r>
    </w:p>
    <w:p w14:paraId="449065B0" w14:textId="0C101D7E" w:rsidR="005C6D09" w:rsidRPr="0050121E" w:rsidRDefault="005C6D09" w:rsidP="00EF0F7B">
      <w:pPr>
        <w:pStyle w:val="EMitemheader"/>
        <w:spacing w:line="276" w:lineRule="auto"/>
        <w:rPr>
          <w:b w:val="0"/>
        </w:rPr>
      </w:pPr>
      <w:r w:rsidRPr="004759AC">
        <w:t>Item</w:t>
      </w:r>
      <w:r w:rsidR="000C4BD6" w:rsidRPr="004759AC">
        <w:t>s [1</w:t>
      </w:r>
      <w:r w:rsidR="004759AC" w:rsidRPr="004759AC">
        <w:t xml:space="preserve">] </w:t>
      </w:r>
      <w:r w:rsidR="00392754" w:rsidRPr="00392754">
        <w:t>–</w:t>
      </w:r>
      <w:r w:rsidR="004759AC" w:rsidRPr="004759AC">
        <w:t xml:space="preserve"> [</w:t>
      </w:r>
      <w:r w:rsidR="000C4BD6" w:rsidRPr="004759AC">
        <w:t>6</w:t>
      </w:r>
      <w:r w:rsidRPr="004759AC">
        <w:t>]</w:t>
      </w:r>
    </w:p>
    <w:p w14:paraId="121E8219" w14:textId="3FFFBE19" w:rsidR="000C4BD6" w:rsidRDefault="005C6D09" w:rsidP="00EF0F7B">
      <w:pPr>
        <w:pStyle w:val="EMclausenotes"/>
        <w:spacing w:line="276" w:lineRule="auto"/>
      </w:pPr>
      <w:r>
        <w:t>These items make amendments to Schedule 1 to the Migration Regulations in relation to the Temporary Graduate (Subclass 485) visa (</w:t>
      </w:r>
      <w:r w:rsidR="000C4BD6">
        <w:t>i</w:t>
      </w:r>
      <w:r>
        <w:t>tem 1229 in Schedule 1 to the Migration Regulations).</w:t>
      </w:r>
    </w:p>
    <w:p w14:paraId="561D469E" w14:textId="5F31C656" w:rsidR="009F561C" w:rsidRPr="009F561C" w:rsidRDefault="009F561C" w:rsidP="00EF0F7B">
      <w:pPr>
        <w:pStyle w:val="EMclausenotes"/>
        <w:spacing w:line="276" w:lineRule="auto"/>
      </w:pPr>
      <w:r>
        <w:t xml:space="preserve">For </w:t>
      </w:r>
      <w:r w:rsidRPr="009F561C">
        <w:t>applicants who hold a Subclass 485 (Temporary Graduate) visa in the Post‑Study Work stream, the Post‑Higher Education Work stream or the Replacement stream, and are applying for a subsequent Subclass 485 (Temporary Graduate) visa in the Post‑Higher Education Work stream</w:t>
      </w:r>
      <w:r>
        <w:t xml:space="preserve"> the VAC is as follows (s</w:t>
      </w:r>
      <w:r w:rsidRPr="009F561C">
        <w:t>ubparagraph 1229(2)(a)(</w:t>
      </w:r>
      <w:proofErr w:type="spellStart"/>
      <w:r w:rsidRPr="009F561C">
        <w:t>i</w:t>
      </w:r>
      <w:proofErr w:type="spellEnd"/>
      <w:r w:rsidRPr="009F561C">
        <w:t>)</w:t>
      </w:r>
      <w:r>
        <w:t xml:space="preserve">): </w:t>
      </w:r>
    </w:p>
    <w:p w14:paraId="24818B90" w14:textId="13088D18" w:rsidR="0035647C" w:rsidRDefault="00392754" w:rsidP="00244746">
      <w:pPr>
        <w:pStyle w:val="EMoutlinebullet"/>
      </w:pPr>
      <w:r>
        <w:t>the b</w:t>
      </w:r>
      <w:r w:rsidR="0035647C">
        <w:t>ase application charge increases from</w:t>
      </w:r>
      <w:r w:rsidR="000C4BD6" w:rsidRPr="0035647C">
        <w:t xml:space="preserve"> $765 to $8</w:t>
      </w:r>
      <w:r w:rsidR="0035647C">
        <w:t>80;</w:t>
      </w:r>
    </w:p>
    <w:p w14:paraId="644A84F0" w14:textId="4EF5FB96" w:rsidR="0035647C" w:rsidRDefault="00244746" w:rsidP="00244746">
      <w:pPr>
        <w:pStyle w:val="EMoutlinebullet"/>
      </w:pPr>
      <w:r>
        <w:lastRenderedPageBreak/>
        <w:t>the a</w:t>
      </w:r>
      <w:r w:rsidR="000C4BD6" w:rsidRPr="0035647C">
        <w:t xml:space="preserve">dditional applicant charge </w:t>
      </w:r>
      <w:r w:rsidR="00613047" w:rsidRPr="0035647C">
        <w:t xml:space="preserve">for an </w:t>
      </w:r>
      <w:r w:rsidR="00D12AB8" w:rsidRPr="0035647C">
        <w:t>applicant who is at least 18 years of age</w:t>
      </w:r>
      <w:r w:rsidR="0035647C">
        <w:t xml:space="preserve"> (secondary applicant)</w:t>
      </w:r>
      <w:r w:rsidR="00D12AB8" w:rsidRPr="0035647C">
        <w:t xml:space="preserve"> increase</w:t>
      </w:r>
      <w:r w:rsidR="0035647C">
        <w:t>s</w:t>
      </w:r>
      <w:r>
        <w:t xml:space="preserve"> from $385 to $440;</w:t>
      </w:r>
    </w:p>
    <w:p w14:paraId="125CAE12" w14:textId="229D4644" w:rsidR="0035647C" w:rsidRPr="0050121E" w:rsidRDefault="00244746" w:rsidP="00244746">
      <w:pPr>
        <w:pStyle w:val="EMoutlinebullet"/>
      </w:pPr>
      <w:proofErr w:type="gramStart"/>
      <w:r>
        <w:t>the</w:t>
      </w:r>
      <w:proofErr w:type="gramEnd"/>
      <w:r>
        <w:t xml:space="preserve"> a</w:t>
      </w:r>
      <w:r w:rsidR="00D12AB8" w:rsidRPr="0035647C">
        <w:t>dditional applicant charge for</w:t>
      </w:r>
      <w:r w:rsidR="00613047" w:rsidRPr="0035647C">
        <w:t xml:space="preserve"> an applicant </w:t>
      </w:r>
      <w:r w:rsidR="00D12AB8" w:rsidRPr="0035647C">
        <w:t xml:space="preserve">who is less than 18 years of age </w:t>
      </w:r>
      <w:r w:rsidR="0035647C">
        <w:t xml:space="preserve">(secondary applicant) </w:t>
      </w:r>
      <w:r w:rsidR="00D12AB8" w:rsidRPr="0035647C">
        <w:t>increase</w:t>
      </w:r>
      <w:r w:rsidR="0035647C">
        <w:t>s</w:t>
      </w:r>
      <w:r w:rsidR="00D12AB8" w:rsidRPr="0035647C">
        <w:t xml:space="preserve"> from $195 to $225. </w:t>
      </w:r>
    </w:p>
    <w:p w14:paraId="76D19B58" w14:textId="77777777" w:rsidR="009F561C" w:rsidRDefault="009F561C" w:rsidP="00EF0F7B">
      <w:pPr>
        <w:pStyle w:val="EMclausenotes"/>
        <w:spacing w:line="276" w:lineRule="auto"/>
      </w:pPr>
      <w:r>
        <w:t>F</w:t>
      </w:r>
      <w:r w:rsidR="00613047">
        <w:t xml:space="preserve">or any other applicant provided for </w:t>
      </w:r>
      <w:r>
        <w:t>in subparagraph 1229(2</w:t>
      </w:r>
      <w:proofErr w:type="gramStart"/>
      <w:r>
        <w:t>)(</w:t>
      </w:r>
      <w:proofErr w:type="gramEnd"/>
      <w:r>
        <w:t>a)(ii), the VAC is as follows:</w:t>
      </w:r>
    </w:p>
    <w:p w14:paraId="78726BC9" w14:textId="40455C82" w:rsidR="009F561C" w:rsidRDefault="00244746" w:rsidP="00244746">
      <w:pPr>
        <w:pStyle w:val="EMoutlinebullet"/>
      </w:pPr>
      <w:r>
        <w:t>the b</w:t>
      </w:r>
      <w:r w:rsidR="009F561C" w:rsidRPr="009F561C">
        <w:t>ase application charge increases from</w:t>
      </w:r>
      <w:r w:rsidR="009F561C">
        <w:t xml:space="preserve"> $1,945 to $2,235</w:t>
      </w:r>
      <w:r>
        <w:t>;</w:t>
      </w:r>
    </w:p>
    <w:p w14:paraId="0E013876" w14:textId="3CD6EEDC" w:rsidR="009F561C" w:rsidRDefault="00244746" w:rsidP="00244746">
      <w:pPr>
        <w:pStyle w:val="EMoutlinebullet"/>
      </w:pPr>
      <w:r>
        <w:t>the a</w:t>
      </w:r>
      <w:r w:rsidR="009F561C" w:rsidRPr="0035647C">
        <w:t>dditional applicant charge for an applicant who is at least 18 years of age</w:t>
      </w:r>
      <w:r w:rsidR="009F561C">
        <w:t xml:space="preserve"> (secondary applicant)</w:t>
      </w:r>
      <w:r w:rsidR="009F561C" w:rsidRPr="0035647C">
        <w:t xml:space="preserve"> increase</w:t>
      </w:r>
      <w:r w:rsidR="009F561C">
        <w:t>s</w:t>
      </w:r>
      <w:r w:rsidR="009F561C" w:rsidRPr="0035647C">
        <w:t xml:space="preserve"> from</w:t>
      </w:r>
      <w:r w:rsidR="009F561C">
        <w:t xml:space="preserve"> $975 to $1,115;</w:t>
      </w:r>
    </w:p>
    <w:p w14:paraId="4345BA34" w14:textId="4ABED8CE" w:rsidR="00613047" w:rsidRDefault="00244746" w:rsidP="00244746">
      <w:pPr>
        <w:pStyle w:val="EMoutlinebullet"/>
      </w:pPr>
      <w:proofErr w:type="gramStart"/>
      <w:r>
        <w:t>the</w:t>
      </w:r>
      <w:proofErr w:type="gramEnd"/>
      <w:r>
        <w:t xml:space="preserve"> a</w:t>
      </w:r>
      <w:r w:rsidR="009F561C" w:rsidRPr="0035647C">
        <w:t xml:space="preserve">dditional applicant charge for an applicant who is less than 18 years of age </w:t>
      </w:r>
      <w:r w:rsidR="009F561C">
        <w:t xml:space="preserve">(secondary applicant) </w:t>
      </w:r>
      <w:r w:rsidR="009F561C" w:rsidRPr="0035647C">
        <w:t>increase</w:t>
      </w:r>
      <w:r w:rsidR="009F561C">
        <w:t>s</w:t>
      </w:r>
      <w:r w:rsidR="009F561C" w:rsidRPr="0035647C">
        <w:t xml:space="preserve"> from</w:t>
      </w:r>
      <w:r w:rsidR="009F561C">
        <w:t xml:space="preserve"> $490 to $560. </w:t>
      </w:r>
    </w:p>
    <w:p w14:paraId="4A82B266" w14:textId="07140142" w:rsidR="000C4BD6" w:rsidRDefault="00613047" w:rsidP="00EF0F7B">
      <w:pPr>
        <w:pStyle w:val="EMclausenotes"/>
        <w:spacing w:line="276" w:lineRule="auto"/>
      </w:pPr>
      <w:r>
        <w:t>The</w:t>
      </w:r>
      <w:r w:rsidR="00244746">
        <w:t xml:space="preserve"> increased</w:t>
      </w:r>
      <w:r>
        <w:t xml:space="preserve"> </w:t>
      </w:r>
      <w:r w:rsidR="00244746">
        <w:t>charge resulting from the amendment</w:t>
      </w:r>
      <w:r>
        <w:t xml:space="preserve"> in</w:t>
      </w:r>
      <w:r w:rsidR="00244746">
        <w:t xml:space="preserve"> each of</w:t>
      </w:r>
      <w:r>
        <w:t xml:space="preserve"> these items does not exceed the applicable charge limit set out in the VAC Act.</w:t>
      </w:r>
      <w:r w:rsidR="00244746">
        <w:t xml:space="preserve"> </w:t>
      </w:r>
      <w:r w:rsidR="00591483">
        <w:t>The VAC increases promote the general welfare of Australian society by ensuring managed, sustainable migration growth and restoring integrity in the international education sector.</w:t>
      </w:r>
    </w:p>
    <w:p w14:paraId="44E54941" w14:textId="2E5E26D0" w:rsidR="00613047" w:rsidRDefault="00613047" w:rsidP="00EF0F7B">
      <w:pPr>
        <w:pStyle w:val="EMitemheader"/>
        <w:spacing w:line="276" w:lineRule="auto"/>
      </w:pPr>
      <w:r w:rsidRPr="004759AC">
        <w:t>Item [7] – In the appropriate position in Schedule 13</w:t>
      </w:r>
    </w:p>
    <w:p w14:paraId="18B25CA2" w14:textId="07A13937" w:rsidR="00406E7B" w:rsidRDefault="00406E7B" w:rsidP="00EF0F7B">
      <w:pPr>
        <w:pStyle w:val="EMclausenotes"/>
        <w:spacing w:line="276" w:lineRule="auto"/>
      </w:pPr>
      <w:r>
        <w:t xml:space="preserve">This item inserts new </w:t>
      </w:r>
      <w:r w:rsidRPr="0079440A">
        <w:t xml:space="preserve">Part </w:t>
      </w:r>
      <w:r w:rsidR="0079440A" w:rsidRPr="0079440A">
        <w:t xml:space="preserve">144 </w:t>
      </w:r>
      <w:r w:rsidRPr="0079440A">
        <w:t>into</w:t>
      </w:r>
      <w:r>
        <w:t xml:space="preserve"> Schedule 13 to the Migration Regulations. Schedule 13 sets out the application and transitional provisions that apply to amendments to the Migration Regulations. </w:t>
      </w:r>
    </w:p>
    <w:p w14:paraId="1748D82E" w14:textId="2859F6AE" w:rsidR="008B6058" w:rsidRPr="0050121E" w:rsidRDefault="00406E7B" w:rsidP="00EF0F7B">
      <w:pPr>
        <w:pStyle w:val="EMclausenotes"/>
        <w:spacing w:line="276" w:lineRule="auto"/>
      </w:pPr>
      <w:r>
        <w:t>This item provides that the amendments made by Schedule 1 apply in relation to an application for a visa ma</w:t>
      </w:r>
      <w:r w:rsidR="0050121E">
        <w:t>de on or after 1 February 2025.</w:t>
      </w:r>
    </w:p>
    <w:sectPr w:rsidR="008B6058" w:rsidRPr="0050121E" w:rsidSect="003F6C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9214" w14:textId="77777777" w:rsidR="004D5AB6" w:rsidRDefault="004D5AB6" w:rsidP="00610A12">
      <w:pPr>
        <w:spacing w:after="0" w:line="240" w:lineRule="auto"/>
      </w:pPr>
      <w:r>
        <w:separator/>
      </w:r>
    </w:p>
  </w:endnote>
  <w:endnote w:type="continuationSeparator" w:id="0">
    <w:p w14:paraId="0B0E1A90" w14:textId="77777777" w:rsidR="004D5AB6" w:rsidRDefault="004D5AB6" w:rsidP="00610A12">
      <w:pPr>
        <w:spacing w:after="0" w:line="240" w:lineRule="auto"/>
      </w:pPr>
      <w:r>
        <w:continuationSeparator/>
      </w:r>
    </w:p>
  </w:endnote>
  <w:endnote w:type="continuationNotice" w:id="1">
    <w:p w14:paraId="099895A1" w14:textId="77777777" w:rsidR="004D5AB6" w:rsidRDefault="004D5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ED05" w14:textId="77777777" w:rsidR="000E7F58" w:rsidRDefault="000E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20526"/>
      <w:docPartObj>
        <w:docPartGallery w:val="Page Numbers (Bottom of Page)"/>
        <w:docPartUnique/>
      </w:docPartObj>
    </w:sdtPr>
    <w:sdtEndPr>
      <w:rPr>
        <w:rFonts w:ascii="Times New Roman" w:hAnsi="Times New Roman" w:cs="Times New Roman"/>
        <w:noProof/>
      </w:rPr>
    </w:sdtEndPr>
    <w:sdtContent>
      <w:p w14:paraId="187077A3" w14:textId="60FB30A7" w:rsidR="005259C2" w:rsidRPr="00B070AC" w:rsidRDefault="00B070AC" w:rsidP="00B070AC">
        <w:pPr>
          <w:pStyle w:val="Footer"/>
          <w:jc w:val="center"/>
          <w:rPr>
            <w:rFonts w:ascii="Times New Roman" w:hAnsi="Times New Roman" w:cs="Times New Roman"/>
          </w:rPr>
        </w:pPr>
        <w:r w:rsidRPr="00B070AC">
          <w:rPr>
            <w:rFonts w:ascii="Times New Roman" w:hAnsi="Times New Roman" w:cs="Times New Roman"/>
          </w:rPr>
          <w:fldChar w:fldCharType="begin"/>
        </w:r>
        <w:r w:rsidRPr="00B070AC">
          <w:rPr>
            <w:rFonts w:ascii="Times New Roman" w:hAnsi="Times New Roman" w:cs="Times New Roman"/>
          </w:rPr>
          <w:instrText xml:space="preserve"> PAGE   \* MERGEFORMAT </w:instrText>
        </w:r>
        <w:r w:rsidRPr="00B070AC">
          <w:rPr>
            <w:rFonts w:ascii="Times New Roman" w:hAnsi="Times New Roman" w:cs="Times New Roman"/>
          </w:rPr>
          <w:fldChar w:fldCharType="separate"/>
        </w:r>
        <w:r w:rsidR="000E7F58">
          <w:rPr>
            <w:rFonts w:ascii="Times New Roman" w:hAnsi="Times New Roman" w:cs="Times New Roman"/>
            <w:noProof/>
          </w:rPr>
          <w:t>1</w:t>
        </w:r>
        <w:r w:rsidRPr="00B070AC">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06540"/>
      <w:docPartObj>
        <w:docPartGallery w:val="Page Numbers (Bottom of Page)"/>
        <w:docPartUnique/>
      </w:docPartObj>
    </w:sdtPr>
    <w:sdtEndPr>
      <w:rPr>
        <w:noProof/>
      </w:rPr>
    </w:sdtEndPr>
    <w:sdtContent>
      <w:p w14:paraId="2040918C" w14:textId="4FE7ABE4" w:rsidR="0098033C" w:rsidRDefault="0098033C">
        <w:pPr>
          <w:pStyle w:val="Footer"/>
          <w:jc w:val="center"/>
        </w:pPr>
        <w:r>
          <w:t>0</w:t>
        </w:r>
      </w:p>
    </w:sdtContent>
  </w:sdt>
  <w:p w14:paraId="64154D3A" w14:textId="77777777" w:rsidR="0098033C" w:rsidRDefault="0098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554E6" w14:textId="77777777" w:rsidR="004D5AB6" w:rsidRDefault="004D5AB6" w:rsidP="00610A12">
      <w:pPr>
        <w:spacing w:after="0" w:line="240" w:lineRule="auto"/>
      </w:pPr>
      <w:r>
        <w:separator/>
      </w:r>
    </w:p>
  </w:footnote>
  <w:footnote w:type="continuationSeparator" w:id="0">
    <w:p w14:paraId="74BC6F48" w14:textId="77777777" w:rsidR="004D5AB6" w:rsidRDefault="004D5AB6" w:rsidP="00610A12">
      <w:pPr>
        <w:spacing w:after="0" w:line="240" w:lineRule="auto"/>
      </w:pPr>
      <w:r>
        <w:continuationSeparator/>
      </w:r>
    </w:p>
  </w:footnote>
  <w:footnote w:type="continuationNotice" w:id="1">
    <w:p w14:paraId="114AE80D" w14:textId="77777777" w:rsidR="004D5AB6" w:rsidRDefault="004D5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7BED" w14:textId="77777777" w:rsidR="000E7F58" w:rsidRDefault="000E7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37AD" w14:textId="77777777" w:rsidR="000E7F58" w:rsidRDefault="000E7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D004" w14:textId="77777777" w:rsidR="000E7F58" w:rsidRDefault="000E7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40"/>
    <w:multiLevelType w:val="hybridMultilevel"/>
    <w:tmpl w:val="836AE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0E5787A"/>
    <w:multiLevelType w:val="hybridMultilevel"/>
    <w:tmpl w:val="8CD2E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12697489"/>
    <w:multiLevelType w:val="multilevel"/>
    <w:tmpl w:val="FD0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8"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5B3090"/>
    <w:multiLevelType w:val="hybridMultilevel"/>
    <w:tmpl w:val="C8223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5C7268"/>
    <w:multiLevelType w:val="hybridMultilevel"/>
    <w:tmpl w:val="7730D9CA"/>
    <w:lvl w:ilvl="0" w:tplc="05B44BD6">
      <w:start w:val="2"/>
      <w:numFmt w:val="bullet"/>
      <w:lvlText w:val=""/>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9C054C"/>
    <w:multiLevelType w:val="hybridMultilevel"/>
    <w:tmpl w:val="ECE0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7D7487"/>
    <w:multiLevelType w:val="hybridMultilevel"/>
    <w:tmpl w:val="BAE21F98"/>
    <w:lvl w:ilvl="0" w:tplc="85188D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55A557B"/>
    <w:multiLevelType w:val="hybridMultilevel"/>
    <w:tmpl w:val="01DCA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C518D0"/>
    <w:multiLevelType w:val="hybridMultilevel"/>
    <w:tmpl w:val="820A5AFA"/>
    <w:lvl w:ilvl="0" w:tplc="79B8FF8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72431B"/>
    <w:multiLevelType w:val="hybridMultilevel"/>
    <w:tmpl w:val="8AAAFF0E"/>
    <w:lvl w:ilvl="0" w:tplc="4CCA42F8">
      <w:start w:val="1"/>
      <w:numFmt w:val="bullet"/>
      <w:pStyle w:val="EMoutline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260BB"/>
    <w:multiLevelType w:val="hybridMultilevel"/>
    <w:tmpl w:val="D9A87AB8"/>
    <w:lvl w:ilvl="0" w:tplc="65865B4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45A84"/>
    <w:multiLevelType w:val="hybridMultilevel"/>
    <w:tmpl w:val="7FF4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8627C9"/>
    <w:multiLevelType w:val="hybridMultilevel"/>
    <w:tmpl w:val="A612A3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AB41BBA"/>
    <w:multiLevelType w:val="hybridMultilevel"/>
    <w:tmpl w:val="6364577C"/>
    <w:lvl w:ilvl="0" w:tplc="B2645B6A">
      <w:start w:val="1"/>
      <w:numFmt w:val="lowerLetter"/>
      <w:lvlText w:val="%1)"/>
      <w:lvlJc w:val="left"/>
      <w:pPr>
        <w:ind w:left="774" w:hanging="360"/>
      </w:pPr>
      <w:rPr>
        <w:color w:val="auto"/>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0" w15:restartNumberingAfterBreak="0">
    <w:nsid w:val="7FD84361"/>
    <w:multiLevelType w:val="hybridMultilevel"/>
    <w:tmpl w:val="281408D6"/>
    <w:lvl w:ilvl="0" w:tplc="39D4F964">
      <w:start w:val="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3"/>
  </w:num>
  <w:num w:numId="4">
    <w:abstractNumId w:val="19"/>
  </w:num>
  <w:num w:numId="5">
    <w:abstractNumId w:val="18"/>
  </w:num>
  <w:num w:numId="6">
    <w:abstractNumId w:val="3"/>
  </w:num>
  <w:num w:numId="7">
    <w:abstractNumId w:val="13"/>
  </w:num>
  <w:num w:numId="8">
    <w:abstractNumId w:val="16"/>
  </w:num>
  <w:num w:numId="9">
    <w:abstractNumId w:val="22"/>
  </w:num>
  <w:num w:numId="10">
    <w:abstractNumId w:val="14"/>
  </w:num>
  <w:num w:numId="11">
    <w:abstractNumId w:val="5"/>
  </w:num>
  <w:num w:numId="12">
    <w:abstractNumId w:val="8"/>
  </w:num>
  <w:num w:numId="13">
    <w:abstractNumId w:val="17"/>
  </w:num>
  <w:num w:numId="14">
    <w:abstractNumId w:val="9"/>
  </w:num>
  <w:num w:numId="15">
    <w:abstractNumId w:val="2"/>
  </w:num>
  <w:num w:numId="16">
    <w:abstractNumId w:val="23"/>
  </w:num>
  <w:num w:numId="17">
    <w:abstractNumId w:val="0"/>
  </w:num>
  <w:num w:numId="18">
    <w:abstractNumId w:val="12"/>
  </w:num>
  <w:num w:numId="19">
    <w:abstractNumId w:val="30"/>
  </w:num>
  <w:num w:numId="20">
    <w:abstractNumId w:val="24"/>
  </w:num>
  <w:num w:numId="21">
    <w:abstractNumId w:val="11"/>
  </w:num>
  <w:num w:numId="22">
    <w:abstractNumId w:val="6"/>
  </w:num>
  <w:num w:numId="23">
    <w:abstractNumId w:val="20"/>
  </w:num>
  <w:num w:numId="24">
    <w:abstractNumId w:val="28"/>
  </w:num>
  <w:num w:numId="25">
    <w:abstractNumId w:val="29"/>
  </w:num>
  <w:num w:numId="26">
    <w:abstractNumId w:val="7"/>
    <w:lvlOverride w:ilvl="0">
      <w:startOverride w:val="1"/>
    </w:lvlOverride>
  </w:num>
  <w:num w:numId="27">
    <w:abstractNumId w:val="10"/>
  </w:num>
  <w:num w:numId="28">
    <w:abstractNumId w:val="21"/>
  </w:num>
  <w:num w:numId="29">
    <w:abstractNumId w:val="4"/>
  </w:num>
  <w:num w:numId="30">
    <w:abstractNumId w:val="25"/>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17439"/>
    <w:rsid w:val="00026609"/>
    <w:rsid w:val="0003663A"/>
    <w:rsid w:val="0005731A"/>
    <w:rsid w:val="000605E1"/>
    <w:rsid w:val="000700A8"/>
    <w:rsid w:val="00077DCF"/>
    <w:rsid w:val="00083CA4"/>
    <w:rsid w:val="000930C6"/>
    <w:rsid w:val="000B0DB5"/>
    <w:rsid w:val="000C4BD6"/>
    <w:rsid w:val="000E4B35"/>
    <w:rsid w:val="000E7F58"/>
    <w:rsid w:val="00104FBD"/>
    <w:rsid w:val="001054AF"/>
    <w:rsid w:val="00110D58"/>
    <w:rsid w:val="00112CD0"/>
    <w:rsid w:val="001171CB"/>
    <w:rsid w:val="00117A3A"/>
    <w:rsid w:val="00140C45"/>
    <w:rsid w:val="001434C2"/>
    <w:rsid w:val="00147297"/>
    <w:rsid w:val="0015480B"/>
    <w:rsid w:val="00154E97"/>
    <w:rsid w:val="0017233B"/>
    <w:rsid w:val="00175653"/>
    <w:rsid w:val="001857C3"/>
    <w:rsid w:val="0018773A"/>
    <w:rsid w:val="001939DF"/>
    <w:rsid w:val="001A4FC3"/>
    <w:rsid w:val="001A6735"/>
    <w:rsid w:val="001A6CAC"/>
    <w:rsid w:val="001B7F33"/>
    <w:rsid w:val="001C2484"/>
    <w:rsid w:val="001C514B"/>
    <w:rsid w:val="001D2B2F"/>
    <w:rsid w:val="001D2C80"/>
    <w:rsid w:val="001E63F8"/>
    <w:rsid w:val="00202FCC"/>
    <w:rsid w:val="00206C6B"/>
    <w:rsid w:val="00211E5A"/>
    <w:rsid w:val="0021257B"/>
    <w:rsid w:val="00213D9B"/>
    <w:rsid w:val="00215ED7"/>
    <w:rsid w:val="00216D6C"/>
    <w:rsid w:val="0022727C"/>
    <w:rsid w:val="00227B05"/>
    <w:rsid w:val="00244746"/>
    <w:rsid w:val="00246431"/>
    <w:rsid w:val="00260C8B"/>
    <w:rsid w:val="00265040"/>
    <w:rsid w:val="00272A17"/>
    <w:rsid w:val="00272BA6"/>
    <w:rsid w:val="0027465A"/>
    <w:rsid w:val="002753C5"/>
    <w:rsid w:val="00276E83"/>
    <w:rsid w:val="00277BA3"/>
    <w:rsid w:val="0028688B"/>
    <w:rsid w:val="0029650A"/>
    <w:rsid w:val="002A069C"/>
    <w:rsid w:val="002A1E8B"/>
    <w:rsid w:val="002A58E5"/>
    <w:rsid w:val="002A5CCE"/>
    <w:rsid w:val="002A66EC"/>
    <w:rsid w:val="002B370B"/>
    <w:rsid w:val="002B388C"/>
    <w:rsid w:val="002B6C0F"/>
    <w:rsid w:val="002B705A"/>
    <w:rsid w:val="002C3719"/>
    <w:rsid w:val="002C66CB"/>
    <w:rsid w:val="002D1F6E"/>
    <w:rsid w:val="002D2EDE"/>
    <w:rsid w:val="002E3E0B"/>
    <w:rsid w:val="002F02DD"/>
    <w:rsid w:val="002F05A6"/>
    <w:rsid w:val="0030032F"/>
    <w:rsid w:val="0030796D"/>
    <w:rsid w:val="0032708A"/>
    <w:rsid w:val="00341FC1"/>
    <w:rsid w:val="003438F5"/>
    <w:rsid w:val="00352FA5"/>
    <w:rsid w:val="0035647C"/>
    <w:rsid w:val="00386C5F"/>
    <w:rsid w:val="00392350"/>
    <w:rsid w:val="0039268C"/>
    <w:rsid w:val="00392754"/>
    <w:rsid w:val="003929D9"/>
    <w:rsid w:val="00394127"/>
    <w:rsid w:val="003B36D4"/>
    <w:rsid w:val="003C0EB5"/>
    <w:rsid w:val="003C107F"/>
    <w:rsid w:val="003C30F6"/>
    <w:rsid w:val="003D0953"/>
    <w:rsid w:val="003E254F"/>
    <w:rsid w:val="003F3790"/>
    <w:rsid w:val="003F6CD5"/>
    <w:rsid w:val="004045BF"/>
    <w:rsid w:val="00405C04"/>
    <w:rsid w:val="00406E7B"/>
    <w:rsid w:val="00411FB7"/>
    <w:rsid w:val="00417559"/>
    <w:rsid w:val="00417D6D"/>
    <w:rsid w:val="004217AE"/>
    <w:rsid w:val="00447858"/>
    <w:rsid w:val="0045272B"/>
    <w:rsid w:val="0046108B"/>
    <w:rsid w:val="00467353"/>
    <w:rsid w:val="00471E72"/>
    <w:rsid w:val="00474081"/>
    <w:rsid w:val="004759AC"/>
    <w:rsid w:val="004801EE"/>
    <w:rsid w:val="00494228"/>
    <w:rsid w:val="00496432"/>
    <w:rsid w:val="00496F86"/>
    <w:rsid w:val="004B48EC"/>
    <w:rsid w:val="004C5AAC"/>
    <w:rsid w:val="004D0C97"/>
    <w:rsid w:val="004D5394"/>
    <w:rsid w:val="004D5AB6"/>
    <w:rsid w:val="004D7BE7"/>
    <w:rsid w:val="004E72C4"/>
    <w:rsid w:val="004E7FC8"/>
    <w:rsid w:val="0050121E"/>
    <w:rsid w:val="00504A96"/>
    <w:rsid w:val="0051446D"/>
    <w:rsid w:val="005218AB"/>
    <w:rsid w:val="005259C2"/>
    <w:rsid w:val="00526EBB"/>
    <w:rsid w:val="00540D9B"/>
    <w:rsid w:val="00540DAE"/>
    <w:rsid w:val="005457E2"/>
    <w:rsid w:val="00553666"/>
    <w:rsid w:val="0056172E"/>
    <w:rsid w:val="005618C5"/>
    <w:rsid w:val="00565127"/>
    <w:rsid w:val="005732A4"/>
    <w:rsid w:val="00591483"/>
    <w:rsid w:val="00591655"/>
    <w:rsid w:val="005928C7"/>
    <w:rsid w:val="005A0C33"/>
    <w:rsid w:val="005A1089"/>
    <w:rsid w:val="005A27E8"/>
    <w:rsid w:val="005B1BE5"/>
    <w:rsid w:val="005B488F"/>
    <w:rsid w:val="005C0BBA"/>
    <w:rsid w:val="005C6D09"/>
    <w:rsid w:val="005D35F1"/>
    <w:rsid w:val="0061040A"/>
    <w:rsid w:val="00610A12"/>
    <w:rsid w:val="00613047"/>
    <w:rsid w:val="00613DFD"/>
    <w:rsid w:val="00614F7F"/>
    <w:rsid w:val="0061692A"/>
    <w:rsid w:val="00633EA8"/>
    <w:rsid w:val="00641FCD"/>
    <w:rsid w:val="006431BA"/>
    <w:rsid w:val="0066122B"/>
    <w:rsid w:val="00662AE2"/>
    <w:rsid w:val="00666C66"/>
    <w:rsid w:val="00676095"/>
    <w:rsid w:val="006A2FDA"/>
    <w:rsid w:val="006B042D"/>
    <w:rsid w:val="006B0928"/>
    <w:rsid w:val="006B13ED"/>
    <w:rsid w:val="006B3A25"/>
    <w:rsid w:val="006C034D"/>
    <w:rsid w:val="006C3C73"/>
    <w:rsid w:val="006D63A5"/>
    <w:rsid w:val="006E5815"/>
    <w:rsid w:val="006F291C"/>
    <w:rsid w:val="00701B55"/>
    <w:rsid w:val="00704CF9"/>
    <w:rsid w:val="00704F95"/>
    <w:rsid w:val="00707C7E"/>
    <w:rsid w:val="00710B53"/>
    <w:rsid w:val="007156D5"/>
    <w:rsid w:val="00716043"/>
    <w:rsid w:val="007173E9"/>
    <w:rsid w:val="00723A0C"/>
    <w:rsid w:val="007372B6"/>
    <w:rsid w:val="0074491E"/>
    <w:rsid w:val="007610E9"/>
    <w:rsid w:val="00762A6D"/>
    <w:rsid w:val="00767BA3"/>
    <w:rsid w:val="00774AF4"/>
    <w:rsid w:val="0079157D"/>
    <w:rsid w:val="00791792"/>
    <w:rsid w:val="00791E78"/>
    <w:rsid w:val="0079440A"/>
    <w:rsid w:val="007C5293"/>
    <w:rsid w:val="007E1724"/>
    <w:rsid w:val="007E49C4"/>
    <w:rsid w:val="007F2D22"/>
    <w:rsid w:val="007F3BDC"/>
    <w:rsid w:val="007F3E9F"/>
    <w:rsid w:val="007F6532"/>
    <w:rsid w:val="00803DD9"/>
    <w:rsid w:val="00806073"/>
    <w:rsid w:val="00806BC1"/>
    <w:rsid w:val="00815401"/>
    <w:rsid w:val="008227D3"/>
    <w:rsid w:val="00832CA3"/>
    <w:rsid w:val="00840CC1"/>
    <w:rsid w:val="00852A3F"/>
    <w:rsid w:val="008678FD"/>
    <w:rsid w:val="0087065E"/>
    <w:rsid w:val="0087482F"/>
    <w:rsid w:val="00882883"/>
    <w:rsid w:val="00890AC3"/>
    <w:rsid w:val="00891F6B"/>
    <w:rsid w:val="00893306"/>
    <w:rsid w:val="00895C3D"/>
    <w:rsid w:val="008A7DF1"/>
    <w:rsid w:val="008B6058"/>
    <w:rsid w:val="008C064B"/>
    <w:rsid w:val="008E059A"/>
    <w:rsid w:val="008E08BD"/>
    <w:rsid w:val="008E5B30"/>
    <w:rsid w:val="00903855"/>
    <w:rsid w:val="0090644A"/>
    <w:rsid w:val="009127B2"/>
    <w:rsid w:val="00916C6C"/>
    <w:rsid w:val="0091701B"/>
    <w:rsid w:val="009207BF"/>
    <w:rsid w:val="00923C3F"/>
    <w:rsid w:val="00924166"/>
    <w:rsid w:val="00926C8D"/>
    <w:rsid w:val="0093455D"/>
    <w:rsid w:val="0093557B"/>
    <w:rsid w:val="00940474"/>
    <w:rsid w:val="00941B43"/>
    <w:rsid w:val="00946632"/>
    <w:rsid w:val="00952262"/>
    <w:rsid w:val="009544E5"/>
    <w:rsid w:val="0095553C"/>
    <w:rsid w:val="00976FED"/>
    <w:rsid w:val="0098033C"/>
    <w:rsid w:val="0098243A"/>
    <w:rsid w:val="009A008A"/>
    <w:rsid w:val="009A0DD4"/>
    <w:rsid w:val="009A5676"/>
    <w:rsid w:val="009B38B8"/>
    <w:rsid w:val="009E4818"/>
    <w:rsid w:val="009F561C"/>
    <w:rsid w:val="00A230BB"/>
    <w:rsid w:val="00A23A76"/>
    <w:rsid w:val="00A2654A"/>
    <w:rsid w:val="00A267B2"/>
    <w:rsid w:val="00A4431F"/>
    <w:rsid w:val="00A50764"/>
    <w:rsid w:val="00A52638"/>
    <w:rsid w:val="00A54AE2"/>
    <w:rsid w:val="00A618B8"/>
    <w:rsid w:val="00A723F7"/>
    <w:rsid w:val="00A73390"/>
    <w:rsid w:val="00A763F0"/>
    <w:rsid w:val="00A7716D"/>
    <w:rsid w:val="00A80501"/>
    <w:rsid w:val="00A90B2B"/>
    <w:rsid w:val="00A950C9"/>
    <w:rsid w:val="00A96F62"/>
    <w:rsid w:val="00A97916"/>
    <w:rsid w:val="00AB015A"/>
    <w:rsid w:val="00AC70BF"/>
    <w:rsid w:val="00AD75D2"/>
    <w:rsid w:val="00AE3400"/>
    <w:rsid w:val="00AE66C7"/>
    <w:rsid w:val="00AF1273"/>
    <w:rsid w:val="00AF2A84"/>
    <w:rsid w:val="00B02791"/>
    <w:rsid w:val="00B035C2"/>
    <w:rsid w:val="00B042E1"/>
    <w:rsid w:val="00B070AC"/>
    <w:rsid w:val="00B13BB0"/>
    <w:rsid w:val="00B143CF"/>
    <w:rsid w:val="00B16F19"/>
    <w:rsid w:val="00B27E89"/>
    <w:rsid w:val="00B347E0"/>
    <w:rsid w:val="00B36DDE"/>
    <w:rsid w:val="00B45E88"/>
    <w:rsid w:val="00B51AC6"/>
    <w:rsid w:val="00B52775"/>
    <w:rsid w:val="00B54ED1"/>
    <w:rsid w:val="00B56768"/>
    <w:rsid w:val="00B66E13"/>
    <w:rsid w:val="00B720BA"/>
    <w:rsid w:val="00B7365F"/>
    <w:rsid w:val="00B908E1"/>
    <w:rsid w:val="00B93315"/>
    <w:rsid w:val="00BA6F3F"/>
    <w:rsid w:val="00BC117A"/>
    <w:rsid w:val="00BC4EA8"/>
    <w:rsid w:val="00BD5D49"/>
    <w:rsid w:val="00BE52F6"/>
    <w:rsid w:val="00BF156A"/>
    <w:rsid w:val="00C05B9E"/>
    <w:rsid w:val="00C06DD6"/>
    <w:rsid w:val="00C263B3"/>
    <w:rsid w:val="00C3511D"/>
    <w:rsid w:val="00C35219"/>
    <w:rsid w:val="00C47406"/>
    <w:rsid w:val="00C478BA"/>
    <w:rsid w:val="00C7282E"/>
    <w:rsid w:val="00C76285"/>
    <w:rsid w:val="00C76FA8"/>
    <w:rsid w:val="00C84038"/>
    <w:rsid w:val="00C97892"/>
    <w:rsid w:val="00CA03EC"/>
    <w:rsid w:val="00CB038B"/>
    <w:rsid w:val="00CC0CD2"/>
    <w:rsid w:val="00CC760E"/>
    <w:rsid w:val="00CD1E04"/>
    <w:rsid w:val="00CD1E62"/>
    <w:rsid w:val="00CD28DE"/>
    <w:rsid w:val="00CD3D7C"/>
    <w:rsid w:val="00CD5389"/>
    <w:rsid w:val="00CD5A08"/>
    <w:rsid w:val="00D009F7"/>
    <w:rsid w:val="00D040D1"/>
    <w:rsid w:val="00D12AB8"/>
    <w:rsid w:val="00D1492B"/>
    <w:rsid w:val="00D15EEE"/>
    <w:rsid w:val="00D24AA0"/>
    <w:rsid w:val="00D33D60"/>
    <w:rsid w:val="00D509B8"/>
    <w:rsid w:val="00D53224"/>
    <w:rsid w:val="00D5362B"/>
    <w:rsid w:val="00D561B7"/>
    <w:rsid w:val="00D622A0"/>
    <w:rsid w:val="00D72348"/>
    <w:rsid w:val="00D82908"/>
    <w:rsid w:val="00D840F4"/>
    <w:rsid w:val="00DA5F25"/>
    <w:rsid w:val="00DB7F27"/>
    <w:rsid w:val="00DD21F5"/>
    <w:rsid w:val="00DE3690"/>
    <w:rsid w:val="00DF2CAB"/>
    <w:rsid w:val="00DF3F9D"/>
    <w:rsid w:val="00DF7359"/>
    <w:rsid w:val="00DF7DFE"/>
    <w:rsid w:val="00E07ACD"/>
    <w:rsid w:val="00E12908"/>
    <w:rsid w:val="00E15E4A"/>
    <w:rsid w:val="00E25768"/>
    <w:rsid w:val="00E36A38"/>
    <w:rsid w:val="00E4620D"/>
    <w:rsid w:val="00E52F6E"/>
    <w:rsid w:val="00E61275"/>
    <w:rsid w:val="00E62DB0"/>
    <w:rsid w:val="00E64DA9"/>
    <w:rsid w:val="00E71D34"/>
    <w:rsid w:val="00E7239B"/>
    <w:rsid w:val="00E902F3"/>
    <w:rsid w:val="00E93AED"/>
    <w:rsid w:val="00E97FF9"/>
    <w:rsid w:val="00EA26C6"/>
    <w:rsid w:val="00EB26F0"/>
    <w:rsid w:val="00EC1A8C"/>
    <w:rsid w:val="00EC5AD5"/>
    <w:rsid w:val="00EE1C8E"/>
    <w:rsid w:val="00EF0F7B"/>
    <w:rsid w:val="00F05AF7"/>
    <w:rsid w:val="00F25839"/>
    <w:rsid w:val="00F27630"/>
    <w:rsid w:val="00F27ABD"/>
    <w:rsid w:val="00F27DEA"/>
    <w:rsid w:val="00F30263"/>
    <w:rsid w:val="00F30300"/>
    <w:rsid w:val="00F306CA"/>
    <w:rsid w:val="00F33D82"/>
    <w:rsid w:val="00F43157"/>
    <w:rsid w:val="00F52AB7"/>
    <w:rsid w:val="00F5674F"/>
    <w:rsid w:val="00F61025"/>
    <w:rsid w:val="00F6347D"/>
    <w:rsid w:val="00F63AE6"/>
    <w:rsid w:val="00F64111"/>
    <w:rsid w:val="00F66430"/>
    <w:rsid w:val="00F74FD1"/>
    <w:rsid w:val="00F77137"/>
    <w:rsid w:val="00F82470"/>
    <w:rsid w:val="00F85FB2"/>
    <w:rsid w:val="00F96DE4"/>
    <w:rsid w:val="00F96DF9"/>
    <w:rsid w:val="00FA0385"/>
    <w:rsid w:val="00FA2A98"/>
    <w:rsid w:val="00FA484C"/>
    <w:rsid w:val="00FA6BEE"/>
    <w:rsid w:val="00FB3FDC"/>
    <w:rsid w:val="00FB6887"/>
    <w:rsid w:val="00FC28C6"/>
    <w:rsid w:val="00FC30EF"/>
    <w:rsid w:val="00FC6083"/>
    <w:rsid w:val="00FD396F"/>
    <w:rsid w:val="00FE04E3"/>
    <w:rsid w:val="00FE5879"/>
    <w:rsid w:val="00FF277E"/>
    <w:rsid w:val="00FF4714"/>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1">
    <w:name w:val="heading 1"/>
    <w:basedOn w:val="Normal"/>
    <w:next w:val="Normal"/>
    <w:link w:val="Heading1Char"/>
    <w:uiPriority w:val="9"/>
    <w:qFormat/>
    <w:rsid w:val="00B54E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paragraph" w:styleId="Heading5">
    <w:name w:val="heading 5"/>
    <w:basedOn w:val="Normal"/>
    <w:next w:val="Normal"/>
    <w:link w:val="Heading5Char"/>
    <w:uiPriority w:val="9"/>
    <w:semiHidden/>
    <w:unhideWhenUsed/>
    <w:qFormat/>
    <w:rsid w:val="001D2B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525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9C2"/>
    <w:rPr>
      <w:sz w:val="20"/>
      <w:szCs w:val="20"/>
    </w:rPr>
  </w:style>
  <w:style w:type="character" w:styleId="FootnoteReference">
    <w:name w:val="footnote reference"/>
    <w:basedOn w:val="DefaultParagraphFont"/>
    <w:uiPriority w:val="99"/>
    <w:semiHidden/>
    <w:unhideWhenUsed/>
    <w:rsid w:val="005259C2"/>
    <w:rPr>
      <w:vertAlign w:val="superscript"/>
    </w:rPr>
  </w:style>
  <w:style w:type="paragraph" w:styleId="BodyText">
    <w:name w:val="Body Text"/>
    <w:basedOn w:val="Normal"/>
    <w:link w:val="BodyTextChar"/>
    <w:uiPriority w:val="1"/>
    <w:qFormat/>
    <w:rsid w:val="00260C8B"/>
    <w:pPr>
      <w:spacing w:before="120" w:after="120" w:line="264" w:lineRule="auto"/>
    </w:pPr>
    <w:rPr>
      <w:rFonts w:eastAsia="Times New Roman" w:cs="Times New Roman"/>
      <w:sz w:val="20"/>
      <w:szCs w:val="24"/>
      <w:lang w:val="en-AU" w:eastAsia="en-AU"/>
    </w:rPr>
  </w:style>
  <w:style w:type="character" w:customStyle="1" w:styleId="BodyTextChar">
    <w:name w:val="Body Text Char"/>
    <w:basedOn w:val="DefaultParagraphFont"/>
    <w:link w:val="BodyText"/>
    <w:uiPriority w:val="1"/>
    <w:rsid w:val="00260C8B"/>
    <w:rPr>
      <w:rFonts w:eastAsia="Times New Roman" w:cs="Times New Roman"/>
      <w:sz w:val="20"/>
      <w:szCs w:val="24"/>
      <w:lang w:val="en-AU" w:eastAsia="en-AU"/>
    </w:rPr>
  </w:style>
  <w:style w:type="character" w:styleId="PlaceholderText">
    <w:name w:val="Placeholder Text"/>
    <w:basedOn w:val="DefaultParagraphFont"/>
    <w:uiPriority w:val="99"/>
    <w:semiHidden/>
    <w:rsid w:val="00B54ED1"/>
    <w:rPr>
      <w:color w:val="808080"/>
    </w:rPr>
  </w:style>
  <w:style w:type="paragraph" w:styleId="Title">
    <w:name w:val="Title"/>
    <w:basedOn w:val="Heading1"/>
    <w:next w:val="BodyText"/>
    <w:link w:val="TitleChar"/>
    <w:qFormat/>
    <w:rsid w:val="00B54ED1"/>
    <w:pPr>
      <w:widowControl w:val="0"/>
      <w:spacing w:before="0" w:after="360" w:line="264" w:lineRule="auto"/>
    </w:pPr>
    <w:rPr>
      <w:rFonts w:eastAsia="Times New Roman" w:cs="Arial"/>
      <w:b/>
      <w:bCs/>
      <w:color w:val="5B9BD5" w:themeColor="accent1"/>
      <w:sz w:val="52"/>
      <w:szCs w:val="40"/>
      <w:lang w:val="en-AU" w:eastAsia="en-AU"/>
    </w:rPr>
  </w:style>
  <w:style w:type="character" w:customStyle="1" w:styleId="TitleChar">
    <w:name w:val="Title Char"/>
    <w:basedOn w:val="DefaultParagraphFont"/>
    <w:link w:val="Title"/>
    <w:rsid w:val="00B54ED1"/>
    <w:rPr>
      <w:rFonts w:asciiTheme="majorHAnsi" w:eastAsia="Times New Roman" w:hAnsiTheme="majorHAnsi" w:cs="Arial"/>
      <w:b/>
      <w:bCs/>
      <w:color w:val="5B9BD5" w:themeColor="accent1"/>
      <w:sz w:val="52"/>
      <w:szCs w:val="40"/>
      <w:lang w:val="en-AU" w:eastAsia="en-AU"/>
    </w:rPr>
  </w:style>
  <w:style w:type="table" w:styleId="TableGridLight">
    <w:name w:val="Grid Table Light"/>
    <w:basedOn w:val="TableNormal"/>
    <w:uiPriority w:val="40"/>
    <w:rsid w:val="00B54ED1"/>
    <w:pPr>
      <w:spacing w:before="80" w:after="0" w:line="240" w:lineRule="auto"/>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B54ED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509B8"/>
    <w:rPr>
      <w:rFonts w:cs="Times New Roman"/>
      <w:b/>
      <w:bCs/>
    </w:rPr>
  </w:style>
  <w:style w:type="paragraph" w:customStyle="1" w:styleId="ActHead7">
    <w:name w:val="ActHead 7"/>
    <w:aliases w:val="ap"/>
    <w:basedOn w:val="Normal"/>
    <w:next w:val="ItemHead"/>
    <w:qFormat/>
    <w:rsid w:val="00D509B8"/>
    <w:pPr>
      <w:keepNext/>
      <w:keepLines/>
      <w:spacing w:before="280" w:after="0" w:line="240" w:lineRule="auto"/>
      <w:ind w:left="1134" w:hanging="1134"/>
      <w:outlineLvl w:val="6"/>
    </w:pPr>
    <w:rPr>
      <w:rFonts w:ascii="Arial" w:eastAsiaTheme="minorEastAsia" w:hAnsi="Arial" w:cs="Arial"/>
      <w:b/>
      <w:bCs/>
      <w:kern w:val="28"/>
      <w:sz w:val="28"/>
      <w:szCs w:val="28"/>
      <w:lang w:val="en-AU" w:eastAsia="en-AU"/>
    </w:rPr>
  </w:style>
  <w:style w:type="character" w:customStyle="1" w:styleId="CharAmPartNo">
    <w:name w:val="CharAmPartNo"/>
    <w:basedOn w:val="DefaultParagraphFont"/>
    <w:qFormat/>
    <w:rsid w:val="00D509B8"/>
    <w:rPr>
      <w:rFonts w:ascii="Times New Roman" w:hAnsi="Times New Roman" w:cs="Times New Roman"/>
    </w:rPr>
  </w:style>
  <w:style w:type="paragraph" w:customStyle="1" w:styleId="notedraft">
    <w:name w:val="note(draft)"/>
    <w:aliases w:val="nd"/>
    <w:basedOn w:val="Normal"/>
    <w:rsid w:val="00D509B8"/>
    <w:pPr>
      <w:spacing w:before="240" w:after="0" w:line="240" w:lineRule="auto"/>
      <w:ind w:left="284" w:hanging="284"/>
    </w:pPr>
    <w:rPr>
      <w:rFonts w:ascii="Times New Roman" w:eastAsiaTheme="minorEastAsia" w:hAnsi="Times New Roman" w:cs="Times New Roman"/>
      <w:i/>
      <w:iCs/>
      <w:sz w:val="24"/>
      <w:szCs w:val="24"/>
      <w:lang w:val="en-AU" w:eastAsia="en-AU"/>
    </w:rPr>
  </w:style>
  <w:style w:type="paragraph" w:customStyle="1" w:styleId="paragraph">
    <w:name w:val="paragraph"/>
    <w:aliases w:val="a"/>
    <w:basedOn w:val="Normal"/>
    <w:link w:val="paragraphChar"/>
    <w:rsid w:val="00D509B8"/>
    <w:pPr>
      <w:tabs>
        <w:tab w:val="right" w:pos="1531"/>
      </w:tabs>
      <w:spacing w:before="40" w:after="0" w:line="240" w:lineRule="auto"/>
      <w:ind w:left="1644" w:hanging="1644"/>
    </w:pPr>
    <w:rPr>
      <w:rFonts w:ascii="Times New Roman" w:eastAsiaTheme="minorEastAsia" w:hAnsi="Times New Roman" w:cs="Times New Roman"/>
      <w:szCs w:val="20"/>
      <w:lang w:val="en-AU" w:eastAsia="en-AU"/>
    </w:rPr>
  </w:style>
  <w:style w:type="character" w:customStyle="1" w:styleId="paragraphChar">
    <w:name w:val="paragraph Char"/>
    <w:aliases w:val="a Char"/>
    <w:link w:val="paragraph"/>
    <w:rsid w:val="00D509B8"/>
    <w:rPr>
      <w:rFonts w:ascii="Times New Roman" w:eastAsiaTheme="minorEastAsia" w:hAnsi="Times New Roman" w:cs="Times New Roman"/>
      <w:szCs w:val="20"/>
      <w:lang w:val="en-AU" w:eastAsia="en-AU"/>
    </w:rPr>
  </w:style>
  <w:style w:type="character" w:customStyle="1" w:styleId="CharAmPartText">
    <w:name w:val="CharAmPartText"/>
    <w:basedOn w:val="DefaultParagraphFont"/>
    <w:qFormat/>
    <w:rsid w:val="00D509B8"/>
  </w:style>
  <w:style w:type="paragraph" w:customStyle="1" w:styleId="paragraphsub-sub">
    <w:name w:val="paragraph(sub-sub)"/>
    <w:aliases w:val="aaa"/>
    <w:basedOn w:val="Normal"/>
    <w:rsid w:val="00D509B8"/>
    <w:pPr>
      <w:tabs>
        <w:tab w:val="right" w:pos="2722"/>
      </w:tabs>
      <w:spacing w:before="40" w:after="0" w:line="240" w:lineRule="auto"/>
      <w:ind w:left="2835" w:hanging="2835"/>
    </w:pPr>
    <w:rPr>
      <w:rFonts w:ascii="Times New Roman" w:eastAsia="Times New Roman" w:hAnsi="Times New Roman" w:cs="Times New Roman"/>
      <w:szCs w:val="20"/>
      <w:lang w:val="en-AU" w:eastAsia="en-AU"/>
    </w:rPr>
  </w:style>
  <w:style w:type="paragraph" w:customStyle="1" w:styleId="Item">
    <w:name w:val="Item"/>
    <w:aliases w:val="i"/>
    <w:basedOn w:val="Normal"/>
    <w:next w:val="ItemHead"/>
    <w:rsid w:val="00D509B8"/>
    <w:pPr>
      <w:keepLines/>
      <w:spacing w:before="80" w:after="0" w:line="240" w:lineRule="auto"/>
      <w:ind w:left="709"/>
    </w:pPr>
    <w:rPr>
      <w:rFonts w:ascii="Times New Roman" w:eastAsia="Times New Roman" w:hAnsi="Times New Roman" w:cs="Times New Roman"/>
      <w:szCs w:val="20"/>
      <w:lang w:val="en-AU" w:eastAsia="en-AU"/>
    </w:rPr>
  </w:style>
  <w:style w:type="paragraph" w:styleId="NormalWeb">
    <w:name w:val="Normal (Web)"/>
    <w:basedOn w:val="Normal"/>
    <w:uiPriority w:val="99"/>
    <w:semiHidden/>
    <w:unhideWhenUsed/>
    <w:rsid w:val="00FA484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INumberedParagraph">
    <w:name w:val="DI Numbered Paragraph"/>
    <w:basedOn w:val="Normal"/>
    <w:rsid w:val="00BA6F3F"/>
    <w:pPr>
      <w:numPr>
        <w:numId w:val="26"/>
      </w:numPr>
      <w:tabs>
        <w:tab w:val="left" w:pos="567"/>
      </w:tabs>
      <w:spacing w:after="240" w:line="240" w:lineRule="auto"/>
    </w:pPr>
    <w:rPr>
      <w:rFonts w:ascii="Times New Roman" w:eastAsia="Times New Roman" w:hAnsi="Times New Roman" w:cs="Times New Roman"/>
      <w:sz w:val="24"/>
      <w:szCs w:val="20"/>
      <w:lang w:val="en-AU" w:eastAsia="en-AU"/>
    </w:rPr>
  </w:style>
  <w:style w:type="character" w:customStyle="1" w:styleId="Heading5Char">
    <w:name w:val="Heading 5 Char"/>
    <w:basedOn w:val="DefaultParagraphFont"/>
    <w:link w:val="Heading5"/>
    <w:uiPriority w:val="9"/>
    <w:semiHidden/>
    <w:rsid w:val="001D2B2F"/>
    <w:rPr>
      <w:rFonts w:asciiTheme="majorHAnsi" w:eastAsiaTheme="majorEastAsia" w:hAnsiTheme="majorHAnsi" w:cstheme="majorBidi"/>
      <w:color w:val="2E74B5" w:themeColor="accent1" w:themeShade="BF"/>
    </w:rPr>
  </w:style>
  <w:style w:type="paragraph" w:customStyle="1" w:styleId="ActHead2">
    <w:name w:val="ActHead 2"/>
    <w:aliases w:val="p"/>
    <w:basedOn w:val="Normal"/>
    <w:next w:val="Normal"/>
    <w:qFormat/>
    <w:rsid w:val="00CD3D7C"/>
    <w:pPr>
      <w:keepNext/>
      <w:keepLines/>
      <w:spacing w:before="280" w:after="0" w:line="240" w:lineRule="auto"/>
      <w:ind w:left="1134" w:hanging="1134"/>
      <w:outlineLvl w:val="1"/>
    </w:pPr>
    <w:rPr>
      <w:rFonts w:ascii="Times New Roman" w:eastAsia="Times New Roman" w:hAnsi="Times New Roman" w:cs="Times New Roman"/>
      <w:b/>
      <w:kern w:val="28"/>
      <w:sz w:val="32"/>
      <w:szCs w:val="20"/>
      <w:lang w:val="en-AU" w:eastAsia="en-AU"/>
    </w:rPr>
  </w:style>
  <w:style w:type="paragraph" w:customStyle="1" w:styleId="ActHead5">
    <w:name w:val="ActHead 5"/>
    <w:aliases w:val="s"/>
    <w:basedOn w:val="Normal"/>
    <w:next w:val="Normal"/>
    <w:link w:val="ActHead5Char"/>
    <w:qFormat/>
    <w:rsid w:val="00CD3D7C"/>
    <w:pPr>
      <w:keepNext/>
      <w:keepLines/>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character" w:customStyle="1" w:styleId="CharPartNo">
    <w:name w:val="CharPartNo"/>
    <w:basedOn w:val="DefaultParagraphFont"/>
    <w:uiPriority w:val="1"/>
    <w:qFormat/>
    <w:rsid w:val="00CD3D7C"/>
  </w:style>
  <w:style w:type="character" w:customStyle="1" w:styleId="CharPartText">
    <w:name w:val="CharPartText"/>
    <w:basedOn w:val="DefaultParagraphFont"/>
    <w:uiPriority w:val="1"/>
    <w:qFormat/>
    <w:rsid w:val="00CD3D7C"/>
  </w:style>
  <w:style w:type="character" w:customStyle="1" w:styleId="CharSectno">
    <w:name w:val="CharSectno"/>
    <w:basedOn w:val="DefaultParagraphFont"/>
    <w:qFormat/>
    <w:rsid w:val="00CD3D7C"/>
  </w:style>
  <w:style w:type="character" w:customStyle="1" w:styleId="ActHead5Char">
    <w:name w:val="ActHead 5 Char"/>
    <w:aliases w:val="s Char"/>
    <w:link w:val="ActHead5"/>
    <w:rsid w:val="00CD3D7C"/>
    <w:rPr>
      <w:rFonts w:ascii="Times New Roman" w:eastAsia="Times New Roman" w:hAnsi="Times New Roman" w:cs="Times New Roman"/>
      <w:b/>
      <w:kern w:val="28"/>
      <w:sz w:val="24"/>
      <w:szCs w:val="20"/>
      <w:lang w:val="en-AU" w:eastAsia="en-AU"/>
    </w:rPr>
  </w:style>
  <w:style w:type="paragraph" w:customStyle="1" w:styleId="EMclausenotes">
    <w:name w:val="EM clause notes"/>
    <w:basedOn w:val="Normal"/>
    <w:qFormat/>
    <w:rsid w:val="0050121E"/>
    <w:pPr>
      <w:spacing w:before="120" w:after="240" w:line="240" w:lineRule="auto"/>
      <w:ind w:right="91"/>
    </w:pPr>
    <w:rPr>
      <w:rFonts w:ascii="Times New Roman" w:eastAsiaTheme="minorEastAsia" w:hAnsi="Times New Roman" w:cs="Times New Roman"/>
      <w:sz w:val="24"/>
      <w:szCs w:val="24"/>
      <w:lang w:val="en-AU" w:eastAsia="en-AU"/>
    </w:rPr>
  </w:style>
  <w:style w:type="paragraph" w:customStyle="1" w:styleId="EMitemheader">
    <w:name w:val="EM item header"/>
    <w:basedOn w:val="Normal"/>
    <w:qFormat/>
    <w:rsid w:val="0050121E"/>
    <w:pPr>
      <w:keepNext/>
      <w:tabs>
        <w:tab w:val="left" w:pos="6023"/>
      </w:tabs>
      <w:spacing w:before="240" w:after="120" w:line="240" w:lineRule="auto"/>
    </w:pPr>
    <w:rPr>
      <w:rFonts w:ascii="Times New Roman" w:eastAsiaTheme="minorEastAsia" w:hAnsi="Times New Roman" w:cs="Times New Roman"/>
      <w:b/>
      <w:sz w:val="24"/>
      <w:szCs w:val="24"/>
      <w:lang w:val="en-AU" w:eastAsia="en-AU"/>
    </w:rPr>
  </w:style>
  <w:style w:type="character" w:customStyle="1" w:styleId="Acttitle">
    <w:name w:val="Act title"/>
    <w:basedOn w:val="DefaultParagraphFont"/>
    <w:uiPriority w:val="1"/>
    <w:qFormat/>
    <w:rsid w:val="00A950C9"/>
    <w:rPr>
      <w:rFonts w:ascii="Times New Roman" w:eastAsia="Times New Roman" w:hAnsi="Times New Roman" w:cs="Times New Roman"/>
      <w:i/>
      <w:sz w:val="24"/>
      <w:szCs w:val="24"/>
      <w:lang w:val="en-AU" w:eastAsia="en-AU"/>
    </w:rPr>
  </w:style>
  <w:style w:type="paragraph" w:customStyle="1" w:styleId="EMoutlinetext">
    <w:name w:val="EM outline text"/>
    <w:basedOn w:val="Normal"/>
    <w:qFormat/>
    <w:rsid w:val="00D53224"/>
    <w:pPr>
      <w:spacing w:after="120" w:line="276" w:lineRule="auto"/>
    </w:pPr>
    <w:rPr>
      <w:rFonts w:ascii="Times New Roman" w:eastAsia="Times New Roman" w:hAnsi="Times New Roman" w:cs="Times New Roman"/>
      <w:sz w:val="24"/>
      <w:szCs w:val="24"/>
      <w:lang w:val="en-AU" w:eastAsia="en-AU"/>
    </w:rPr>
  </w:style>
  <w:style w:type="paragraph" w:customStyle="1" w:styleId="EMoutlinebullet">
    <w:name w:val="EM outline bullet"/>
    <w:basedOn w:val="ListParagraph"/>
    <w:qFormat/>
    <w:rsid w:val="00D53224"/>
    <w:pPr>
      <w:numPr>
        <w:numId w:val="3"/>
      </w:numPr>
      <w:tabs>
        <w:tab w:val="clear" w:pos="360"/>
        <w:tab w:val="num" w:pos="720"/>
      </w:tabs>
      <w:spacing w:after="120" w:line="276" w:lineRule="auto"/>
      <w:ind w:left="714" w:right="91" w:hanging="357"/>
      <w:contextualSpacing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7919">
      <w:bodyDiv w:val="1"/>
      <w:marLeft w:val="0"/>
      <w:marRight w:val="0"/>
      <w:marTop w:val="0"/>
      <w:marBottom w:val="0"/>
      <w:divBdr>
        <w:top w:val="none" w:sz="0" w:space="0" w:color="auto"/>
        <w:left w:val="none" w:sz="0" w:space="0" w:color="auto"/>
        <w:bottom w:val="none" w:sz="0" w:space="0" w:color="auto"/>
        <w:right w:val="none" w:sz="0" w:space="0" w:color="auto"/>
      </w:divBdr>
    </w:div>
    <w:div w:id="296422231">
      <w:bodyDiv w:val="1"/>
      <w:marLeft w:val="0"/>
      <w:marRight w:val="0"/>
      <w:marTop w:val="0"/>
      <w:marBottom w:val="0"/>
      <w:divBdr>
        <w:top w:val="none" w:sz="0" w:space="0" w:color="auto"/>
        <w:left w:val="none" w:sz="0" w:space="0" w:color="auto"/>
        <w:bottom w:val="none" w:sz="0" w:space="0" w:color="auto"/>
        <w:right w:val="none" w:sz="0" w:space="0" w:color="auto"/>
      </w:divBdr>
    </w:div>
    <w:div w:id="423965831">
      <w:bodyDiv w:val="1"/>
      <w:marLeft w:val="0"/>
      <w:marRight w:val="0"/>
      <w:marTop w:val="0"/>
      <w:marBottom w:val="0"/>
      <w:divBdr>
        <w:top w:val="none" w:sz="0" w:space="0" w:color="auto"/>
        <w:left w:val="none" w:sz="0" w:space="0" w:color="auto"/>
        <w:bottom w:val="none" w:sz="0" w:space="0" w:color="auto"/>
        <w:right w:val="none" w:sz="0" w:space="0" w:color="auto"/>
      </w:divBdr>
    </w:div>
    <w:div w:id="430049630">
      <w:bodyDiv w:val="1"/>
      <w:marLeft w:val="0"/>
      <w:marRight w:val="0"/>
      <w:marTop w:val="0"/>
      <w:marBottom w:val="0"/>
      <w:divBdr>
        <w:top w:val="none" w:sz="0" w:space="0" w:color="auto"/>
        <w:left w:val="none" w:sz="0" w:space="0" w:color="auto"/>
        <w:bottom w:val="none" w:sz="0" w:space="0" w:color="auto"/>
        <w:right w:val="none" w:sz="0" w:space="0" w:color="auto"/>
      </w:divBdr>
    </w:div>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719551585">
      <w:bodyDiv w:val="1"/>
      <w:marLeft w:val="0"/>
      <w:marRight w:val="0"/>
      <w:marTop w:val="0"/>
      <w:marBottom w:val="0"/>
      <w:divBdr>
        <w:top w:val="none" w:sz="0" w:space="0" w:color="auto"/>
        <w:left w:val="none" w:sz="0" w:space="0" w:color="auto"/>
        <w:bottom w:val="none" w:sz="0" w:space="0" w:color="auto"/>
        <w:right w:val="none" w:sz="0" w:space="0" w:color="auto"/>
      </w:divBdr>
    </w:div>
    <w:div w:id="976640911">
      <w:bodyDiv w:val="1"/>
      <w:marLeft w:val="0"/>
      <w:marRight w:val="0"/>
      <w:marTop w:val="0"/>
      <w:marBottom w:val="0"/>
      <w:divBdr>
        <w:top w:val="none" w:sz="0" w:space="0" w:color="auto"/>
        <w:left w:val="none" w:sz="0" w:space="0" w:color="auto"/>
        <w:bottom w:val="none" w:sz="0" w:space="0" w:color="auto"/>
        <w:right w:val="none" w:sz="0" w:space="0" w:color="auto"/>
      </w:divBdr>
    </w:div>
    <w:div w:id="1061833129">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42803253">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625379071">
      <w:bodyDiv w:val="1"/>
      <w:marLeft w:val="0"/>
      <w:marRight w:val="0"/>
      <w:marTop w:val="0"/>
      <w:marBottom w:val="0"/>
      <w:divBdr>
        <w:top w:val="none" w:sz="0" w:space="0" w:color="auto"/>
        <w:left w:val="none" w:sz="0" w:space="0" w:color="auto"/>
        <w:bottom w:val="none" w:sz="0" w:space="0" w:color="auto"/>
        <w:right w:val="none" w:sz="0" w:space="0" w:color="auto"/>
      </w:divBdr>
    </w:div>
    <w:div w:id="1639456638">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 w:id="1845122359">
      <w:bodyDiv w:val="1"/>
      <w:marLeft w:val="0"/>
      <w:marRight w:val="0"/>
      <w:marTop w:val="0"/>
      <w:marBottom w:val="0"/>
      <w:divBdr>
        <w:top w:val="none" w:sz="0" w:space="0" w:color="auto"/>
        <w:left w:val="none" w:sz="0" w:space="0" w:color="auto"/>
        <w:bottom w:val="none" w:sz="0" w:space="0" w:color="auto"/>
        <w:right w:val="none" w:sz="0" w:space="0" w:color="auto"/>
      </w:divBdr>
    </w:div>
    <w:div w:id="19631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F8704-3586-4048-9433-FA7E0095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2024-12-16T05:09:00Z</dcterms:created>
  <dcterms:modified xsi:type="dcterms:W3CDTF">2024-12-16T05:09:00Z</dcterms:modified>
</cp:coreProperties>
</file>