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E70A" w14:textId="77777777" w:rsidR="00715914" w:rsidRPr="00FA33FB" w:rsidRDefault="00997416" w:rsidP="000D4D03">
      <w:pPr>
        <w:pStyle w:val="Plain"/>
        <w:jc w:val="center"/>
        <w:rPr>
          <w:sz w:val="28"/>
        </w:rPr>
      </w:pPr>
      <w:r>
        <w:rPr>
          <w:noProof/>
        </w:rPr>
        <w:drawing>
          <wp:inline distT="0" distB="0" distL="0" distR="0" wp14:anchorId="658151CA" wp14:editId="2D2BB00A">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58356D5" w14:textId="77777777" w:rsidR="00715914" w:rsidRPr="00FA33FB" w:rsidRDefault="00715914" w:rsidP="00715914">
      <w:pPr>
        <w:rPr>
          <w:sz w:val="19"/>
        </w:rPr>
      </w:pPr>
    </w:p>
    <w:p w14:paraId="1AA6E7F2" w14:textId="77777777" w:rsidR="000F76FA" w:rsidRPr="00024911" w:rsidRDefault="00E55F66" w:rsidP="006647B7">
      <w:pPr>
        <w:pStyle w:val="Plainheader"/>
      </w:pPr>
      <w:r w:rsidRPr="00024911">
        <w:t>Statement of Principles</w:t>
      </w:r>
    </w:p>
    <w:p w14:paraId="101CFC18" w14:textId="77777777" w:rsidR="000F76FA" w:rsidRPr="00024911" w:rsidRDefault="000F76FA" w:rsidP="006647B7">
      <w:pPr>
        <w:pStyle w:val="Plainheader"/>
      </w:pPr>
      <w:r w:rsidRPr="00024911">
        <w:t>c</w:t>
      </w:r>
      <w:r w:rsidR="00E55F66" w:rsidRPr="00024911">
        <w:t>oncerning</w:t>
      </w:r>
    </w:p>
    <w:p w14:paraId="42FFDBA4" w14:textId="02B064CB" w:rsidR="00054930" w:rsidRDefault="0074306C" w:rsidP="006647B7">
      <w:pPr>
        <w:pStyle w:val="Plainheader"/>
      </w:pPr>
      <w:bookmarkStart w:id="0" w:name="SoP_Name_Title"/>
      <w:r>
        <w:t>TRAUMATIC BRACHIAL PLEXOPATHY</w:t>
      </w:r>
      <w:bookmarkEnd w:id="0"/>
      <w:r w:rsidR="00997416">
        <w:br/>
        <w:t xml:space="preserve">(Balance of Probabilities) </w:t>
      </w:r>
    </w:p>
    <w:p w14:paraId="6C9A01E2" w14:textId="0945017E" w:rsidR="00715914" w:rsidRPr="00024911" w:rsidRDefault="00E55F66" w:rsidP="006647B7">
      <w:pPr>
        <w:pStyle w:val="Plainheader"/>
      </w:pPr>
      <w:r w:rsidRPr="00024911">
        <w:t xml:space="preserve">(No. </w:t>
      </w:r>
      <w:bookmarkStart w:id="1" w:name="BP"/>
      <w:r w:rsidR="00853DEF">
        <w:t>2</w:t>
      </w:r>
      <w:bookmarkEnd w:id="1"/>
      <w:r w:rsidRPr="00024911">
        <w:t xml:space="preserve"> of</w:t>
      </w:r>
      <w:r w:rsidR="00085567">
        <w:t xml:space="preserve"> </w:t>
      </w:r>
      <w:bookmarkStart w:id="2" w:name="year"/>
      <w:r w:rsidR="0074306C">
        <w:t>202</w:t>
      </w:r>
      <w:r w:rsidR="00853DEF">
        <w:t>5</w:t>
      </w:r>
      <w:bookmarkEnd w:id="2"/>
      <w:r w:rsidRPr="00024911">
        <w:t>)</w:t>
      </w:r>
    </w:p>
    <w:p w14:paraId="6B473D1A"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A17B44">
        <w:rPr>
          <w:i/>
          <w:sz w:val="24"/>
          <w:szCs w:val="24"/>
        </w:rPr>
        <w:t>'</w:t>
      </w:r>
      <w:r w:rsidR="00997416" w:rsidRPr="00BB78C9">
        <w:rPr>
          <w:i/>
          <w:sz w:val="24"/>
          <w:szCs w:val="24"/>
        </w:rPr>
        <w:t xml:space="preserve"> Entitlements Act 1986</w:t>
      </w:r>
      <w:r w:rsidRPr="007527C1">
        <w:rPr>
          <w:sz w:val="24"/>
          <w:szCs w:val="24"/>
        </w:rPr>
        <w:t>.</w:t>
      </w:r>
    </w:p>
    <w:p w14:paraId="26FFEDFB" w14:textId="77777777" w:rsidR="00F97A62" w:rsidRPr="00F97A62" w:rsidRDefault="00F97A62" w:rsidP="00F97A62">
      <w:pPr>
        <w:rPr>
          <w:lang w:eastAsia="en-AU"/>
        </w:rPr>
      </w:pPr>
    </w:p>
    <w:p w14:paraId="43598070" w14:textId="0C8232B0"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853DEF">
        <w:t>17 December 202</w:t>
      </w:r>
      <w:r w:rsidR="00DB7825">
        <w:t>4</w:t>
      </w:r>
      <w:r w:rsidR="00853DEF">
        <w:t>.</w:t>
      </w:r>
    </w:p>
    <w:p w14:paraId="5BA122C0" w14:textId="77777777" w:rsidR="00D93DA9" w:rsidRDefault="00D93DA9" w:rsidP="00764D43">
      <w:pPr>
        <w:pStyle w:val="Plain"/>
      </w:pPr>
    </w:p>
    <w:p w14:paraId="4FBF0654" w14:textId="77777777" w:rsidR="00D93DA9" w:rsidRDefault="00D93DA9" w:rsidP="00764D43">
      <w:pPr>
        <w:pStyle w:val="Plain"/>
      </w:pPr>
    </w:p>
    <w:p w14:paraId="6E62918A" w14:textId="77777777" w:rsidR="00D93DA9" w:rsidRDefault="00D93DA9" w:rsidP="00764D43">
      <w:pPr>
        <w:pStyle w:val="Plain"/>
      </w:pPr>
    </w:p>
    <w:p w14:paraId="567650D8" w14:textId="77777777" w:rsidR="005710C5" w:rsidRDefault="005710C5" w:rsidP="00764D43">
      <w:pPr>
        <w:pStyle w:val="Plain"/>
      </w:pPr>
    </w:p>
    <w:p w14:paraId="14085619" w14:textId="77777777" w:rsidR="005710C5" w:rsidRDefault="005710C5" w:rsidP="00764D43">
      <w:pPr>
        <w:pStyle w:val="Plain"/>
      </w:pPr>
    </w:p>
    <w:p w14:paraId="1EDBB894" w14:textId="77777777" w:rsidR="005710C5" w:rsidRDefault="005710C5" w:rsidP="00764D43">
      <w:pPr>
        <w:pStyle w:val="Plain"/>
      </w:pPr>
    </w:p>
    <w:p w14:paraId="6E44C1C8" w14:textId="77777777" w:rsidR="005710C5" w:rsidRDefault="005710C5" w:rsidP="00764D43">
      <w:pPr>
        <w:pStyle w:val="Plain"/>
      </w:pPr>
    </w:p>
    <w:p w14:paraId="5ECB0273" w14:textId="77777777" w:rsidR="005710C5" w:rsidRDefault="005710C5" w:rsidP="00764D43">
      <w:pPr>
        <w:pStyle w:val="Plain"/>
      </w:pPr>
    </w:p>
    <w:p w14:paraId="2D29EC17" w14:textId="77777777" w:rsidR="005710C5" w:rsidRDefault="005710C5" w:rsidP="00764D43">
      <w:pPr>
        <w:pStyle w:val="Plain"/>
      </w:pPr>
    </w:p>
    <w:p w14:paraId="3C5300ED" w14:textId="77777777" w:rsidR="005710C5" w:rsidRDefault="005710C5" w:rsidP="00764D43">
      <w:pPr>
        <w:pStyle w:val="Plain"/>
      </w:pPr>
    </w:p>
    <w:p w14:paraId="57576461" w14:textId="77777777" w:rsidR="005710C5" w:rsidRDefault="005710C5" w:rsidP="005710C5">
      <w:pPr>
        <w:pStyle w:val="Plain"/>
      </w:pPr>
      <w:r>
        <w:t>Professor Terence Campbell AM</w:t>
      </w:r>
    </w:p>
    <w:p w14:paraId="4EB2C6BD" w14:textId="77777777" w:rsidR="005710C5" w:rsidRDefault="005710C5" w:rsidP="005710C5">
      <w:pPr>
        <w:pStyle w:val="Plain"/>
      </w:pPr>
      <w:r>
        <w:t>Chairperson</w:t>
      </w:r>
    </w:p>
    <w:p w14:paraId="3B7F10E9" w14:textId="77777777" w:rsidR="005710C5" w:rsidRDefault="005710C5" w:rsidP="005710C5">
      <w:pPr>
        <w:pStyle w:val="Plain"/>
      </w:pPr>
      <w:r>
        <w:t>by and on behalf of</w:t>
      </w:r>
    </w:p>
    <w:p w14:paraId="14B882BB" w14:textId="77777777" w:rsidR="005710C5" w:rsidRDefault="005710C5" w:rsidP="005710C5">
      <w:pPr>
        <w:pStyle w:val="Plain"/>
      </w:pPr>
      <w:r>
        <w:t>The Repatriation Medical Authority</w:t>
      </w:r>
    </w:p>
    <w:p w14:paraId="057BE95F" w14:textId="77777777" w:rsidR="00D93DA9" w:rsidRDefault="00D93DA9" w:rsidP="00764D43">
      <w:pPr>
        <w:pStyle w:val="Plain"/>
      </w:pPr>
    </w:p>
    <w:p w14:paraId="7DB4A625"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1656C1F8"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195C098F" w14:textId="7BA8AD37" w:rsidR="00B0685B"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0685B">
        <w:rPr>
          <w:noProof/>
        </w:rPr>
        <w:t>1</w:t>
      </w:r>
      <w:r w:rsidR="00B0685B">
        <w:rPr>
          <w:rFonts w:asciiTheme="minorHAnsi" w:eastAsiaTheme="minorEastAsia" w:hAnsiTheme="minorHAnsi" w:cstheme="minorBidi"/>
          <w:noProof/>
          <w:kern w:val="0"/>
          <w:sz w:val="22"/>
          <w:szCs w:val="22"/>
        </w:rPr>
        <w:tab/>
      </w:r>
      <w:r w:rsidR="00B0685B">
        <w:rPr>
          <w:noProof/>
        </w:rPr>
        <w:t>Name</w:t>
      </w:r>
      <w:r w:rsidR="00B0685B">
        <w:rPr>
          <w:noProof/>
        </w:rPr>
        <w:tab/>
      </w:r>
      <w:r w:rsidR="00B0685B">
        <w:rPr>
          <w:noProof/>
        </w:rPr>
        <w:fldChar w:fldCharType="begin"/>
      </w:r>
      <w:r w:rsidR="00B0685B">
        <w:rPr>
          <w:noProof/>
        </w:rPr>
        <w:instrText xml:space="preserve"> PAGEREF _Toc432166714 \h </w:instrText>
      </w:r>
      <w:r w:rsidR="00B0685B">
        <w:rPr>
          <w:noProof/>
        </w:rPr>
      </w:r>
      <w:r w:rsidR="00B0685B">
        <w:rPr>
          <w:noProof/>
        </w:rPr>
        <w:fldChar w:fldCharType="separate"/>
      </w:r>
      <w:r w:rsidR="001D7D35">
        <w:rPr>
          <w:noProof/>
        </w:rPr>
        <w:t>3</w:t>
      </w:r>
      <w:r w:rsidR="00B0685B">
        <w:rPr>
          <w:noProof/>
        </w:rPr>
        <w:fldChar w:fldCharType="end"/>
      </w:r>
    </w:p>
    <w:p w14:paraId="7AE76AD8" w14:textId="49876AA6" w:rsidR="00B0685B" w:rsidRDefault="00B0685B">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_Toc432166715 \h </w:instrText>
      </w:r>
      <w:r>
        <w:rPr>
          <w:noProof/>
        </w:rPr>
      </w:r>
      <w:r>
        <w:rPr>
          <w:noProof/>
        </w:rPr>
        <w:fldChar w:fldCharType="separate"/>
      </w:r>
      <w:r w:rsidR="001D7D35">
        <w:rPr>
          <w:noProof/>
        </w:rPr>
        <w:t>3</w:t>
      </w:r>
      <w:r>
        <w:rPr>
          <w:noProof/>
        </w:rPr>
        <w:fldChar w:fldCharType="end"/>
      </w:r>
    </w:p>
    <w:p w14:paraId="1AFACDA4" w14:textId="5B8CCDE6" w:rsidR="00B0685B" w:rsidRDefault="00B0685B">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_Toc432166716 \h </w:instrText>
      </w:r>
      <w:r>
        <w:rPr>
          <w:noProof/>
        </w:rPr>
      </w:r>
      <w:r>
        <w:rPr>
          <w:noProof/>
        </w:rPr>
        <w:fldChar w:fldCharType="separate"/>
      </w:r>
      <w:r w:rsidR="001D7D35">
        <w:rPr>
          <w:noProof/>
        </w:rPr>
        <w:t>3</w:t>
      </w:r>
      <w:r>
        <w:rPr>
          <w:noProof/>
        </w:rPr>
        <w:fldChar w:fldCharType="end"/>
      </w:r>
    </w:p>
    <w:p w14:paraId="22AFD915" w14:textId="490498B1" w:rsidR="00B0685B" w:rsidRDefault="00B0685B">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_Toc432166717 \h </w:instrText>
      </w:r>
      <w:r>
        <w:rPr>
          <w:noProof/>
        </w:rPr>
      </w:r>
      <w:r>
        <w:rPr>
          <w:noProof/>
        </w:rPr>
        <w:fldChar w:fldCharType="separate"/>
      </w:r>
      <w:r w:rsidR="001D7D35">
        <w:rPr>
          <w:noProof/>
        </w:rPr>
        <w:t>3</w:t>
      </w:r>
      <w:r>
        <w:rPr>
          <w:noProof/>
        </w:rPr>
        <w:fldChar w:fldCharType="end"/>
      </w:r>
    </w:p>
    <w:p w14:paraId="4F27BF90" w14:textId="710073EC" w:rsidR="00B0685B" w:rsidRDefault="00B0685B">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_Toc432166718 \h </w:instrText>
      </w:r>
      <w:r>
        <w:rPr>
          <w:noProof/>
        </w:rPr>
      </w:r>
      <w:r>
        <w:rPr>
          <w:noProof/>
        </w:rPr>
        <w:fldChar w:fldCharType="separate"/>
      </w:r>
      <w:r w:rsidR="001D7D35">
        <w:rPr>
          <w:noProof/>
        </w:rPr>
        <w:t>3</w:t>
      </w:r>
      <w:r>
        <w:rPr>
          <w:noProof/>
        </w:rPr>
        <w:fldChar w:fldCharType="end"/>
      </w:r>
    </w:p>
    <w:p w14:paraId="42ECD559" w14:textId="00B5CC46" w:rsidR="00B0685B" w:rsidRDefault="00B0685B">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_Toc432166719 \h </w:instrText>
      </w:r>
      <w:r>
        <w:rPr>
          <w:noProof/>
        </w:rPr>
      </w:r>
      <w:r>
        <w:rPr>
          <w:noProof/>
        </w:rPr>
        <w:fldChar w:fldCharType="separate"/>
      </w:r>
      <w:r w:rsidR="001D7D35">
        <w:rPr>
          <w:noProof/>
        </w:rPr>
        <w:t>3</w:t>
      </w:r>
      <w:r>
        <w:rPr>
          <w:noProof/>
        </w:rPr>
        <w:fldChar w:fldCharType="end"/>
      </w:r>
    </w:p>
    <w:p w14:paraId="12C18F9A" w14:textId="5B2133F7" w:rsidR="00B0685B" w:rsidRDefault="00B0685B">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_Toc432166720 \h </w:instrText>
      </w:r>
      <w:r>
        <w:rPr>
          <w:noProof/>
        </w:rPr>
      </w:r>
      <w:r>
        <w:rPr>
          <w:noProof/>
        </w:rPr>
        <w:fldChar w:fldCharType="separate"/>
      </w:r>
      <w:r w:rsidR="001D7D35">
        <w:rPr>
          <w:noProof/>
        </w:rPr>
        <w:t>4</w:t>
      </w:r>
      <w:r>
        <w:rPr>
          <w:noProof/>
        </w:rPr>
        <w:fldChar w:fldCharType="end"/>
      </w:r>
    </w:p>
    <w:p w14:paraId="26AEB960" w14:textId="02DF6305" w:rsidR="00B0685B" w:rsidRDefault="00B0685B">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_Toc432166721 \h </w:instrText>
      </w:r>
      <w:r>
        <w:rPr>
          <w:noProof/>
        </w:rPr>
      </w:r>
      <w:r>
        <w:rPr>
          <w:noProof/>
        </w:rPr>
        <w:fldChar w:fldCharType="separate"/>
      </w:r>
      <w:r w:rsidR="001D7D35">
        <w:rPr>
          <w:noProof/>
        </w:rPr>
        <w:t>4</w:t>
      </w:r>
      <w:r>
        <w:rPr>
          <w:noProof/>
        </w:rPr>
        <w:fldChar w:fldCharType="end"/>
      </w:r>
    </w:p>
    <w:p w14:paraId="180A54B8" w14:textId="7A7CBA6A" w:rsidR="00B0685B" w:rsidRDefault="00B0685B">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_Toc432166722 \h </w:instrText>
      </w:r>
      <w:r>
        <w:rPr>
          <w:noProof/>
        </w:rPr>
      </w:r>
      <w:r>
        <w:rPr>
          <w:noProof/>
        </w:rPr>
        <w:fldChar w:fldCharType="separate"/>
      </w:r>
      <w:r w:rsidR="001D7D35">
        <w:rPr>
          <w:noProof/>
        </w:rPr>
        <w:t>5</w:t>
      </w:r>
      <w:r>
        <w:rPr>
          <w:noProof/>
        </w:rPr>
        <w:fldChar w:fldCharType="end"/>
      </w:r>
    </w:p>
    <w:p w14:paraId="5F60DD33" w14:textId="44D9E2CB" w:rsidR="00B0685B" w:rsidRDefault="00B0685B">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_Toc432166723 \h </w:instrText>
      </w:r>
      <w:r>
        <w:rPr>
          <w:noProof/>
        </w:rPr>
      </w:r>
      <w:r>
        <w:rPr>
          <w:noProof/>
        </w:rPr>
        <w:fldChar w:fldCharType="separate"/>
      </w:r>
      <w:r w:rsidR="001D7D35">
        <w:rPr>
          <w:noProof/>
        </w:rPr>
        <w:t>5</w:t>
      </w:r>
      <w:r>
        <w:rPr>
          <w:noProof/>
        </w:rPr>
        <w:fldChar w:fldCharType="end"/>
      </w:r>
    </w:p>
    <w:p w14:paraId="2212DCDF" w14:textId="6F47EC30" w:rsidR="00B0685B" w:rsidRDefault="00B0685B">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_Toc432166724 \h </w:instrText>
      </w:r>
      <w:r>
        <w:rPr>
          <w:noProof/>
        </w:rPr>
      </w:r>
      <w:r>
        <w:rPr>
          <w:noProof/>
        </w:rPr>
        <w:fldChar w:fldCharType="separate"/>
      </w:r>
      <w:r w:rsidR="001D7D35">
        <w:rPr>
          <w:noProof/>
        </w:rPr>
        <w:t>6</w:t>
      </w:r>
      <w:r>
        <w:rPr>
          <w:noProof/>
        </w:rPr>
        <w:fldChar w:fldCharType="end"/>
      </w:r>
    </w:p>
    <w:p w14:paraId="48B02DB4" w14:textId="7AB25E23" w:rsidR="00B0685B" w:rsidRDefault="00B0685B">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_Toc432166725 \h </w:instrText>
      </w:r>
      <w:r>
        <w:rPr>
          <w:noProof/>
        </w:rPr>
      </w:r>
      <w:r>
        <w:rPr>
          <w:noProof/>
        </w:rPr>
        <w:fldChar w:fldCharType="separate"/>
      </w:r>
      <w:r w:rsidR="001D7D35">
        <w:rPr>
          <w:noProof/>
        </w:rPr>
        <w:t>6</w:t>
      </w:r>
      <w:r>
        <w:rPr>
          <w:noProof/>
        </w:rPr>
        <w:fldChar w:fldCharType="end"/>
      </w:r>
    </w:p>
    <w:p w14:paraId="29D6324D" w14:textId="77777777" w:rsidR="003A2FFE" w:rsidRDefault="002A3436" w:rsidP="00715914">
      <w:r>
        <w:rPr>
          <w:rFonts w:eastAsia="Times New Roman"/>
          <w:b/>
          <w:kern w:val="28"/>
          <w:sz w:val="18"/>
          <w:lang w:eastAsia="en-AU"/>
        </w:rPr>
        <w:fldChar w:fldCharType="end"/>
      </w:r>
    </w:p>
    <w:p w14:paraId="19547AA2" w14:textId="77777777" w:rsidR="003A2FFE" w:rsidRDefault="003A2FFE" w:rsidP="003A2FFE">
      <w:pPr>
        <w:tabs>
          <w:tab w:val="left" w:pos="3631"/>
        </w:tabs>
      </w:pPr>
    </w:p>
    <w:p w14:paraId="58F15757" w14:textId="77777777" w:rsidR="003734C6" w:rsidRDefault="003734C6" w:rsidP="00715914">
      <w:r w:rsidRPr="003A2FFE">
        <w:br w:type="page"/>
      </w:r>
    </w:p>
    <w:p w14:paraId="3DB0912D" w14:textId="77777777" w:rsidR="00877AE3" w:rsidRDefault="00877AE3" w:rsidP="00C96667">
      <w:pPr>
        <w:pStyle w:val="LV1"/>
      </w:pPr>
      <w:bookmarkStart w:id="4" w:name="_Toc432166714"/>
      <w:r>
        <w:lastRenderedPageBreak/>
        <w:t>Name</w:t>
      </w:r>
      <w:bookmarkEnd w:id="4"/>
    </w:p>
    <w:p w14:paraId="39BE4CC1" w14:textId="0711EB8A" w:rsidR="00237471" w:rsidRPr="00F97A62" w:rsidRDefault="00715914" w:rsidP="00431603">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4306C">
        <w:rPr>
          <w:i/>
        </w:rPr>
        <w:t>traumatic brachial plexopathy</w:t>
      </w:r>
      <w:bookmarkEnd w:id="6"/>
      <w:r w:rsidR="00E55F66" w:rsidRPr="00F97A62">
        <w:t xml:space="preserve"> </w:t>
      </w:r>
      <w:r w:rsidR="00997416">
        <w:rPr>
          <w:i/>
        </w:rPr>
        <w:t xml:space="preserve">(Balance of Probabilities) </w:t>
      </w:r>
      <w:r w:rsidR="00E55F66" w:rsidRPr="00F97A62">
        <w:t xml:space="preserve">(No. </w:t>
      </w:r>
      <w:r w:rsidR="00853DEF">
        <w:t>2</w:t>
      </w:r>
      <w:r w:rsidR="00085567">
        <w:t xml:space="preserve"> </w:t>
      </w:r>
      <w:r w:rsidR="00E55F66" w:rsidRPr="00F97A62">
        <w:t>of</w:t>
      </w:r>
      <w:r w:rsidR="00085567">
        <w:t xml:space="preserve"> </w:t>
      </w:r>
      <w:r w:rsidR="00853DEF">
        <w:t>2025</w:t>
      </w:r>
      <w:r w:rsidR="00E55F66" w:rsidRPr="00F97A62">
        <w:t>)</w:t>
      </w:r>
      <w:r w:rsidRPr="00F97A62">
        <w:t>.</w:t>
      </w:r>
    </w:p>
    <w:p w14:paraId="5493670C" w14:textId="77777777" w:rsidR="00F67B67" w:rsidRPr="00684C0E" w:rsidRDefault="00F67B67" w:rsidP="00C96667">
      <w:pPr>
        <w:pStyle w:val="LV1"/>
      </w:pPr>
      <w:bookmarkStart w:id="7" w:name="_Toc432166715"/>
      <w:r w:rsidRPr="00684C0E">
        <w:t>Commencement</w:t>
      </w:r>
      <w:bookmarkEnd w:id="7"/>
    </w:p>
    <w:p w14:paraId="35E51685" w14:textId="697D0CFC" w:rsidR="00F67B67" w:rsidRPr="007527C1" w:rsidRDefault="007527C1" w:rsidP="00431603">
      <w:pPr>
        <w:pStyle w:val="PlainIndent"/>
      </w:pPr>
      <w:r w:rsidRPr="007527C1">
        <w:tab/>
      </w:r>
      <w:r w:rsidR="00F67B67" w:rsidRPr="007527C1">
        <w:t xml:space="preserve">This instrument commences on </w:t>
      </w:r>
      <w:r w:rsidR="00853DEF" w:rsidRPr="00853DEF">
        <w:t>28 January 2025</w:t>
      </w:r>
      <w:r w:rsidR="00F67B67" w:rsidRPr="007527C1">
        <w:t>.</w:t>
      </w:r>
    </w:p>
    <w:p w14:paraId="309DBA05" w14:textId="77777777" w:rsidR="00F67B67" w:rsidRPr="00684C0E" w:rsidRDefault="00F67B67" w:rsidP="00C96667">
      <w:pPr>
        <w:pStyle w:val="LV1"/>
      </w:pPr>
      <w:bookmarkStart w:id="8" w:name="_Toc432166716"/>
      <w:r w:rsidRPr="00684C0E">
        <w:t>Authority</w:t>
      </w:r>
      <w:bookmarkEnd w:id="8"/>
    </w:p>
    <w:p w14:paraId="2DF61328" w14:textId="77777777" w:rsidR="00F67B67" w:rsidRPr="007527C1" w:rsidRDefault="00F67B67" w:rsidP="00431603">
      <w:pPr>
        <w:pStyle w:val="PlainIndent"/>
      </w:pPr>
      <w:r w:rsidRPr="007527C1">
        <w:t>This inst</w:t>
      </w:r>
      <w:r w:rsidR="00D32F71">
        <w:t xml:space="preserve">rument is made under subsection </w:t>
      </w:r>
      <w:r w:rsidRPr="007527C1">
        <w:t xml:space="preserve">196B(3) of the </w:t>
      </w:r>
      <w:r w:rsidRPr="007527C1">
        <w:rPr>
          <w:i/>
        </w:rPr>
        <w:t>Veterans</w:t>
      </w:r>
      <w:r w:rsidR="00A17B44">
        <w:rPr>
          <w:i/>
        </w:rPr>
        <w:t>'</w:t>
      </w:r>
      <w:r w:rsidRPr="007527C1">
        <w:rPr>
          <w:i/>
        </w:rPr>
        <w:t xml:space="preserve"> Entitlements Act 1986</w:t>
      </w:r>
      <w:r w:rsidRPr="007527C1">
        <w:t>.</w:t>
      </w:r>
    </w:p>
    <w:p w14:paraId="5449A7FE" w14:textId="77777777" w:rsidR="007C7DEE" w:rsidRPr="00684C0E" w:rsidRDefault="007C7DEE" w:rsidP="00C96667">
      <w:pPr>
        <w:pStyle w:val="LV1"/>
      </w:pPr>
      <w:bookmarkStart w:id="9" w:name="_Toc432166717"/>
      <w:r w:rsidRPr="00684C0E">
        <w:t>Application</w:t>
      </w:r>
      <w:bookmarkEnd w:id="9"/>
    </w:p>
    <w:p w14:paraId="28BE9989" w14:textId="77777777" w:rsidR="007C7DEE" w:rsidRPr="007527C1" w:rsidRDefault="007C7DEE" w:rsidP="00431603">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3314E394" w14:textId="77777777" w:rsidR="007C7DEE" w:rsidRPr="00684C0E" w:rsidRDefault="007C7DEE" w:rsidP="00C96667">
      <w:pPr>
        <w:pStyle w:val="LV1"/>
      </w:pPr>
      <w:bookmarkStart w:id="10" w:name="_Ref410129949"/>
      <w:bookmarkStart w:id="11" w:name="_Toc432166718"/>
      <w:r w:rsidRPr="00684C0E">
        <w:t>Definitions</w:t>
      </w:r>
      <w:bookmarkEnd w:id="10"/>
      <w:bookmarkEnd w:id="11"/>
    </w:p>
    <w:p w14:paraId="436B7131" w14:textId="77777777" w:rsidR="00237471" w:rsidRPr="00D5620B" w:rsidRDefault="007142FB" w:rsidP="00431603">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0BE24922" w14:textId="77777777" w:rsidR="007C7DEE" w:rsidRPr="00684C0E" w:rsidRDefault="007C7DEE" w:rsidP="00C96667">
      <w:pPr>
        <w:pStyle w:val="LV1"/>
      </w:pPr>
      <w:bookmarkStart w:id="12" w:name="_Ref409687573"/>
      <w:bookmarkStart w:id="13" w:name="_Ref409687579"/>
      <w:bookmarkStart w:id="14" w:name="_Ref409687725"/>
      <w:bookmarkStart w:id="15" w:name="_Toc432166719"/>
      <w:r w:rsidRPr="00684C0E">
        <w:t>Kind of injury, disease or death</w:t>
      </w:r>
      <w:r w:rsidR="00215860" w:rsidRPr="00684C0E">
        <w:t xml:space="preserve"> to which this Statement of Principles relates</w:t>
      </w:r>
      <w:bookmarkEnd w:id="12"/>
      <w:bookmarkEnd w:id="13"/>
      <w:bookmarkEnd w:id="14"/>
      <w:bookmarkEnd w:id="15"/>
    </w:p>
    <w:p w14:paraId="031C5926" w14:textId="24D510A1" w:rsidR="007C7DEE" w:rsidRPr="00D5620B" w:rsidRDefault="007C7DEE" w:rsidP="00743F7F">
      <w:pPr>
        <w:pStyle w:val="LV2"/>
      </w:pPr>
      <w:bookmarkStart w:id="16" w:name="_Ref403053584"/>
      <w:r w:rsidRPr="00D5620B">
        <w:t xml:space="preserve">This Statement of Principles is </w:t>
      </w:r>
      <w:r w:rsidRPr="002F77A1">
        <w:t xml:space="preserve">about </w:t>
      </w:r>
      <w:r w:rsidR="00853DEF" w:rsidRPr="00853DEF">
        <w:t>traumatic brachial plexopathy</w:t>
      </w:r>
      <w:r w:rsidR="00D5620B" w:rsidRPr="002F77A1">
        <w:t xml:space="preserve"> </w:t>
      </w:r>
      <w:r w:rsidRPr="002F77A1">
        <w:t>and death</w:t>
      </w:r>
      <w:r w:rsidRPr="00D5620B">
        <w:t xml:space="preserve"> from</w:t>
      </w:r>
      <w:r w:rsidR="002F77A1">
        <w:t xml:space="preserve"> </w:t>
      </w:r>
      <w:r w:rsidR="00853DEF" w:rsidRPr="00853DEF">
        <w:t>traumatic brachial plexopathy</w:t>
      </w:r>
      <w:r w:rsidRPr="00D5620B">
        <w:t>.</w:t>
      </w:r>
      <w:bookmarkEnd w:id="16"/>
    </w:p>
    <w:p w14:paraId="7194B854" w14:textId="7F7E0784" w:rsidR="00215860" w:rsidRPr="007142FB" w:rsidRDefault="00215860" w:rsidP="0083517B">
      <w:pPr>
        <w:pStyle w:val="LVtext"/>
      </w:pPr>
      <w:r w:rsidRPr="007142FB">
        <w:t>Meaning of</w:t>
      </w:r>
      <w:r w:rsidR="00D60FC8" w:rsidRPr="007142FB">
        <w:t xml:space="preserve"> </w:t>
      </w:r>
      <w:r w:rsidR="00853DEF" w:rsidRPr="00853DEF">
        <w:rPr>
          <w:b/>
        </w:rPr>
        <w:t>traumatic brachial plexopathy</w:t>
      </w:r>
    </w:p>
    <w:p w14:paraId="71707131" w14:textId="27971EFB" w:rsidR="002716E4" w:rsidRPr="00237BAF" w:rsidRDefault="007C7DEE" w:rsidP="00743F7F">
      <w:pPr>
        <w:pStyle w:val="LV2"/>
      </w:pPr>
      <w:bookmarkStart w:id="17" w:name="_Ref409598124"/>
      <w:bookmarkStart w:id="18" w:name="_Ref402529683"/>
      <w:r w:rsidRPr="00237BAF">
        <w:t>For the purposes of this Statement of Principles,</w:t>
      </w:r>
      <w:r w:rsidR="002F77A1" w:rsidRPr="002F77A1">
        <w:t xml:space="preserve"> </w:t>
      </w:r>
      <w:r w:rsidR="00853DEF" w:rsidRPr="00853DEF">
        <w:t>traumatic brachial plexopathy</w:t>
      </w:r>
      <w:r w:rsidR="002716E4" w:rsidRPr="00237BAF">
        <w:t>:</w:t>
      </w:r>
      <w:bookmarkEnd w:id="17"/>
    </w:p>
    <w:bookmarkEnd w:id="18"/>
    <w:p w14:paraId="1F4A6042" w14:textId="77777777" w:rsidR="0074306C" w:rsidRDefault="0074306C" w:rsidP="0074306C">
      <w:pPr>
        <w:pStyle w:val="LV3"/>
        <w:numPr>
          <w:ilvl w:val="2"/>
          <w:numId w:val="4"/>
        </w:numPr>
        <w:ind w:left="1985"/>
      </w:pPr>
      <w:r>
        <w:t>means a physical injury to the brachial plexus; and</w:t>
      </w:r>
    </w:p>
    <w:p w14:paraId="035B7F79" w14:textId="77777777" w:rsidR="0074306C" w:rsidRDefault="0074306C" w:rsidP="0074306C">
      <w:pPr>
        <w:pStyle w:val="LV3"/>
        <w:numPr>
          <w:ilvl w:val="2"/>
          <w:numId w:val="4"/>
        </w:numPr>
        <w:ind w:left="1985"/>
      </w:pPr>
      <w:r>
        <w:t>excludes:</w:t>
      </w:r>
    </w:p>
    <w:p w14:paraId="683600F9" w14:textId="77777777" w:rsidR="0074306C" w:rsidRDefault="0074306C" w:rsidP="0074306C">
      <w:pPr>
        <w:pStyle w:val="LV4"/>
        <w:numPr>
          <w:ilvl w:val="3"/>
          <w:numId w:val="4"/>
        </w:numPr>
        <w:ind w:left="2608"/>
      </w:pPr>
      <w:r>
        <w:t xml:space="preserve">Parsonage-Turner syndrome (neuralgic amyotrophy); </w:t>
      </w:r>
    </w:p>
    <w:p w14:paraId="7AD03D40" w14:textId="77777777" w:rsidR="0074306C" w:rsidRDefault="0074306C" w:rsidP="0074306C">
      <w:pPr>
        <w:pStyle w:val="LV4"/>
        <w:numPr>
          <w:ilvl w:val="3"/>
          <w:numId w:val="4"/>
        </w:numPr>
        <w:ind w:left="2608"/>
      </w:pPr>
      <w:r>
        <w:t>radiation induced plexus injury;</w:t>
      </w:r>
    </w:p>
    <w:p w14:paraId="21CAB690" w14:textId="77777777" w:rsidR="0074306C" w:rsidRDefault="0074306C" w:rsidP="0074306C">
      <w:pPr>
        <w:pStyle w:val="LV4"/>
        <w:numPr>
          <w:ilvl w:val="3"/>
          <w:numId w:val="4"/>
        </w:numPr>
        <w:ind w:left="2608"/>
      </w:pPr>
      <w:r>
        <w:t xml:space="preserve">thoracic outlet syndrome; </w:t>
      </w:r>
    </w:p>
    <w:p w14:paraId="78CA84F5" w14:textId="77777777" w:rsidR="0074306C" w:rsidRDefault="0074306C" w:rsidP="0074306C">
      <w:pPr>
        <w:pStyle w:val="LV4"/>
        <w:numPr>
          <w:ilvl w:val="3"/>
          <w:numId w:val="4"/>
        </w:numPr>
        <w:ind w:left="2608"/>
      </w:pPr>
      <w:r>
        <w:t xml:space="preserve">cervical radiculopathy or myelopathy; and </w:t>
      </w:r>
    </w:p>
    <w:p w14:paraId="0C5B9242" w14:textId="77777777" w:rsidR="0074306C" w:rsidRDefault="0074306C" w:rsidP="0074306C">
      <w:pPr>
        <w:pStyle w:val="LV4"/>
        <w:numPr>
          <w:ilvl w:val="3"/>
          <w:numId w:val="4"/>
        </w:numPr>
        <w:ind w:left="2608"/>
      </w:pPr>
      <w:r>
        <w:t>upper limb mononeuritis multiplex.</w:t>
      </w:r>
    </w:p>
    <w:p w14:paraId="3006AD24" w14:textId="77777777" w:rsidR="0074306C" w:rsidRDefault="0074306C" w:rsidP="0074306C">
      <w:pPr>
        <w:pStyle w:val="NOTE"/>
      </w:pPr>
      <w:r>
        <w:t xml:space="preserve">Note: There are a separate set of SoPs for thoracic outlet syndrome that may also be applicable. </w:t>
      </w:r>
    </w:p>
    <w:p w14:paraId="56AA51FA" w14:textId="1F666041" w:rsidR="008F572A" w:rsidRPr="00FA33FB" w:rsidRDefault="00237BAF" w:rsidP="0083517B">
      <w:pPr>
        <w:pStyle w:val="LVtext"/>
      </w:pPr>
      <w:r w:rsidRPr="003A5C26">
        <w:t>Death from</w:t>
      </w:r>
      <w:r w:rsidR="008F572A" w:rsidRPr="00237BAF">
        <w:t xml:space="preserve"> </w:t>
      </w:r>
      <w:r w:rsidR="00853DEF" w:rsidRPr="00853DEF">
        <w:rPr>
          <w:b/>
        </w:rPr>
        <w:t>traumatic brachial plexopathy</w:t>
      </w:r>
    </w:p>
    <w:p w14:paraId="5F17C215" w14:textId="6F4EE8B3" w:rsidR="008F572A" w:rsidRPr="00237BAF" w:rsidRDefault="008F572A" w:rsidP="00743F7F">
      <w:pPr>
        <w:pStyle w:val="LV2"/>
      </w:pPr>
      <w:r w:rsidRPr="00237BAF">
        <w:t xml:space="preserve">For the purposes of this Statement of </w:t>
      </w:r>
      <w:r w:rsidR="00D5620B">
        <w:t xml:space="preserve">Principles, </w:t>
      </w:r>
      <w:r w:rsidR="00853DEF" w:rsidRPr="00853DEF">
        <w:t>traumatic brachial plexopathy</w:t>
      </w:r>
      <w:r w:rsidRPr="00D5620B">
        <w:t>,</w:t>
      </w:r>
      <w:r w:rsidRPr="00237BAF">
        <w:rPr>
          <w:b/>
        </w:rPr>
        <w:t xml:space="preserve"> </w:t>
      </w:r>
      <w:r w:rsidRPr="00237BAF">
        <w:t xml:space="preserve">in relation to a person, includes death from a terminal </w:t>
      </w:r>
      <w:r w:rsidRPr="00237BAF">
        <w:lastRenderedPageBreak/>
        <w:t xml:space="preserve">event or condition that was contributed to by the </w:t>
      </w:r>
      <w:r w:rsidRPr="00D5620B">
        <w:t>person</w:t>
      </w:r>
      <w:r w:rsidR="00A17B44">
        <w:t>'</w:t>
      </w:r>
      <w:r w:rsidRPr="00D5620B">
        <w:t>s</w:t>
      </w:r>
      <w:r w:rsidR="002F77A1">
        <w:t xml:space="preserve"> </w:t>
      </w:r>
      <w:r w:rsidR="00853DEF" w:rsidRPr="00853DEF">
        <w:t>traumatic brachial plexopathy</w:t>
      </w:r>
      <w:r w:rsidRPr="00D5620B">
        <w:t>.</w:t>
      </w:r>
    </w:p>
    <w:p w14:paraId="2D7D7D71" w14:textId="77777777" w:rsidR="007C7DEE" w:rsidRPr="00046E67" w:rsidRDefault="00046E67" w:rsidP="00431603">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F142C9">
        <w:t>–</w:t>
      </w:r>
      <w:r w:rsidR="00D32F71">
        <w:t xml:space="preserve"> </w:t>
      </w:r>
      <w:r w:rsidR="00885EAB" w:rsidRPr="00046E67">
        <w:t>Dictionary</w:t>
      </w:r>
      <w:r w:rsidR="00F142C9">
        <w:t>.</w:t>
      </w:r>
    </w:p>
    <w:p w14:paraId="42421B69" w14:textId="77777777" w:rsidR="007C7DEE" w:rsidRPr="00A20CA1" w:rsidRDefault="007C7DEE" w:rsidP="00C96667">
      <w:pPr>
        <w:pStyle w:val="LV1"/>
      </w:pPr>
      <w:bookmarkStart w:id="19" w:name="_Toc432166720"/>
      <w:r w:rsidRPr="00A20CA1">
        <w:t>Basis for determining the factors</w:t>
      </w:r>
      <w:bookmarkEnd w:id="19"/>
    </w:p>
    <w:p w14:paraId="7D22704B" w14:textId="6CF29589" w:rsidR="007C7DEE" w:rsidRPr="00237BAF" w:rsidRDefault="007C7DEE" w:rsidP="00431603">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53DEF" w:rsidRPr="00853DEF">
        <w:t>traumatic brachial plexopathy</w:t>
      </w:r>
      <w:r w:rsidR="007A3989">
        <w:t xml:space="preserve"> </w:t>
      </w:r>
      <w:r w:rsidRPr="00D5620B">
        <w:t>and death from</w:t>
      </w:r>
      <w:r w:rsidR="007A3989">
        <w:t xml:space="preserve"> </w:t>
      </w:r>
      <w:r w:rsidR="00853DEF" w:rsidRPr="00853DEF">
        <w:t>traumatic brachial plexopathy</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2D3AF5B1" w14:textId="77777777" w:rsidR="00431603" w:rsidRPr="00046E67" w:rsidRDefault="00431603" w:rsidP="00431603">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49F0584C" w14:textId="77777777" w:rsidR="007C7DEE" w:rsidRPr="00301C54" w:rsidRDefault="007C7DEE" w:rsidP="00C96667">
      <w:pPr>
        <w:pStyle w:val="LV1"/>
      </w:pPr>
      <w:bookmarkStart w:id="20" w:name="_Ref411946955"/>
      <w:bookmarkStart w:id="21" w:name="_Ref411946997"/>
      <w:bookmarkStart w:id="22" w:name="_Ref412032503"/>
      <w:bookmarkStart w:id="23" w:name="_Toc432166721"/>
      <w:r w:rsidRPr="00301C54">
        <w:t xml:space="preserve">Factors that must </w:t>
      </w:r>
      <w:r w:rsidR="00D32F71">
        <w:t>exist</w:t>
      </w:r>
      <w:bookmarkEnd w:id="20"/>
      <w:bookmarkEnd w:id="21"/>
      <w:bookmarkEnd w:id="22"/>
      <w:bookmarkEnd w:id="23"/>
    </w:p>
    <w:p w14:paraId="24784303" w14:textId="40FC020E" w:rsidR="007C7DEE" w:rsidRPr="00AA6D8B" w:rsidRDefault="002716E4" w:rsidP="00431603">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53DEF" w:rsidRPr="00853DEF">
        <w:t>traumatic brachial plexopathy</w:t>
      </w:r>
      <w:r w:rsidR="007A3989">
        <w:t xml:space="preserve"> </w:t>
      </w:r>
      <w:r w:rsidR="007C7DEE" w:rsidRPr="00AA6D8B">
        <w:t xml:space="preserve">or death from </w:t>
      </w:r>
      <w:r w:rsidR="00853DEF" w:rsidRPr="00853DEF">
        <w:t>traumatic brachial plexopathy</w:t>
      </w:r>
      <w:r w:rsidR="007A3989">
        <w:t xml:space="preserve"> </w:t>
      </w:r>
      <w:r w:rsidR="007C7DEE" w:rsidRPr="00AA6D8B">
        <w:t>is connected with the circumstances of a pers</w:t>
      </w:r>
      <w:r w:rsidR="002A1ECC" w:rsidRPr="00AA6D8B">
        <w:t>on</w:t>
      </w:r>
      <w:r w:rsidR="00A17B44">
        <w:t>'</w:t>
      </w:r>
      <w:r w:rsidR="002A1ECC" w:rsidRPr="00AA6D8B">
        <w:t>s relevant service</w:t>
      </w:r>
      <w:r w:rsidR="007C7DEE" w:rsidRPr="00AA6D8B">
        <w:t>:</w:t>
      </w:r>
      <w:bookmarkEnd w:id="24"/>
    </w:p>
    <w:p w14:paraId="43D0D00E" w14:textId="77777777" w:rsidR="00743F7F" w:rsidRPr="008D1B8B" w:rsidRDefault="00743F7F" w:rsidP="00743F7F">
      <w:pPr>
        <w:pStyle w:val="LV2"/>
      </w:pPr>
      <w:bookmarkStart w:id="25" w:name="_Ref402530260"/>
      <w:bookmarkStart w:id="26" w:name="_Ref409598844"/>
      <w:r w:rsidRPr="00C17D67">
        <w:t>having trauma to the upper chest, shoulder or neck of the affected side within the 1 year before clinical onset or clinical worsening;</w:t>
      </w:r>
    </w:p>
    <w:p w14:paraId="3CCA864C" w14:textId="7647AD9D" w:rsidR="00743F7F" w:rsidRDefault="00743F7F" w:rsidP="00743F7F">
      <w:pPr>
        <w:pStyle w:val="NOTE"/>
      </w:pPr>
      <w:r w:rsidRPr="00C17D67">
        <w:t>Note</w:t>
      </w:r>
      <w:r w:rsidR="00F82552">
        <w:t xml:space="preserve"> 1</w:t>
      </w:r>
      <w:r w:rsidRPr="00C17D67">
        <w:t xml:space="preserve">: </w:t>
      </w:r>
      <w:r w:rsidRPr="00C17D67">
        <w:rPr>
          <w:b/>
          <w:bCs/>
          <w:i/>
          <w:iCs/>
        </w:rPr>
        <w:t>trauma to the upper chest, shoulder or neck</w:t>
      </w:r>
      <w:r w:rsidRPr="00C17D67">
        <w:t xml:space="preserve"> is defined in the Schedule 1 – Dictionary.</w:t>
      </w:r>
    </w:p>
    <w:p w14:paraId="032D7AD8" w14:textId="77777777" w:rsidR="00F82552" w:rsidRDefault="00F82552" w:rsidP="00F82552">
      <w:pPr>
        <w:pStyle w:val="NOTE"/>
      </w:pPr>
      <w:r>
        <w:t xml:space="preserve">Note 2: Examples of trauma involving traction and or compression to the brachial plexus include blows to the upper chest and shoulder causing injury, injuries from motor vehicle accidents, a fall from height resulting in injury, or sports injuries, </w:t>
      </w:r>
    </w:p>
    <w:p w14:paraId="02CE7316" w14:textId="77777777" w:rsidR="00F82552" w:rsidRDefault="00F82552" w:rsidP="00F82552">
      <w:pPr>
        <w:pStyle w:val="NOTE"/>
      </w:pPr>
      <w:r>
        <w:t>Note 3: Examples of types of penetrating injury to the upper chest, shoulder or neck include gunshot wounds or laceration injuries from knives or glass.</w:t>
      </w:r>
    </w:p>
    <w:p w14:paraId="4521B277" w14:textId="77777777" w:rsidR="00F82552" w:rsidRDefault="00F82552" w:rsidP="00F82552">
      <w:pPr>
        <w:pStyle w:val="NOTE"/>
      </w:pPr>
      <w:r>
        <w:t xml:space="preserve">Note 4: Examples of surgery that may cause trauma to the upper chest, shoulder or neck include surgery for clavicle fracture, brachial plexus nerve block, catheterisation of the subclavian or internal jugular veins, and axillary arteriography. </w:t>
      </w:r>
    </w:p>
    <w:p w14:paraId="3BB8E01F" w14:textId="38C854CB" w:rsidR="00F82552" w:rsidRDefault="00F82552" w:rsidP="00F82552">
      <w:pPr>
        <w:pStyle w:val="NOTE"/>
      </w:pPr>
      <w:r>
        <w:t>Note 5: Delayed onset of traumatic brachial plexopathy may occur as a result of the response to injury, including the formation of callus around fractures and the development of scar tissue.</w:t>
      </w:r>
    </w:p>
    <w:p w14:paraId="6B6CF275" w14:textId="77777777" w:rsidR="00743F7F" w:rsidRDefault="00743F7F" w:rsidP="00743F7F">
      <w:pPr>
        <w:pStyle w:val="LV2"/>
      </w:pPr>
      <w:r>
        <w:t xml:space="preserve">having malposition of the head, neck, or shoulders in any of the following circumstances within the 24 hours before clinical onset or clinical worsening: </w:t>
      </w:r>
    </w:p>
    <w:p w14:paraId="4D9E6418" w14:textId="77777777" w:rsidR="00743F7F" w:rsidRDefault="00743F7F" w:rsidP="00743F7F">
      <w:pPr>
        <w:pStyle w:val="LV3"/>
        <w:numPr>
          <w:ilvl w:val="2"/>
          <w:numId w:val="4"/>
        </w:numPr>
        <w:ind w:left="1985"/>
      </w:pPr>
      <w:r>
        <w:t>surgery under general anaesthesia;</w:t>
      </w:r>
    </w:p>
    <w:p w14:paraId="5072D4A5" w14:textId="77777777" w:rsidR="00743F7F" w:rsidRDefault="00743F7F" w:rsidP="00743F7F">
      <w:pPr>
        <w:pStyle w:val="LV3"/>
        <w:numPr>
          <w:ilvl w:val="2"/>
          <w:numId w:val="4"/>
        </w:numPr>
        <w:ind w:left="1985"/>
      </w:pPr>
      <w:r>
        <w:t xml:space="preserve">prone positioning in an intensive care unit; </w:t>
      </w:r>
    </w:p>
    <w:p w14:paraId="6054954E" w14:textId="77777777" w:rsidR="00743F7F" w:rsidRDefault="00743F7F" w:rsidP="00743F7F">
      <w:pPr>
        <w:pStyle w:val="LV3"/>
        <w:numPr>
          <w:ilvl w:val="2"/>
          <w:numId w:val="4"/>
        </w:numPr>
        <w:ind w:left="1985"/>
      </w:pPr>
      <w:r>
        <w:t xml:space="preserve">reduced conscious state; </w:t>
      </w:r>
    </w:p>
    <w:p w14:paraId="04D31376" w14:textId="77777777" w:rsidR="002F6D20" w:rsidRDefault="00743F7F" w:rsidP="002F6D20">
      <w:pPr>
        <w:pStyle w:val="NOTE"/>
        <w:ind w:left="2064" w:hanging="590"/>
      </w:pPr>
      <w:r>
        <w:t>Note</w:t>
      </w:r>
      <w:r w:rsidR="002F6D20">
        <w:t xml:space="preserve"> 1</w:t>
      </w:r>
      <w:r>
        <w:t xml:space="preserve">: Examples of types of surgery that can cause malposition of the head, neck, or shoulders include surgery in the prone position such as oesophagectomy or spinal surgery or surgery involving the Trendelenburg position such as abdominal or pelvic laparoscopy. </w:t>
      </w:r>
    </w:p>
    <w:p w14:paraId="27F0C999" w14:textId="0F8E4423" w:rsidR="00743F7F" w:rsidRDefault="002F6D20" w:rsidP="002F6D20">
      <w:pPr>
        <w:pStyle w:val="NOTE"/>
        <w:ind w:left="2064" w:hanging="590"/>
      </w:pPr>
      <w:r>
        <w:t xml:space="preserve">Note 2: </w:t>
      </w:r>
      <w:r w:rsidR="00743F7F">
        <w:t xml:space="preserve">Examples of malposition of the head, neck, or shoulders with reduced conscious state include sleep associated with alcohol or drug induced intoxication (“Friday or Saturday night palsy”) or head injury. </w:t>
      </w:r>
    </w:p>
    <w:p w14:paraId="786B2FF0" w14:textId="77777777" w:rsidR="00743F7F" w:rsidRDefault="00743F7F" w:rsidP="00743F7F">
      <w:pPr>
        <w:pStyle w:val="LV2"/>
      </w:pPr>
      <w:r>
        <w:lastRenderedPageBreak/>
        <w:t>having a median sternotomy within the 7 days before clinical onset or clinical worsening;</w:t>
      </w:r>
    </w:p>
    <w:p w14:paraId="431AF137" w14:textId="77777777" w:rsidR="00743F7F" w:rsidRDefault="00743F7F" w:rsidP="00743F7F">
      <w:pPr>
        <w:pStyle w:val="NOTE"/>
      </w:pPr>
      <w:r>
        <w:t>Note: Examples where median sternotomy is performed include coronary artery bypass graft, cardiac valve surgery, surgery to the thoracic aorta, thoracic operations (retrosternal goitre, oesophagectomy), neurosurgical procedures where access to thoracic vertebral bodies or discs is required, and in emergency thoracotomy for penetrating trauma.</w:t>
      </w:r>
    </w:p>
    <w:p w14:paraId="34AF970B" w14:textId="4A5E88A6" w:rsidR="00431603" w:rsidRPr="008D1B8B" w:rsidRDefault="00743F7F" w:rsidP="00743F7F">
      <w:pPr>
        <w:pStyle w:val="LV2"/>
      </w:pPr>
      <w:r w:rsidRPr="00743F7F">
        <w:t>having an electrical injury to the brachial plexus within the 24 hours before clinical onset or clinical worsening;</w:t>
      </w:r>
    </w:p>
    <w:p w14:paraId="47FE72E2" w14:textId="77777777" w:rsidR="00743F7F" w:rsidRDefault="00743F7F" w:rsidP="00743F7F">
      <w:pPr>
        <w:pStyle w:val="LV2"/>
        <w:numPr>
          <w:ilvl w:val="1"/>
          <w:numId w:val="4"/>
        </w:numPr>
        <w:ind w:left="1418"/>
      </w:pPr>
      <w:r>
        <w:t>carrying a load of at least 20 kilograms where the bulk of the load is supported by the shoulders, for at least 2 hours within the 24 hours before clinical onset or clinical worsening;</w:t>
      </w:r>
    </w:p>
    <w:p w14:paraId="078A1C53" w14:textId="77777777" w:rsidR="00743F7F" w:rsidRDefault="00743F7F" w:rsidP="00743F7F">
      <w:pPr>
        <w:pStyle w:val="NOTE"/>
      </w:pPr>
      <w:r>
        <w:t>Note: Examples of a load include a loaded backpack, body armour, rifle, ammunition, communication systems or sandbags. Where more than one type of load is combined the combined weight must exceed 20kgs.</w:t>
      </w:r>
    </w:p>
    <w:p w14:paraId="586D55EC" w14:textId="77777777" w:rsidR="00743F7F" w:rsidRDefault="00743F7F" w:rsidP="00743F7F">
      <w:pPr>
        <w:pStyle w:val="LV2"/>
        <w:numPr>
          <w:ilvl w:val="1"/>
          <w:numId w:val="4"/>
        </w:numPr>
        <w:ind w:left="1418"/>
      </w:pPr>
      <w:r>
        <w:t>carrying a load of at least 10 kilograms where the bulk of the load is supported by one shoulder, for at least 2 hours within the 24 hours before clinical onset or clinical worsening;</w:t>
      </w:r>
    </w:p>
    <w:p w14:paraId="75861A4B" w14:textId="77777777" w:rsidR="00743F7F" w:rsidRDefault="00743F7F" w:rsidP="00743F7F">
      <w:pPr>
        <w:pStyle w:val="NOTE"/>
      </w:pPr>
      <w:r>
        <w:t>Note: Examples of a load include a loaded backpack, body armour, rifle, ammunition, communication systems or sandbags. Where more than one type of load is combined the combined weight must exceed 10kgs.</w:t>
      </w:r>
    </w:p>
    <w:p w14:paraId="55688C6F" w14:textId="333C087D" w:rsidR="007C7DEE" w:rsidRPr="008D1B8B" w:rsidRDefault="007C7DEE" w:rsidP="00743F7F">
      <w:pPr>
        <w:pStyle w:val="LV2"/>
      </w:pPr>
      <w:r w:rsidRPr="008D1B8B">
        <w:t>inability to obtain appropriate clinical management for</w:t>
      </w:r>
      <w:bookmarkEnd w:id="25"/>
      <w:r w:rsidR="007A3989">
        <w:t xml:space="preserve"> </w:t>
      </w:r>
      <w:r w:rsidR="00853DEF" w:rsidRPr="00853DEF">
        <w:t>traumatic brachial plexopathy</w:t>
      </w:r>
      <w:r w:rsidR="005710C5">
        <w:t xml:space="preserve"> before clinical worsening</w:t>
      </w:r>
      <w:r w:rsidR="00D5620B" w:rsidRPr="008D1B8B">
        <w:t>.</w:t>
      </w:r>
      <w:bookmarkEnd w:id="26"/>
    </w:p>
    <w:p w14:paraId="26E04FEC" w14:textId="77777777" w:rsidR="000C21A3" w:rsidRPr="00684C0E" w:rsidRDefault="00D32F71" w:rsidP="00C96667">
      <w:pPr>
        <w:pStyle w:val="LV1"/>
      </w:pPr>
      <w:bookmarkStart w:id="27" w:name="_Toc432166722"/>
      <w:bookmarkStart w:id="28" w:name="_Ref402530057"/>
      <w:r>
        <w:t>Relationship to s</w:t>
      </w:r>
      <w:r w:rsidR="000C21A3" w:rsidRPr="00684C0E">
        <w:t>ervice</w:t>
      </w:r>
      <w:bookmarkEnd w:id="27"/>
    </w:p>
    <w:p w14:paraId="0666E329" w14:textId="77777777" w:rsidR="00F03C06" w:rsidRPr="00187DE1" w:rsidRDefault="00F03C06" w:rsidP="00743F7F">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14:paraId="342547E1" w14:textId="55177408" w:rsidR="00CF2367" w:rsidRPr="00187DE1" w:rsidRDefault="00743F7F" w:rsidP="00743F7F">
      <w:pPr>
        <w:pStyle w:val="LV2"/>
      </w:pPr>
      <w:r w:rsidRPr="00743F7F">
        <w:t>The clinical worsening aspects of factors set out in section 8 apply</w:t>
      </w:r>
      <w:r w:rsidR="00F03C06" w:rsidRPr="00187DE1">
        <w:t xml:space="preserve"> only to material contribution to, or aggravation of, </w:t>
      </w:r>
      <w:r w:rsidR="00853DEF" w:rsidRPr="00853DEF">
        <w:t>traumatic brachial plexopathy</w:t>
      </w:r>
      <w:r w:rsidR="007A3989">
        <w:t xml:space="preserve"> </w:t>
      </w:r>
      <w:r w:rsidR="00F03C06" w:rsidRPr="00187DE1">
        <w:t>where the person</w:t>
      </w:r>
      <w:r w:rsidR="00A17B44">
        <w:t>'</w:t>
      </w:r>
      <w:r w:rsidR="00F03C06" w:rsidRPr="00187DE1">
        <w:t xml:space="preserve">s </w:t>
      </w:r>
      <w:r w:rsidR="00853DEF" w:rsidRPr="00853DEF">
        <w:t>traumatic brachial plexopathy</w:t>
      </w:r>
      <w:r w:rsidR="007A3989">
        <w:t xml:space="preserve"> </w:t>
      </w:r>
      <w:r w:rsidR="00F03C06" w:rsidRPr="00187DE1">
        <w:t>was suffered or contracted before or during (but did not arise out of) the person</w:t>
      </w:r>
      <w:r w:rsidR="00A17B44">
        <w:t>'</w:t>
      </w:r>
      <w:r w:rsidR="00F03C06" w:rsidRPr="00187DE1">
        <w:t xml:space="preserve">s relevant service. </w:t>
      </w:r>
    </w:p>
    <w:p w14:paraId="15434E1E" w14:textId="77777777" w:rsidR="00774897" w:rsidRPr="00301C54" w:rsidRDefault="00774897" w:rsidP="00C96667">
      <w:pPr>
        <w:pStyle w:val="LV1"/>
      </w:pPr>
      <w:bookmarkStart w:id="29" w:name="_Toc432166723"/>
      <w:r w:rsidRPr="00301C54">
        <w:t>Factors referring to an injury or disea</w:t>
      </w:r>
      <w:r w:rsidR="008B2204">
        <w:t>se covered by another Statement</w:t>
      </w:r>
      <w:r w:rsidRPr="00301C54">
        <w:t xml:space="preserve"> of Principles</w:t>
      </w:r>
      <w:bookmarkEnd w:id="29"/>
    </w:p>
    <w:p w14:paraId="5218A466" w14:textId="77777777" w:rsidR="00F03C06" w:rsidRPr="00E64EE4" w:rsidRDefault="00F03C06" w:rsidP="00431603">
      <w:pPr>
        <w:pStyle w:val="PlainIndent"/>
      </w:pPr>
      <w:r w:rsidRPr="00E64EE4">
        <w:t>In this Statement of Principles:</w:t>
      </w:r>
    </w:p>
    <w:p w14:paraId="1667AC2F" w14:textId="77777777" w:rsidR="00F03C06" w:rsidRPr="00E64EE4" w:rsidRDefault="00F03C06" w:rsidP="00743F7F">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14:paraId="2245335C" w14:textId="77777777" w:rsidR="00733269" w:rsidRPr="00E64EE4" w:rsidRDefault="00F03C06" w:rsidP="00743F7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7034E913" w14:textId="5585C22E" w:rsidR="00782F4E" w:rsidRPr="00E64EE4" w:rsidRDefault="00733269" w:rsidP="00431603">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38DE74E4" w14:textId="77777777" w:rsidR="00081B7C" w:rsidRPr="00FA33FB" w:rsidRDefault="00081B7C" w:rsidP="00431603">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49371363" w14:textId="77777777" w:rsidR="00F03C06" w:rsidRDefault="00F03C06" w:rsidP="00431603">
      <w:pPr>
        <w:pStyle w:val="PlainIndent"/>
      </w:pPr>
    </w:p>
    <w:p w14:paraId="60EF9E85" w14:textId="77777777" w:rsidR="00CF2367" w:rsidRPr="00FA33FB" w:rsidRDefault="00CF2367" w:rsidP="002A3436">
      <w:pPr>
        <w:pStyle w:val="SHHeader"/>
      </w:pPr>
      <w:bookmarkStart w:id="30" w:name="opcAmSched"/>
      <w:bookmarkStart w:id="31" w:name="opcCurrentFind"/>
      <w:bookmarkStart w:id="32" w:name="_Toc43216672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14:paraId="63A1412F"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14:paraId="3C4EA55B" w14:textId="77777777" w:rsidR="00BD3334" w:rsidRDefault="00702C42" w:rsidP="00516768">
      <w:pPr>
        <w:pStyle w:val="SH1"/>
      </w:pPr>
      <w:bookmarkStart w:id="33" w:name="_Toc405472918"/>
      <w:bookmarkStart w:id="34" w:name="_Toc432166725"/>
      <w:r w:rsidRPr="00D97BB3">
        <w:t>Definitions</w:t>
      </w:r>
      <w:bookmarkEnd w:id="33"/>
      <w:bookmarkEnd w:id="34"/>
    </w:p>
    <w:p w14:paraId="302A6283" w14:textId="77777777" w:rsidR="00702C42" w:rsidRPr="00516768" w:rsidRDefault="00702C42" w:rsidP="00431603">
      <w:pPr>
        <w:pStyle w:val="SH2"/>
      </w:pPr>
      <w:r w:rsidRPr="00516768">
        <w:t>In this instrument:</w:t>
      </w:r>
    </w:p>
    <w:p w14:paraId="6511F5E2" w14:textId="77777777" w:rsidR="00885EAB" w:rsidRPr="009C404D" w:rsidRDefault="00885EAB" w:rsidP="00984EE9">
      <w:pPr>
        <w:pStyle w:val="SH3"/>
        <w:ind w:left="851" w:hanging="851"/>
      </w:pPr>
      <w:bookmarkStart w:id="35"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5"/>
    <w:p w14:paraId="7D12C513"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541F7245" w14:textId="77777777"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14:paraId="556FB162"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38F4E128" w14:textId="77777777" w:rsidR="00885EAB" w:rsidRPr="00513D05" w:rsidRDefault="00C77046" w:rsidP="00984EE9">
      <w:pPr>
        <w:pStyle w:val="SH4"/>
        <w:ind w:left="1418"/>
      </w:pPr>
      <w:r>
        <w:t>peacetime service under the MRCA.</w:t>
      </w:r>
    </w:p>
    <w:p w14:paraId="256E8C3B" w14:textId="77777777" w:rsidR="002A69E1" w:rsidRPr="002A69E1" w:rsidRDefault="002A69E1" w:rsidP="00431603">
      <w:pPr>
        <w:pStyle w:val="ScheduleNote"/>
      </w:pPr>
      <w:r w:rsidRPr="002A69E1">
        <w:t xml:space="preserve">Note: </w:t>
      </w:r>
      <w:r w:rsidRPr="002A69E1">
        <w:rPr>
          <w:b/>
          <w:i/>
        </w:rPr>
        <w:t xml:space="preserve">MRCA </w:t>
      </w:r>
      <w:r w:rsidRPr="002A69E1">
        <w:t>and</w:t>
      </w:r>
      <w:r w:rsidRPr="002A69E1">
        <w:rPr>
          <w:b/>
          <w:i/>
        </w:rPr>
        <w:t xml:space="preserve"> VEA</w:t>
      </w:r>
      <w:r w:rsidR="00853F86">
        <w:t xml:space="preserve"> are</w:t>
      </w:r>
      <w:r w:rsidRPr="002A69E1">
        <w:t xml:space="preserve"> defined in the Schedule 1 - Dictionary.</w:t>
      </w:r>
      <w:r w:rsidRPr="002A69E1">
        <w:tab/>
      </w:r>
    </w:p>
    <w:p w14:paraId="1D4180CE"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14:paraId="74F725B7" w14:textId="77777777" w:rsidR="00885EAB" w:rsidRPr="00513D05" w:rsidRDefault="00513D05" w:rsidP="00984EE9">
      <w:pPr>
        <w:pStyle w:val="SH4"/>
        <w:ind w:left="1418"/>
      </w:pPr>
      <w:r>
        <w:tab/>
      </w:r>
      <w:r w:rsidR="00885EAB" w:rsidRPr="00513D05">
        <w:t>pneumonia;</w:t>
      </w:r>
    </w:p>
    <w:p w14:paraId="486ED73D" w14:textId="77777777" w:rsidR="00885EAB" w:rsidRPr="00513D05" w:rsidRDefault="00885EAB" w:rsidP="00984EE9">
      <w:pPr>
        <w:pStyle w:val="SH4"/>
        <w:ind w:left="1418"/>
      </w:pPr>
      <w:r w:rsidRPr="00513D05">
        <w:tab/>
        <w:t>respiratory failure;</w:t>
      </w:r>
    </w:p>
    <w:p w14:paraId="5F441F71" w14:textId="77777777" w:rsidR="00885EAB" w:rsidRPr="00513D05" w:rsidRDefault="00885EAB" w:rsidP="00984EE9">
      <w:pPr>
        <w:pStyle w:val="SH4"/>
        <w:ind w:left="1418"/>
      </w:pPr>
      <w:r w:rsidRPr="00513D05">
        <w:tab/>
        <w:t>cardiac arrest;</w:t>
      </w:r>
    </w:p>
    <w:p w14:paraId="53771B8D" w14:textId="77777777" w:rsidR="00885EAB" w:rsidRPr="00513D05" w:rsidRDefault="00885EAB" w:rsidP="00984EE9">
      <w:pPr>
        <w:pStyle w:val="SH4"/>
        <w:ind w:left="1418"/>
      </w:pPr>
      <w:r w:rsidRPr="00513D05">
        <w:tab/>
        <w:t>circulatory failure;</w:t>
      </w:r>
      <w:r w:rsidR="002376A0">
        <w:t xml:space="preserve"> or</w:t>
      </w:r>
    </w:p>
    <w:p w14:paraId="1B68C079" w14:textId="77777777" w:rsidR="00BD3334" w:rsidRPr="00BD3334" w:rsidRDefault="00885EAB" w:rsidP="00984EE9">
      <w:pPr>
        <w:pStyle w:val="SH4"/>
        <w:ind w:left="1418"/>
      </w:pPr>
      <w:r w:rsidRPr="00513D05">
        <w:tab/>
        <w:t>cessation of brain function.</w:t>
      </w:r>
    </w:p>
    <w:p w14:paraId="26165943" w14:textId="1EC1763F" w:rsidR="00CE3861" w:rsidRPr="00C17D67" w:rsidRDefault="00CE3861" w:rsidP="00CE3861">
      <w:pPr>
        <w:pStyle w:val="SH3"/>
      </w:pPr>
      <w:r w:rsidRPr="00C17D67">
        <w:rPr>
          <w:b/>
          <w:bCs/>
          <w:i/>
          <w:iCs/>
        </w:rPr>
        <w:t>trauma to the upper chest, shoulder or neck</w:t>
      </w:r>
      <w:r w:rsidRPr="00C17D67">
        <w:t xml:space="preserve"> means traction, compression, penetrating injury or surgery to the affected upper chest, shoulder or neck region. </w:t>
      </w:r>
    </w:p>
    <w:p w14:paraId="22AB17C2" w14:textId="314B4F89" w:rsidR="00AB5921" w:rsidRPr="00AB5921" w:rsidRDefault="00AB5921" w:rsidP="00AB5921">
      <w:pPr>
        <w:pStyle w:val="SH3"/>
      </w:pPr>
      <w:r w:rsidRPr="00AB5921">
        <w:rPr>
          <w:b/>
          <w:bCs/>
          <w:i/>
          <w:iCs/>
        </w:rPr>
        <w:t>traumatic brachial plexopathy</w:t>
      </w:r>
      <w:r w:rsidRPr="00AB5921">
        <w:t>—see subsection 6(2).</w:t>
      </w:r>
    </w:p>
    <w:p w14:paraId="1CACAA0A" w14:textId="49FE0D43"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14:paraId="2704116F" w14:textId="77777777" w:rsidR="00CF2367" w:rsidRPr="00FA33FB" w:rsidRDefault="00CF2367" w:rsidP="00CF2367"/>
    <w:p w14:paraId="621D93F5"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23C20688"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DFE40" w14:textId="77777777" w:rsidR="008C7465" w:rsidRDefault="008C7465" w:rsidP="00715914">
      <w:pPr>
        <w:spacing w:line="240" w:lineRule="auto"/>
      </w:pPr>
      <w:r>
        <w:separator/>
      </w:r>
    </w:p>
  </w:endnote>
  <w:endnote w:type="continuationSeparator" w:id="0">
    <w:p w14:paraId="10325E96"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E5593" w14:textId="77777777" w:rsidR="002766E1" w:rsidRPr="00E33C1C" w:rsidRDefault="002766E1"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2766E1" w:rsidRPr="00C01863" w14:paraId="683E7EE7" w14:textId="77777777" w:rsidTr="00CC061E">
      <w:tc>
        <w:tcPr>
          <w:tcW w:w="709" w:type="dxa"/>
          <w:tcBorders>
            <w:top w:val="nil"/>
            <w:left w:val="nil"/>
            <w:bottom w:val="nil"/>
            <w:right w:val="nil"/>
          </w:tcBorders>
          <w:shd w:val="clear" w:color="auto" w:fill="auto"/>
        </w:tcPr>
        <w:p w14:paraId="55E5C370" w14:textId="77777777" w:rsidR="002766E1" w:rsidRPr="00C01863" w:rsidRDefault="002766E1" w:rsidP="002766E1">
          <w:pPr>
            <w:spacing w:line="0" w:lineRule="atLeast"/>
            <w:rPr>
              <w:sz w:val="18"/>
            </w:rPr>
          </w:pPr>
        </w:p>
      </w:tc>
      <w:tc>
        <w:tcPr>
          <w:tcW w:w="7088" w:type="dxa"/>
          <w:tcBorders>
            <w:top w:val="nil"/>
            <w:left w:val="nil"/>
            <w:bottom w:val="nil"/>
            <w:right w:val="nil"/>
          </w:tcBorders>
          <w:shd w:val="clear" w:color="auto" w:fill="auto"/>
        </w:tcPr>
        <w:p w14:paraId="6A879420" w14:textId="77777777" w:rsidR="002766E1" w:rsidRDefault="002766E1" w:rsidP="002766E1">
          <w:pPr>
            <w:spacing w:line="0" w:lineRule="atLeast"/>
            <w:jc w:val="center"/>
            <w:rPr>
              <w:i/>
              <w:sz w:val="18"/>
            </w:rPr>
          </w:pPr>
          <w:r w:rsidRPr="007C5CE0">
            <w:rPr>
              <w:i/>
              <w:sz w:val="18"/>
            </w:rPr>
            <w:t>Statement of Principles concerning</w:t>
          </w:r>
        </w:p>
        <w:p w14:paraId="6E4A73CD" w14:textId="08D588BC" w:rsidR="002766E1" w:rsidRDefault="00853DEF" w:rsidP="002766E1">
          <w:pPr>
            <w:spacing w:line="0" w:lineRule="atLeast"/>
            <w:jc w:val="center"/>
            <w:rPr>
              <w:i/>
              <w:sz w:val="18"/>
              <w:szCs w:val="18"/>
            </w:rPr>
          </w:pPr>
          <w:r w:rsidRPr="00853DEF">
            <w:rPr>
              <w:i/>
              <w:sz w:val="18"/>
              <w:szCs w:val="18"/>
            </w:rPr>
            <w:t>Traumatic Brachial Plexopathy</w:t>
          </w:r>
          <w:r w:rsidR="002766E1">
            <w:rPr>
              <w:i/>
              <w:sz w:val="18"/>
              <w:szCs w:val="18"/>
            </w:rPr>
            <w:t xml:space="preserve"> (Balance of Probabilities) </w:t>
          </w:r>
          <w:r w:rsidR="002766E1" w:rsidRPr="007C5CE0">
            <w:rPr>
              <w:i/>
              <w:sz w:val="18"/>
            </w:rPr>
            <w:t xml:space="preserve">(No. </w:t>
          </w:r>
          <w:r w:rsidRPr="00853DEF">
            <w:rPr>
              <w:i/>
              <w:sz w:val="18"/>
              <w:szCs w:val="18"/>
            </w:rPr>
            <w:t>2</w:t>
          </w:r>
          <w:r w:rsidR="002766E1" w:rsidRPr="007C5CE0">
            <w:rPr>
              <w:i/>
              <w:sz w:val="18"/>
              <w:szCs w:val="18"/>
            </w:rPr>
            <w:t xml:space="preserve"> of </w:t>
          </w:r>
          <w:r w:rsidRPr="00853DEF">
            <w:rPr>
              <w:i/>
              <w:sz w:val="18"/>
              <w:szCs w:val="18"/>
            </w:rPr>
            <w:t>2025</w:t>
          </w:r>
          <w:r w:rsidR="002766E1" w:rsidRPr="007C5CE0">
            <w:rPr>
              <w:i/>
              <w:sz w:val="18"/>
              <w:szCs w:val="18"/>
            </w:rPr>
            <w:t>)</w:t>
          </w:r>
        </w:p>
        <w:p w14:paraId="39497A0E" w14:textId="77777777"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52DC4B38" w14:textId="77777777"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710C5">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710C5">
            <w:rPr>
              <w:i/>
              <w:noProof/>
              <w:sz w:val="18"/>
            </w:rPr>
            <w:t>5</w:t>
          </w:r>
          <w:r>
            <w:rPr>
              <w:i/>
              <w:sz w:val="18"/>
            </w:rPr>
            <w:fldChar w:fldCharType="end"/>
          </w:r>
        </w:p>
      </w:tc>
    </w:tr>
  </w:tbl>
  <w:p w14:paraId="409762C6" w14:textId="77777777" w:rsidR="002766E1" w:rsidRPr="00035BD7" w:rsidRDefault="002766E1" w:rsidP="00276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6605D" w14:textId="77777777" w:rsidR="002766E1" w:rsidRPr="00E33C1C" w:rsidRDefault="002766E1"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2766E1" w:rsidRPr="00C01863" w14:paraId="68908670" w14:textId="77777777" w:rsidTr="00CC061E">
      <w:tc>
        <w:tcPr>
          <w:tcW w:w="709" w:type="dxa"/>
          <w:tcBorders>
            <w:top w:val="nil"/>
            <w:left w:val="nil"/>
            <w:bottom w:val="nil"/>
            <w:right w:val="nil"/>
          </w:tcBorders>
          <w:shd w:val="clear" w:color="auto" w:fill="auto"/>
        </w:tcPr>
        <w:p w14:paraId="2BEBB564" w14:textId="77777777" w:rsidR="002766E1" w:rsidRPr="00C01863" w:rsidRDefault="002766E1" w:rsidP="002766E1">
          <w:pPr>
            <w:spacing w:line="0" w:lineRule="atLeast"/>
            <w:rPr>
              <w:sz w:val="18"/>
            </w:rPr>
          </w:pPr>
        </w:p>
      </w:tc>
      <w:tc>
        <w:tcPr>
          <w:tcW w:w="7088" w:type="dxa"/>
          <w:tcBorders>
            <w:top w:val="nil"/>
            <w:left w:val="nil"/>
            <w:bottom w:val="nil"/>
            <w:right w:val="nil"/>
          </w:tcBorders>
          <w:shd w:val="clear" w:color="auto" w:fill="auto"/>
        </w:tcPr>
        <w:p w14:paraId="0C9A7C7F" w14:textId="77777777" w:rsidR="002766E1" w:rsidRDefault="002766E1" w:rsidP="002766E1">
          <w:pPr>
            <w:spacing w:line="0" w:lineRule="atLeast"/>
            <w:jc w:val="center"/>
            <w:rPr>
              <w:i/>
              <w:sz w:val="18"/>
            </w:rPr>
          </w:pPr>
          <w:r w:rsidRPr="007C5CE0">
            <w:rPr>
              <w:i/>
              <w:sz w:val="18"/>
            </w:rPr>
            <w:t>Statement of Principles concerning</w:t>
          </w:r>
        </w:p>
        <w:p w14:paraId="1DA6CC56" w14:textId="66FB8345" w:rsidR="002766E1" w:rsidRDefault="00853DEF" w:rsidP="002766E1">
          <w:pPr>
            <w:spacing w:line="0" w:lineRule="atLeast"/>
            <w:jc w:val="center"/>
            <w:rPr>
              <w:i/>
              <w:sz w:val="18"/>
              <w:szCs w:val="18"/>
            </w:rPr>
          </w:pPr>
          <w:r w:rsidRPr="00853DEF">
            <w:rPr>
              <w:i/>
              <w:sz w:val="18"/>
              <w:szCs w:val="18"/>
            </w:rPr>
            <w:t>Traumatic Brachial Plexopathy</w:t>
          </w:r>
          <w:r w:rsidR="002766E1">
            <w:rPr>
              <w:i/>
              <w:sz w:val="18"/>
              <w:szCs w:val="18"/>
            </w:rPr>
            <w:t xml:space="preserve"> (Balance of Probabilities) </w:t>
          </w:r>
          <w:r w:rsidR="002766E1" w:rsidRPr="007C5CE0">
            <w:rPr>
              <w:i/>
              <w:sz w:val="18"/>
            </w:rPr>
            <w:t xml:space="preserve">(No. </w:t>
          </w:r>
          <w:r w:rsidRPr="00853DEF">
            <w:rPr>
              <w:i/>
              <w:sz w:val="18"/>
              <w:szCs w:val="18"/>
            </w:rPr>
            <w:t>2</w:t>
          </w:r>
          <w:r w:rsidR="002766E1" w:rsidRPr="007C5CE0">
            <w:rPr>
              <w:i/>
              <w:sz w:val="18"/>
              <w:szCs w:val="18"/>
            </w:rPr>
            <w:t xml:space="preserve"> of </w:t>
          </w:r>
          <w:r w:rsidRPr="00853DEF">
            <w:rPr>
              <w:i/>
              <w:sz w:val="18"/>
              <w:szCs w:val="18"/>
            </w:rPr>
            <w:t>2025</w:t>
          </w:r>
          <w:r w:rsidR="002766E1" w:rsidRPr="007C5CE0">
            <w:rPr>
              <w:i/>
              <w:sz w:val="18"/>
              <w:szCs w:val="18"/>
            </w:rPr>
            <w:t>)</w:t>
          </w:r>
        </w:p>
        <w:p w14:paraId="22F9BB90" w14:textId="77777777"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619D3F41" w14:textId="77777777"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710C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710C5">
            <w:rPr>
              <w:i/>
              <w:noProof/>
              <w:sz w:val="18"/>
            </w:rPr>
            <w:t>5</w:t>
          </w:r>
          <w:r>
            <w:rPr>
              <w:i/>
              <w:sz w:val="18"/>
            </w:rPr>
            <w:fldChar w:fldCharType="end"/>
          </w:r>
        </w:p>
      </w:tc>
    </w:tr>
  </w:tbl>
  <w:p w14:paraId="0B827120" w14:textId="77777777" w:rsidR="002766E1" w:rsidRPr="00035BD7" w:rsidRDefault="002766E1" w:rsidP="00276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9418D" w14:textId="77777777" w:rsidR="00885EAB" w:rsidRPr="008859EF" w:rsidRDefault="00885EAB" w:rsidP="008859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F426"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E7C6A" w14:textId="77777777" w:rsidR="00885EAB" w:rsidRPr="002766E1" w:rsidRDefault="00885EAB" w:rsidP="002766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EFE5F" w14:textId="77777777" w:rsidR="00885EAB" w:rsidRPr="002766E1" w:rsidRDefault="00885EAB" w:rsidP="0027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C725E" w14:textId="77777777" w:rsidR="008C7465" w:rsidRDefault="008C7465" w:rsidP="00715914">
      <w:pPr>
        <w:spacing w:line="240" w:lineRule="auto"/>
      </w:pPr>
      <w:r>
        <w:separator/>
      </w:r>
    </w:p>
  </w:footnote>
  <w:footnote w:type="continuationSeparator" w:id="0">
    <w:p w14:paraId="623EE844"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9A2E" w14:textId="6D646195" w:rsidR="002766E1" w:rsidRPr="00E516A3" w:rsidRDefault="002766E1" w:rsidP="00E516A3">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604F" w14:textId="77777777" w:rsidR="00885EAB" w:rsidRPr="002766E1" w:rsidRDefault="00885EAB" w:rsidP="00276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36D" w14:textId="77777777" w:rsidR="0090297C" w:rsidRDefault="0090297C" w:rsidP="0090297C">
    <w:pPr>
      <w:rPr>
        <w:sz w:val="20"/>
      </w:rPr>
    </w:pPr>
    <w:r>
      <w:rPr>
        <w:b/>
        <w:noProof/>
        <w:sz w:val="20"/>
      </w:rPr>
      <w:t>Schedule 1</w:t>
    </w:r>
    <w:r>
      <w:rPr>
        <w:sz w:val="20"/>
      </w:rPr>
      <w:t xml:space="preserve"> - </w:t>
    </w:r>
    <w:r>
      <w:rPr>
        <w:noProof/>
        <w:sz w:val="20"/>
      </w:rPr>
      <w:t>Dictionary</w:t>
    </w:r>
  </w:p>
  <w:p w14:paraId="40A95649" w14:textId="77777777" w:rsidR="0090297C" w:rsidRDefault="0090297C" w:rsidP="0090297C">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4707"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CCA8" w14:textId="77777777" w:rsidR="00885EAB" w:rsidRPr="002766E1" w:rsidRDefault="00885EAB" w:rsidP="002766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8400" w14:textId="77777777" w:rsidR="00885EAB" w:rsidRPr="002766E1" w:rsidRDefault="00885EAB" w:rsidP="002766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F4525"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C5C7D1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445271606">
    <w:abstractNumId w:val="14"/>
  </w:num>
  <w:num w:numId="2" w16cid:durableId="747313747">
    <w:abstractNumId w:val="12"/>
  </w:num>
  <w:num w:numId="3" w16cid:durableId="977801044">
    <w:abstractNumId w:val="11"/>
  </w:num>
  <w:num w:numId="4" w16cid:durableId="2051807362">
    <w:abstractNumId w:val="10"/>
  </w:num>
  <w:num w:numId="5" w16cid:durableId="985859793">
    <w:abstractNumId w:val="13"/>
  </w:num>
  <w:num w:numId="6" w16cid:durableId="4094267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660627">
    <w:abstractNumId w:val="9"/>
  </w:num>
  <w:num w:numId="8" w16cid:durableId="1670982890">
    <w:abstractNumId w:val="7"/>
  </w:num>
  <w:num w:numId="9" w16cid:durableId="258296301">
    <w:abstractNumId w:val="6"/>
  </w:num>
  <w:num w:numId="10" w16cid:durableId="1893732869">
    <w:abstractNumId w:val="5"/>
  </w:num>
  <w:num w:numId="11" w16cid:durableId="233399136">
    <w:abstractNumId w:val="4"/>
  </w:num>
  <w:num w:numId="12" w16cid:durableId="1712145927">
    <w:abstractNumId w:val="8"/>
  </w:num>
  <w:num w:numId="13" w16cid:durableId="888609951">
    <w:abstractNumId w:val="3"/>
  </w:num>
  <w:num w:numId="14" w16cid:durableId="1324897018">
    <w:abstractNumId w:val="2"/>
  </w:num>
  <w:num w:numId="15" w16cid:durableId="210462453">
    <w:abstractNumId w:val="1"/>
  </w:num>
  <w:num w:numId="16" w16cid:durableId="1370567178">
    <w:abstractNumId w:val="0"/>
  </w:num>
  <w:num w:numId="17" w16cid:durableId="1227450802">
    <w:abstractNumId w:val="10"/>
  </w:num>
  <w:num w:numId="18" w16cid:durableId="1155995582">
    <w:abstractNumId w:val="10"/>
  </w:num>
  <w:num w:numId="19" w16cid:durableId="473717776">
    <w:abstractNumId w:val="10"/>
  </w:num>
  <w:num w:numId="20" w16cid:durableId="7361736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84869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47985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234D"/>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3866"/>
    <w:rsid w:val="001058EA"/>
    <w:rsid w:val="0010745C"/>
    <w:rsid w:val="00132CEB"/>
    <w:rsid w:val="00137FE9"/>
    <w:rsid w:val="00142B62"/>
    <w:rsid w:val="0015201F"/>
    <w:rsid w:val="00157B8B"/>
    <w:rsid w:val="00160E32"/>
    <w:rsid w:val="00161A8E"/>
    <w:rsid w:val="001648F7"/>
    <w:rsid w:val="00166C2F"/>
    <w:rsid w:val="0017715D"/>
    <w:rsid w:val="001809D7"/>
    <w:rsid w:val="001833C8"/>
    <w:rsid w:val="00187DE1"/>
    <w:rsid w:val="0019084F"/>
    <w:rsid w:val="001939E1"/>
    <w:rsid w:val="00194C3E"/>
    <w:rsid w:val="00195382"/>
    <w:rsid w:val="001B0F26"/>
    <w:rsid w:val="001C2AD2"/>
    <w:rsid w:val="001C5DC9"/>
    <w:rsid w:val="001C61C5"/>
    <w:rsid w:val="001C69C4"/>
    <w:rsid w:val="001C77EE"/>
    <w:rsid w:val="001D2262"/>
    <w:rsid w:val="001D37EF"/>
    <w:rsid w:val="001D407A"/>
    <w:rsid w:val="001D67F6"/>
    <w:rsid w:val="001D7D35"/>
    <w:rsid w:val="001E3590"/>
    <w:rsid w:val="001E44BE"/>
    <w:rsid w:val="001E4EF7"/>
    <w:rsid w:val="001E7407"/>
    <w:rsid w:val="001F5D5E"/>
    <w:rsid w:val="001F6219"/>
    <w:rsid w:val="001F6CD4"/>
    <w:rsid w:val="00206C4D"/>
    <w:rsid w:val="0021053C"/>
    <w:rsid w:val="00214488"/>
    <w:rsid w:val="002156CB"/>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4F4F"/>
    <w:rsid w:val="002766E1"/>
    <w:rsid w:val="002773D7"/>
    <w:rsid w:val="00281308"/>
    <w:rsid w:val="00281DF7"/>
    <w:rsid w:val="00284719"/>
    <w:rsid w:val="00297ECB"/>
    <w:rsid w:val="002A1ECC"/>
    <w:rsid w:val="002A3436"/>
    <w:rsid w:val="002A69E1"/>
    <w:rsid w:val="002A7BCF"/>
    <w:rsid w:val="002B45FA"/>
    <w:rsid w:val="002B5188"/>
    <w:rsid w:val="002C7539"/>
    <w:rsid w:val="002D043A"/>
    <w:rsid w:val="002D2AA2"/>
    <w:rsid w:val="002D6224"/>
    <w:rsid w:val="002E35CD"/>
    <w:rsid w:val="002E3F4B"/>
    <w:rsid w:val="002F5948"/>
    <w:rsid w:val="002F6D20"/>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14BC"/>
    <w:rsid w:val="003C4C02"/>
    <w:rsid w:val="003C6231"/>
    <w:rsid w:val="003D0AC7"/>
    <w:rsid w:val="003D0BFE"/>
    <w:rsid w:val="003D5700"/>
    <w:rsid w:val="003E14DA"/>
    <w:rsid w:val="003E341B"/>
    <w:rsid w:val="003F39C0"/>
    <w:rsid w:val="003F4535"/>
    <w:rsid w:val="004116CD"/>
    <w:rsid w:val="0041386E"/>
    <w:rsid w:val="004144EC"/>
    <w:rsid w:val="00417EB9"/>
    <w:rsid w:val="00420A33"/>
    <w:rsid w:val="0042300E"/>
    <w:rsid w:val="00424CA9"/>
    <w:rsid w:val="00431603"/>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6BA"/>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27748"/>
    <w:rsid w:val="0053697E"/>
    <w:rsid w:val="00537422"/>
    <w:rsid w:val="00537FBC"/>
    <w:rsid w:val="00545116"/>
    <w:rsid w:val="005574D1"/>
    <w:rsid w:val="005710C5"/>
    <w:rsid w:val="00571FBB"/>
    <w:rsid w:val="005758CA"/>
    <w:rsid w:val="00575A90"/>
    <w:rsid w:val="00584811"/>
    <w:rsid w:val="00585784"/>
    <w:rsid w:val="00590D8F"/>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96228"/>
    <w:rsid w:val="006B227F"/>
    <w:rsid w:val="006B5789"/>
    <w:rsid w:val="006C30C5"/>
    <w:rsid w:val="006C4E18"/>
    <w:rsid w:val="006C781E"/>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306C"/>
    <w:rsid w:val="00743F7F"/>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3DEF"/>
    <w:rsid w:val="00853F86"/>
    <w:rsid w:val="00856A31"/>
    <w:rsid w:val="0086644D"/>
    <w:rsid w:val="00867ABD"/>
    <w:rsid w:val="00867B37"/>
    <w:rsid w:val="00873081"/>
    <w:rsid w:val="008754D0"/>
    <w:rsid w:val="00877AE3"/>
    <w:rsid w:val="008855C9"/>
    <w:rsid w:val="008859EF"/>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297C"/>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A4343"/>
    <w:rsid w:val="009B5A4E"/>
    <w:rsid w:val="009C2B65"/>
    <w:rsid w:val="009C404D"/>
    <w:rsid w:val="009D1C6E"/>
    <w:rsid w:val="009D6BB0"/>
    <w:rsid w:val="009E5CFC"/>
    <w:rsid w:val="00A06E7A"/>
    <w:rsid w:val="00A079CB"/>
    <w:rsid w:val="00A11C0D"/>
    <w:rsid w:val="00A12128"/>
    <w:rsid w:val="00A137F8"/>
    <w:rsid w:val="00A175C7"/>
    <w:rsid w:val="00A17B44"/>
    <w:rsid w:val="00A20CA1"/>
    <w:rsid w:val="00A20FDB"/>
    <w:rsid w:val="00A22C98"/>
    <w:rsid w:val="00A231E2"/>
    <w:rsid w:val="00A515BC"/>
    <w:rsid w:val="00A56C3D"/>
    <w:rsid w:val="00A6070D"/>
    <w:rsid w:val="00A64912"/>
    <w:rsid w:val="00A64BA1"/>
    <w:rsid w:val="00A70A74"/>
    <w:rsid w:val="00A931D7"/>
    <w:rsid w:val="00AA64D6"/>
    <w:rsid w:val="00AA6D8B"/>
    <w:rsid w:val="00AB14B5"/>
    <w:rsid w:val="00AB5921"/>
    <w:rsid w:val="00AD2DC7"/>
    <w:rsid w:val="00AD5641"/>
    <w:rsid w:val="00AD7889"/>
    <w:rsid w:val="00AD7AC2"/>
    <w:rsid w:val="00AD7DCC"/>
    <w:rsid w:val="00AF021B"/>
    <w:rsid w:val="00AF06CF"/>
    <w:rsid w:val="00B05CF4"/>
    <w:rsid w:val="00B0685B"/>
    <w:rsid w:val="00B07CDB"/>
    <w:rsid w:val="00B166C8"/>
    <w:rsid w:val="00B16A31"/>
    <w:rsid w:val="00B177FE"/>
    <w:rsid w:val="00B17DFD"/>
    <w:rsid w:val="00B22F93"/>
    <w:rsid w:val="00B24368"/>
    <w:rsid w:val="00B308FE"/>
    <w:rsid w:val="00B33709"/>
    <w:rsid w:val="00B33B3C"/>
    <w:rsid w:val="00B50826"/>
    <w:rsid w:val="00B50ADC"/>
    <w:rsid w:val="00B527C0"/>
    <w:rsid w:val="00B553B7"/>
    <w:rsid w:val="00B566B1"/>
    <w:rsid w:val="00B6234F"/>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6E4F"/>
    <w:rsid w:val="00CA7414"/>
    <w:rsid w:val="00CB1DCB"/>
    <w:rsid w:val="00CB2C8E"/>
    <w:rsid w:val="00CB602E"/>
    <w:rsid w:val="00CC7039"/>
    <w:rsid w:val="00CD65D0"/>
    <w:rsid w:val="00CD7B88"/>
    <w:rsid w:val="00CE051D"/>
    <w:rsid w:val="00CE1335"/>
    <w:rsid w:val="00CE3861"/>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637F2"/>
    <w:rsid w:val="00D64E0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B7825"/>
    <w:rsid w:val="00DC4F88"/>
    <w:rsid w:val="00DD2B43"/>
    <w:rsid w:val="00DD31AB"/>
    <w:rsid w:val="00DE59B7"/>
    <w:rsid w:val="00DF24DC"/>
    <w:rsid w:val="00DF5291"/>
    <w:rsid w:val="00DF6D11"/>
    <w:rsid w:val="00E05704"/>
    <w:rsid w:val="00E11E44"/>
    <w:rsid w:val="00E3270E"/>
    <w:rsid w:val="00E338EF"/>
    <w:rsid w:val="00E35C4E"/>
    <w:rsid w:val="00E516A3"/>
    <w:rsid w:val="00E544BB"/>
    <w:rsid w:val="00E55F66"/>
    <w:rsid w:val="00E64EE4"/>
    <w:rsid w:val="00E662CB"/>
    <w:rsid w:val="00E70248"/>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104BE"/>
    <w:rsid w:val="00F142C9"/>
    <w:rsid w:val="00F32BA8"/>
    <w:rsid w:val="00F349F1"/>
    <w:rsid w:val="00F4350D"/>
    <w:rsid w:val="00F567F7"/>
    <w:rsid w:val="00F62036"/>
    <w:rsid w:val="00F65B52"/>
    <w:rsid w:val="00F67B67"/>
    <w:rsid w:val="00F67BCA"/>
    <w:rsid w:val="00F737EA"/>
    <w:rsid w:val="00F73BD6"/>
    <w:rsid w:val="00F82552"/>
    <w:rsid w:val="00F83264"/>
    <w:rsid w:val="00F83989"/>
    <w:rsid w:val="00F83D85"/>
    <w:rsid w:val="00F85099"/>
    <w:rsid w:val="00F9379C"/>
    <w:rsid w:val="00F956BA"/>
    <w:rsid w:val="00F9632C"/>
    <w:rsid w:val="00F97A62"/>
    <w:rsid w:val="00FA0587"/>
    <w:rsid w:val="00FA1714"/>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36B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31603"/>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743F7F"/>
    <w:pPr>
      <w:numPr>
        <w:ilvl w:val="1"/>
        <w:numId w:val="19"/>
      </w:numPr>
      <w:ind w:left="1418"/>
    </w:pPr>
  </w:style>
  <w:style w:type="paragraph" w:customStyle="1" w:styleId="LV3">
    <w:name w:val="LV 3"/>
    <w:basedOn w:val="PlainIndent"/>
    <w:autoRedefine/>
    <w:qFormat/>
    <w:rsid w:val="00431603"/>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31603"/>
    <w:pPr>
      <w:ind w:left="1985" w:firstLine="0"/>
    </w:pPr>
  </w:style>
  <w:style w:type="paragraph" w:customStyle="1" w:styleId="Note2">
    <w:name w:val="Note 2"/>
    <w:basedOn w:val="NOTE"/>
    <w:link w:val="Note2Char"/>
    <w:uiPriority w:val="2"/>
    <w:qFormat/>
    <w:rsid w:val="00431603"/>
    <w:pPr>
      <w:ind w:hanging="510"/>
    </w:pPr>
  </w:style>
  <w:style w:type="character" w:customStyle="1" w:styleId="Note1Char">
    <w:name w:val="Note 1 Char"/>
    <w:basedOn w:val="DefaultParagraphFont"/>
    <w:link w:val="Note1"/>
    <w:uiPriority w:val="2"/>
    <w:rsid w:val="00431603"/>
    <w:rPr>
      <w:rFonts w:eastAsia="Times New Roman"/>
      <w:sz w:val="18"/>
    </w:rPr>
  </w:style>
  <w:style w:type="character" w:customStyle="1" w:styleId="Note2Char">
    <w:name w:val="Note 2 Char"/>
    <w:basedOn w:val="DefaultParagraphFont"/>
    <w:link w:val="Note2"/>
    <w:uiPriority w:val="2"/>
    <w:rsid w:val="00431603"/>
    <w:rPr>
      <w:rFonts w:eastAsia="Times New Roman"/>
      <w:sz w:val="18"/>
    </w:rPr>
  </w:style>
  <w:style w:type="paragraph" w:customStyle="1" w:styleId="ScheduleNote">
    <w:name w:val="Schedule Note"/>
    <w:basedOn w:val="NOTE"/>
    <w:link w:val="ScheduleNoteChar"/>
    <w:uiPriority w:val="2"/>
    <w:qFormat/>
    <w:rsid w:val="00431603"/>
    <w:pPr>
      <w:ind w:left="851" w:firstLine="0"/>
    </w:pPr>
  </w:style>
  <w:style w:type="character" w:customStyle="1" w:styleId="ScheduleNoteChar">
    <w:name w:val="Schedule Note Char"/>
    <w:basedOn w:val="DefaultParagraphFont"/>
    <w:link w:val="ScheduleNote"/>
    <w:uiPriority w:val="2"/>
    <w:rsid w:val="00431603"/>
    <w:rPr>
      <w:rFonts w:eastAsia="Times New Roman"/>
      <w:sz w:val="18"/>
    </w:rPr>
  </w:style>
  <w:style w:type="paragraph" w:customStyle="1" w:styleId="Note3">
    <w:name w:val="Note 3"/>
    <w:basedOn w:val="NOTE"/>
    <w:link w:val="Note3Char"/>
    <w:uiPriority w:val="2"/>
    <w:qFormat/>
    <w:rsid w:val="00431603"/>
    <w:pPr>
      <w:ind w:left="2977" w:hanging="425"/>
    </w:pPr>
  </w:style>
  <w:style w:type="character" w:customStyle="1" w:styleId="Note3Char">
    <w:name w:val="Note 3 Char"/>
    <w:basedOn w:val="DefaultParagraphFont"/>
    <w:link w:val="Note3"/>
    <w:uiPriority w:val="2"/>
    <w:rsid w:val="00431603"/>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7383</Characters>
  <Application>Microsoft Office Word</Application>
  <DocSecurity>0</DocSecurity>
  <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2024-10-30T03:18:00Z</dcterms:created>
  <dcterms:modified xsi:type="dcterms:W3CDTF">2024-12-16T22:00:00Z</dcterms:modified>
  <cp:category/>
  <cp:contentStatus/>
  <dc:language/>
  <cp:version/>
</cp:coreProperties>
</file>