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37C8" w14:textId="422F0595" w:rsidR="00F109D4" w:rsidRPr="003C5719" w:rsidRDefault="00F109D4" w:rsidP="0022241A">
      <w:pPr>
        <w:pStyle w:val="Heading1"/>
        <w:jc w:val="center"/>
      </w:pPr>
      <w:r w:rsidRPr="003C5719">
        <w:t>EXPLANATORY STATEMENT</w:t>
      </w:r>
    </w:p>
    <w:p w14:paraId="3238B5E5" w14:textId="584F36FB"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39EDEFF7CF6A4E4D8BEAE5440FA65730"/>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E2486">
            <w:rPr>
              <w:rStyle w:val="DefaultChar"/>
            </w:rPr>
            <w:t>the Minister for Housing and Minister for Homelessness</w:t>
          </w:r>
        </w:sdtContent>
      </w:sdt>
      <w:r w:rsidR="00076178" w:rsidRPr="003C5719">
        <w:rPr>
          <w:sz w:val="24"/>
          <w:szCs w:val="24"/>
        </w:rPr>
        <w:t xml:space="preserve"> </w:t>
      </w:r>
    </w:p>
    <w:p w14:paraId="44A6DB8C" w14:textId="2B21B056" w:rsidR="00F109D4" w:rsidRPr="003C5719" w:rsidRDefault="00335DE9" w:rsidP="004A27A8">
      <w:pPr>
        <w:spacing w:before="240" w:after="240"/>
        <w:jc w:val="center"/>
        <w:rPr>
          <w:i/>
        </w:rPr>
      </w:pPr>
      <w:r w:rsidRPr="00265D6C">
        <w:rPr>
          <w:i/>
        </w:rPr>
        <w:t>Housing Australia Act 2018</w:t>
      </w:r>
    </w:p>
    <w:p w14:paraId="50415D07" w14:textId="5277BC12" w:rsidR="00F109D4" w:rsidRPr="003C5719" w:rsidRDefault="0020346B" w:rsidP="004A27A8">
      <w:pPr>
        <w:tabs>
          <w:tab w:val="left" w:pos="1418"/>
        </w:tabs>
        <w:spacing w:before="0" w:after="240"/>
        <w:jc w:val="center"/>
        <w:rPr>
          <w:i/>
        </w:rPr>
      </w:pPr>
      <w:r w:rsidRPr="00851172">
        <w:rPr>
          <w:i/>
        </w:rPr>
        <w:t>Housing Australia Investment Mandate Amendment (2024 Measures No. 3) Direction 2024</w:t>
      </w:r>
    </w:p>
    <w:p w14:paraId="61F6E1BF" w14:textId="77777777" w:rsidR="004E7333" w:rsidRDefault="004E7333" w:rsidP="004E7333">
      <w:pPr>
        <w:spacing w:before="240"/>
      </w:pPr>
      <w:r w:rsidRPr="003C5719">
        <w:t>S</w:t>
      </w:r>
      <w:r>
        <w:t>ubs</w:t>
      </w:r>
      <w:r w:rsidRPr="003C5719">
        <w:t xml:space="preserve">ection </w:t>
      </w:r>
      <w:r>
        <w:t>12(1)</w:t>
      </w:r>
      <w:r w:rsidRPr="003C5719">
        <w:t xml:space="preserve"> of the </w:t>
      </w:r>
      <w:r w:rsidRPr="00265D6C">
        <w:rPr>
          <w:i/>
          <w:iCs/>
        </w:rPr>
        <w:t>Housing Australia Act 2018</w:t>
      </w:r>
      <w:r w:rsidRPr="003C5719">
        <w:t xml:space="preserve"> (the Act) </w:t>
      </w:r>
      <w:r>
        <w:t xml:space="preserve">provides that the Minister may, by legislative instrument, give the Board of Housing Australia directions about the performance of Housing Australia’s functions. The Board is subject to the requirements of the Act and the </w:t>
      </w:r>
      <w:r w:rsidRPr="00265D6C">
        <w:rPr>
          <w:i/>
          <w:iCs/>
        </w:rPr>
        <w:t>Housing Australia Investment Mandate Direction 2018</w:t>
      </w:r>
      <w:r>
        <w:t xml:space="preserve"> (the Investment Mandate). </w:t>
      </w:r>
    </w:p>
    <w:p w14:paraId="573F3D0B" w14:textId="77777777" w:rsidR="004E7333" w:rsidRDefault="004E7333" w:rsidP="004E7333">
      <w:pPr>
        <w:spacing w:before="240"/>
        <w:rPr>
          <w:color w:val="000000"/>
          <w:shd w:val="clear" w:color="auto" w:fill="FFFFFF"/>
        </w:rPr>
      </w:pPr>
      <w:r w:rsidRPr="00297E12">
        <w:t xml:space="preserve">The </w:t>
      </w:r>
      <w:r w:rsidRPr="00FC61AC">
        <w:rPr>
          <w:iCs/>
        </w:rPr>
        <w:t>Act</w:t>
      </w:r>
      <w:r>
        <w:t xml:space="preserve"> </w:t>
      </w:r>
      <w:r w:rsidRPr="00297E12">
        <w:t xml:space="preserve">established </w:t>
      </w:r>
      <w:r>
        <w:t>Housing Australia</w:t>
      </w:r>
      <w:r w:rsidRPr="00297E12">
        <w:t xml:space="preserve"> to improve housing outcomes for Australians. </w:t>
      </w:r>
      <w:r>
        <w:rPr>
          <w:color w:val="000000"/>
          <w:shd w:val="clear" w:color="auto" w:fill="FFFFFF"/>
        </w:rPr>
        <w:t>Housing Australia (previously, the National Housing Finance and Investment Corporation) commenced operation on 30</w:t>
      </w:r>
      <w:r w:rsidRPr="007F5AE7">
        <w:rPr>
          <w:iCs/>
          <w:szCs w:val="24"/>
        </w:rPr>
        <w:t> </w:t>
      </w:r>
      <w:r>
        <w:rPr>
          <w:color w:val="000000"/>
          <w:shd w:val="clear" w:color="auto" w:fill="FFFFFF"/>
        </w:rPr>
        <w:t>June</w:t>
      </w:r>
      <w:r w:rsidRPr="007F5AE7">
        <w:rPr>
          <w:iCs/>
          <w:szCs w:val="24"/>
        </w:rPr>
        <w:t> </w:t>
      </w:r>
      <w:r>
        <w:rPr>
          <w:color w:val="000000"/>
          <w:shd w:val="clear" w:color="auto" w:fill="FFFFFF"/>
        </w:rPr>
        <w:t xml:space="preserve">2018. </w:t>
      </w:r>
      <w:r>
        <w:t>It</w:t>
      </w:r>
      <w:r>
        <w:rPr>
          <w:color w:val="000000"/>
          <w:shd w:val="clear" w:color="auto" w:fill="FFFFFF"/>
        </w:rPr>
        <w:t xml:space="preserve"> is a corporate Commonwealth entity in the Treasury portfolio and is governed by an independent board. </w:t>
      </w:r>
    </w:p>
    <w:p w14:paraId="1EFD121B" w14:textId="606F4FF9" w:rsidR="004D56E4" w:rsidRDefault="004E7333" w:rsidP="004A27A8">
      <w:pPr>
        <w:spacing w:before="240"/>
      </w:pPr>
      <w:r>
        <w:rPr>
          <w:color w:val="000000"/>
          <w:shd w:val="clear" w:color="auto" w:fill="FFFFFF"/>
        </w:rPr>
        <w:t xml:space="preserve">Housing Australia </w:t>
      </w:r>
      <w:r>
        <w:t>improves housing outcomes for Australians</w:t>
      </w:r>
      <w:r w:rsidRPr="00297E12">
        <w:t xml:space="preserve"> </w:t>
      </w:r>
      <w:r>
        <w:t>through its financing, guarantee and capacity building functions.</w:t>
      </w:r>
      <w:r w:rsidR="0012580D">
        <w:t xml:space="preserve"> As part of its financing function, Housing Australia administers </w:t>
      </w:r>
      <w:r w:rsidR="00932F78">
        <w:t xml:space="preserve">the </w:t>
      </w:r>
      <w:r w:rsidRPr="000D6A47">
        <w:t>Housing Australia Future Fund Facility</w:t>
      </w:r>
      <w:r w:rsidR="00932F78" w:rsidRPr="000D6A47">
        <w:t xml:space="preserve"> (HAFFF)</w:t>
      </w:r>
      <w:r w:rsidR="00032407">
        <w:t xml:space="preserve">, </w:t>
      </w:r>
      <w:r w:rsidRPr="000D6A47">
        <w:t>the National Housing Accord Facility</w:t>
      </w:r>
      <w:r w:rsidR="00932F78" w:rsidRPr="000D6A47">
        <w:t xml:space="preserve"> (NHAF)</w:t>
      </w:r>
      <w:r w:rsidR="006D050B">
        <w:t>,</w:t>
      </w:r>
      <w:r w:rsidR="00032407">
        <w:t xml:space="preserve"> </w:t>
      </w:r>
      <w:r w:rsidR="00E17FD7">
        <w:t xml:space="preserve">and </w:t>
      </w:r>
      <w:r w:rsidR="00032407">
        <w:t xml:space="preserve">the </w:t>
      </w:r>
      <w:r w:rsidR="00032407" w:rsidRPr="00032407">
        <w:t>Affordable Housing Bond Aggregator</w:t>
      </w:r>
      <w:r w:rsidR="00CE160B">
        <w:t xml:space="preserve"> (AHBA)</w:t>
      </w:r>
      <w:r w:rsidR="00E17FD7">
        <w:t>.</w:t>
      </w:r>
    </w:p>
    <w:p w14:paraId="3C78463F" w14:textId="3B7AAF86" w:rsidR="00E41ADC" w:rsidRPr="00DA0E4F" w:rsidRDefault="004D56E4" w:rsidP="004A27A8">
      <w:pPr>
        <w:spacing w:before="240"/>
      </w:pPr>
      <w:r w:rsidRPr="00DA0E4F">
        <w:rPr>
          <w:szCs w:val="24"/>
        </w:rPr>
        <w:t xml:space="preserve">Applications for the </w:t>
      </w:r>
      <w:r w:rsidR="002F0E67">
        <w:rPr>
          <w:szCs w:val="24"/>
        </w:rPr>
        <w:t>next</w:t>
      </w:r>
      <w:r w:rsidR="002F0E67" w:rsidRPr="00DA0E4F">
        <w:rPr>
          <w:szCs w:val="24"/>
        </w:rPr>
        <w:t xml:space="preserve"> </w:t>
      </w:r>
      <w:r w:rsidRPr="00DA0E4F">
        <w:rPr>
          <w:szCs w:val="24"/>
        </w:rPr>
        <w:t xml:space="preserve">round of HAFFF financing </w:t>
      </w:r>
      <w:r w:rsidR="00D26090">
        <w:rPr>
          <w:szCs w:val="24"/>
        </w:rPr>
        <w:t>(</w:t>
      </w:r>
      <w:r w:rsidR="00730B8F">
        <w:rPr>
          <w:szCs w:val="24"/>
        </w:rPr>
        <w:t xml:space="preserve">HAFFF </w:t>
      </w:r>
      <w:r w:rsidR="00D26090">
        <w:rPr>
          <w:szCs w:val="24"/>
        </w:rPr>
        <w:t xml:space="preserve">Round 2) </w:t>
      </w:r>
      <w:r w:rsidRPr="00DA0E4F">
        <w:rPr>
          <w:szCs w:val="24"/>
        </w:rPr>
        <w:t>open on</w:t>
      </w:r>
      <w:r w:rsidR="00DA0E4F" w:rsidRPr="00DA0E4F">
        <w:rPr>
          <w:szCs w:val="24"/>
        </w:rPr>
        <w:t xml:space="preserve"> or </w:t>
      </w:r>
      <w:r w:rsidR="00B85756" w:rsidRPr="00DA0E4F">
        <w:rPr>
          <w:szCs w:val="24"/>
        </w:rPr>
        <w:t>after</w:t>
      </w:r>
      <w:r w:rsidRPr="00DA0E4F">
        <w:rPr>
          <w:szCs w:val="24"/>
        </w:rPr>
        <w:t xml:space="preserve"> the commencement of this Instrument and close on </w:t>
      </w:r>
      <w:r w:rsidR="004B012D">
        <w:rPr>
          <w:szCs w:val="24"/>
        </w:rPr>
        <w:t>1 March</w:t>
      </w:r>
      <w:r w:rsidR="00667DCB">
        <w:rPr>
          <w:szCs w:val="24"/>
        </w:rPr>
        <w:t> </w:t>
      </w:r>
      <w:r w:rsidRPr="00DA0E4F">
        <w:rPr>
          <w:szCs w:val="24"/>
        </w:rPr>
        <w:t>2025.</w:t>
      </w:r>
    </w:p>
    <w:p w14:paraId="5D5A24E7" w14:textId="6CAC809E" w:rsidR="00D60BEC" w:rsidRPr="002D0524" w:rsidRDefault="004F03F4" w:rsidP="004A27A8">
      <w:pPr>
        <w:spacing w:before="240"/>
      </w:pPr>
      <w:r w:rsidRPr="00DA0E4F">
        <w:t xml:space="preserve">The purpose of the </w:t>
      </w:r>
      <w:r w:rsidR="002171A7" w:rsidRPr="00DA0E4F">
        <w:rPr>
          <w:i/>
        </w:rPr>
        <w:t>Housing Australia Investment</w:t>
      </w:r>
      <w:r w:rsidR="002171A7" w:rsidRPr="00851172">
        <w:rPr>
          <w:i/>
        </w:rPr>
        <w:t xml:space="preserve"> Mandate Amendment </w:t>
      </w:r>
      <w:r w:rsidR="002171A7" w:rsidRPr="00851172">
        <w:rPr>
          <w:i/>
          <w:iCs/>
        </w:rPr>
        <w:t>(2024 Measures No. 3) Direction</w:t>
      </w:r>
      <w:r w:rsidR="00667DCB">
        <w:rPr>
          <w:i/>
          <w:iCs/>
        </w:rPr>
        <w:t> </w:t>
      </w:r>
      <w:r w:rsidR="002171A7" w:rsidRPr="00851172">
        <w:rPr>
          <w:i/>
          <w:iCs/>
        </w:rPr>
        <w:t>2024</w:t>
      </w:r>
      <w:r w:rsidR="002171A7" w:rsidRPr="00851172">
        <w:t xml:space="preserve"> (</w:t>
      </w:r>
      <w:r w:rsidR="002171A7">
        <w:t xml:space="preserve">the Instrument) </w:t>
      </w:r>
      <w:r w:rsidRPr="003C5719">
        <w:t>is to</w:t>
      </w:r>
      <w:r w:rsidR="006C6A0D">
        <w:t xml:space="preserve"> amend the </w:t>
      </w:r>
      <w:r w:rsidR="00C93A29">
        <w:t>Investment Mandate</w:t>
      </w:r>
      <w:r w:rsidR="006C6A0D">
        <w:t xml:space="preserve"> to</w:t>
      </w:r>
      <w:r w:rsidR="005F5738">
        <w:t xml:space="preserve"> </w:t>
      </w:r>
      <w:r w:rsidR="006263D5">
        <w:t>improve the operation of the HAFFF</w:t>
      </w:r>
      <w:r w:rsidR="00E47CF4">
        <w:t xml:space="preserve"> and </w:t>
      </w:r>
      <w:r w:rsidR="00B444C5">
        <w:t>support the accelerated delivery</w:t>
      </w:r>
      <w:r w:rsidR="00BF0843">
        <w:t xml:space="preserve"> of </w:t>
      </w:r>
      <w:r w:rsidR="007B40EA">
        <w:t>HAFFF Round 2</w:t>
      </w:r>
      <w:r w:rsidR="004E3590">
        <w:t>.</w:t>
      </w:r>
      <w:r w:rsidR="002D0524">
        <w:t xml:space="preserve"> </w:t>
      </w:r>
      <w:r w:rsidR="00C07161">
        <w:t xml:space="preserve">Specifically, the </w:t>
      </w:r>
      <w:r w:rsidR="00C07161" w:rsidRPr="00491B3E">
        <w:rPr>
          <w:szCs w:val="24"/>
        </w:rPr>
        <w:t>Instrument amends the Investment Mandate to:</w:t>
      </w:r>
    </w:p>
    <w:p w14:paraId="47A2CBF3" w14:textId="30CF1E8B" w:rsidR="006B33D9" w:rsidRPr="00D06CF8" w:rsidRDefault="00367404" w:rsidP="009E39D6">
      <w:pPr>
        <w:pStyle w:val="Bullet"/>
      </w:pPr>
      <w:r>
        <w:rPr>
          <w:szCs w:val="24"/>
        </w:rPr>
        <w:t xml:space="preserve">increase the </w:t>
      </w:r>
      <w:r w:rsidR="00616331">
        <w:rPr>
          <w:szCs w:val="24"/>
        </w:rPr>
        <w:t xml:space="preserve">limit on the </w:t>
      </w:r>
      <w:r w:rsidR="009E554C">
        <w:rPr>
          <w:szCs w:val="24"/>
        </w:rPr>
        <w:t xml:space="preserve">sum </w:t>
      </w:r>
      <w:r>
        <w:rPr>
          <w:szCs w:val="24"/>
        </w:rPr>
        <w:t>of all loans made under the HAFFF on or after 1</w:t>
      </w:r>
      <w:r w:rsidRPr="007F5AE7">
        <w:rPr>
          <w:iCs/>
          <w:szCs w:val="24"/>
        </w:rPr>
        <w:t> </w:t>
      </w:r>
      <w:r>
        <w:rPr>
          <w:szCs w:val="24"/>
        </w:rPr>
        <w:t>July</w:t>
      </w:r>
      <w:r w:rsidR="007E2FBB" w:rsidRPr="007F5AE7">
        <w:rPr>
          <w:iCs/>
          <w:szCs w:val="24"/>
        </w:rPr>
        <w:t> </w:t>
      </w:r>
      <w:r>
        <w:rPr>
          <w:szCs w:val="24"/>
        </w:rPr>
        <w:t>2024 and before 1</w:t>
      </w:r>
      <w:r w:rsidR="00667DCB">
        <w:rPr>
          <w:szCs w:val="24"/>
        </w:rPr>
        <w:t> </w:t>
      </w:r>
      <w:r>
        <w:rPr>
          <w:szCs w:val="24"/>
        </w:rPr>
        <w:t>July</w:t>
      </w:r>
      <w:r w:rsidR="00667DCB">
        <w:rPr>
          <w:szCs w:val="24"/>
        </w:rPr>
        <w:t> </w:t>
      </w:r>
      <w:r>
        <w:rPr>
          <w:szCs w:val="24"/>
        </w:rPr>
        <w:t>2029 (relevant period)</w:t>
      </w:r>
      <w:r w:rsidR="001F5885">
        <w:rPr>
          <w:szCs w:val="24"/>
        </w:rPr>
        <w:t xml:space="preserve"> by $204</w:t>
      </w:r>
      <w:r w:rsidR="00667DCB">
        <w:rPr>
          <w:szCs w:val="24"/>
        </w:rPr>
        <w:t> </w:t>
      </w:r>
      <w:r w:rsidR="001F5885">
        <w:rPr>
          <w:szCs w:val="24"/>
        </w:rPr>
        <w:t>million,</w:t>
      </w:r>
      <w:r>
        <w:rPr>
          <w:szCs w:val="24"/>
        </w:rPr>
        <w:t xml:space="preserve"> </w:t>
      </w:r>
      <w:r w:rsidR="00616331">
        <w:rPr>
          <w:szCs w:val="24"/>
        </w:rPr>
        <w:t>from $1.531</w:t>
      </w:r>
      <w:r w:rsidR="00667DCB">
        <w:rPr>
          <w:szCs w:val="24"/>
        </w:rPr>
        <w:t> </w:t>
      </w:r>
      <w:r w:rsidR="00616331">
        <w:rPr>
          <w:szCs w:val="24"/>
        </w:rPr>
        <w:t>billion</w:t>
      </w:r>
      <w:r>
        <w:rPr>
          <w:szCs w:val="24"/>
        </w:rPr>
        <w:t xml:space="preserve"> to $1.735</w:t>
      </w:r>
      <w:r w:rsidRPr="007F5AE7">
        <w:rPr>
          <w:iCs/>
          <w:szCs w:val="24"/>
        </w:rPr>
        <w:t> </w:t>
      </w:r>
      <w:r>
        <w:rPr>
          <w:szCs w:val="24"/>
        </w:rPr>
        <w:t>billion</w:t>
      </w:r>
      <w:r w:rsidR="00616331">
        <w:rPr>
          <w:szCs w:val="24"/>
        </w:rPr>
        <w:t>;</w:t>
      </w:r>
      <w:r w:rsidR="009E39D6">
        <w:t xml:space="preserve"> and </w:t>
      </w:r>
      <w:r w:rsidR="006B33D9" w:rsidRPr="009E39D6">
        <w:rPr>
          <w:szCs w:val="24"/>
        </w:rPr>
        <w:t xml:space="preserve">decrease the limit on the </w:t>
      </w:r>
      <w:r w:rsidR="009E554C">
        <w:rPr>
          <w:szCs w:val="24"/>
        </w:rPr>
        <w:t xml:space="preserve">sum </w:t>
      </w:r>
      <w:r w:rsidR="006B33D9" w:rsidRPr="009E39D6">
        <w:rPr>
          <w:szCs w:val="24"/>
        </w:rPr>
        <w:t xml:space="preserve">of all loans made under the NHAF during the relevant period </w:t>
      </w:r>
      <w:r w:rsidR="00F60372" w:rsidRPr="009E39D6">
        <w:rPr>
          <w:szCs w:val="24"/>
        </w:rPr>
        <w:t>by</w:t>
      </w:r>
      <w:r w:rsidR="00D6536B" w:rsidRPr="009E39D6">
        <w:rPr>
          <w:szCs w:val="24"/>
        </w:rPr>
        <w:t xml:space="preserve"> $204 million</w:t>
      </w:r>
      <w:r w:rsidR="00F60372" w:rsidRPr="009E39D6">
        <w:rPr>
          <w:szCs w:val="24"/>
        </w:rPr>
        <w:t>, from $</w:t>
      </w:r>
      <w:r w:rsidR="00100890">
        <w:rPr>
          <w:szCs w:val="24"/>
        </w:rPr>
        <w:t>383 </w:t>
      </w:r>
      <w:r w:rsidR="00F60372" w:rsidRPr="009E39D6">
        <w:rPr>
          <w:szCs w:val="24"/>
        </w:rPr>
        <w:t>million</w:t>
      </w:r>
      <w:r w:rsidR="006B33D9" w:rsidRPr="009E39D6">
        <w:rPr>
          <w:szCs w:val="24"/>
        </w:rPr>
        <w:t xml:space="preserve"> to $179</w:t>
      </w:r>
      <w:r w:rsidR="001B6D87" w:rsidRPr="007F5AE7">
        <w:rPr>
          <w:iCs/>
          <w:szCs w:val="24"/>
        </w:rPr>
        <w:t> </w:t>
      </w:r>
      <w:r w:rsidR="006B33D9" w:rsidRPr="009E39D6">
        <w:rPr>
          <w:szCs w:val="24"/>
        </w:rPr>
        <w:t>million</w:t>
      </w:r>
      <w:r w:rsidR="009E39D6">
        <w:rPr>
          <w:szCs w:val="24"/>
        </w:rPr>
        <w:t>. This allow additional financing to be provided under the HAFFF (including the second round of HAFFF financing) through the repurposing of NHAF funds</w:t>
      </w:r>
      <w:r w:rsidR="00F60372" w:rsidRPr="009E39D6">
        <w:rPr>
          <w:szCs w:val="24"/>
        </w:rPr>
        <w:t>;</w:t>
      </w:r>
    </w:p>
    <w:p w14:paraId="55274F2A" w14:textId="4BC29D4D" w:rsidR="008B4524" w:rsidRPr="008B4524" w:rsidRDefault="007C1BDC" w:rsidP="007A7AD3">
      <w:pPr>
        <w:pStyle w:val="Bullet"/>
      </w:pPr>
      <w:r>
        <w:rPr>
          <w:szCs w:val="24"/>
        </w:rPr>
        <w:t xml:space="preserve">increase </w:t>
      </w:r>
      <w:r w:rsidRPr="00687FB3">
        <w:rPr>
          <w:szCs w:val="24"/>
        </w:rPr>
        <w:t xml:space="preserve">the annual limit for the </w:t>
      </w:r>
      <w:r w:rsidR="009E554C">
        <w:rPr>
          <w:szCs w:val="24"/>
        </w:rPr>
        <w:t xml:space="preserve">sum </w:t>
      </w:r>
      <w:r w:rsidRPr="00687FB3">
        <w:rPr>
          <w:szCs w:val="24"/>
        </w:rPr>
        <w:t>of all HAFFF availability payments for the 2024-25 financial year and each subsequent financial year until the 2029-30 financial year</w:t>
      </w:r>
      <w:r w:rsidR="007843D9">
        <w:rPr>
          <w:szCs w:val="24"/>
        </w:rPr>
        <w:t xml:space="preserve"> from $288 million to $368 million</w:t>
      </w:r>
      <w:r w:rsidR="00932849">
        <w:rPr>
          <w:szCs w:val="24"/>
        </w:rPr>
        <w:t>. This allows Housing Australia to make a greater amount of HAFFF availability payments annually</w:t>
      </w:r>
      <w:r w:rsidR="007843D9">
        <w:rPr>
          <w:szCs w:val="24"/>
        </w:rPr>
        <w:t>;</w:t>
      </w:r>
    </w:p>
    <w:p w14:paraId="798725A5" w14:textId="5AE23EE0" w:rsidR="007A7AD3" w:rsidRPr="00302BFE" w:rsidRDefault="008B4524" w:rsidP="007A7AD3">
      <w:pPr>
        <w:pStyle w:val="Bullet"/>
      </w:pPr>
      <w:r w:rsidRPr="00D06CF8">
        <w:rPr>
          <w:szCs w:val="24"/>
        </w:rPr>
        <w:t>increase the cap of Housing Australia’s total liabilities (Liability Cap) by $16 billion, from $10 billion to $26 billion</w:t>
      </w:r>
      <w:r>
        <w:rPr>
          <w:szCs w:val="24"/>
        </w:rPr>
        <w:t>;</w:t>
      </w:r>
      <w:r w:rsidR="00160FD8">
        <w:rPr>
          <w:szCs w:val="24"/>
        </w:rPr>
        <w:t xml:space="preserve"> and</w:t>
      </w:r>
    </w:p>
    <w:p w14:paraId="006C832F" w14:textId="0371A01C" w:rsidR="00302BFE" w:rsidRPr="00D06CF8" w:rsidRDefault="00782D02" w:rsidP="00302BFE">
      <w:pPr>
        <w:pStyle w:val="Bullet"/>
      </w:pPr>
      <w:r>
        <w:t>limit</w:t>
      </w:r>
      <w:r w:rsidR="7A915914">
        <w:t xml:space="preserve"> the applications Housing Australia must consider </w:t>
      </w:r>
      <w:r w:rsidR="5896550B">
        <w:t xml:space="preserve">for </w:t>
      </w:r>
      <w:r w:rsidR="00284126">
        <w:t xml:space="preserve">the second round of </w:t>
      </w:r>
      <w:r w:rsidR="00E9474F">
        <w:t xml:space="preserve">financing under the HAFFF </w:t>
      </w:r>
      <w:r w:rsidR="007042C8">
        <w:t>–</w:t>
      </w:r>
      <w:r w:rsidR="00E9474F">
        <w:t xml:space="preserve"> to</w:t>
      </w:r>
      <w:r w:rsidR="007D5C5B">
        <w:t xml:space="preserve"> </w:t>
      </w:r>
      <w:r w:rsidR="5DC6C00B">
        <w:t>application</w:t>
      </w:r>
      <w:r w:rsidR="4AB72521">
        <w:t>s</w:t>
      </w:r>
      <w:r w:rsidR="5DC6C00B">
        <w:t xml:space="preserve"> </w:t>
      </w:r>
      <w:r w:rsidR="00612BC3">
        <w:t xml:space="preserve">made </w:t>
      </w:r>
      <w:r w:rsidR="00BD2318">
        <w:t>by or with</w:t>
      </w:r>
      <w:r w:rsidR="00CF4338">
        <w:t xml:space="preserve"> </w:t>
      </w:r>
      <w:r w:rsidR="007D5C5B">
        <w:t>States, Territories,</w:t>
      </w:r>
      <w:r w:rsidR="00751557">
        <w:t xml:space="preserve"> State-government-owned corporation</w:t>
      </w:r>
      <w:r w:rsidR="002A0345">
        <w:t>s</w:t>
      </w:r>
      <w:r w:rsidR="00751557">
        <w:t xml:space="preserve"> (</w:t>
      </w:r>
      <w:r w:rsidR="002A0345">
        <w:t xml:space="preserve">that are constitutional corporations but not </w:t>
      </w:r>
      <w:r w:rsidR="00751557">
        <w:lastRenderedPageBreak/>
        <w:t>utility provider</w:t>
      </w:r>
      <w:r w:rsidR="002A0345">
        <w:t>s</w:t>
      </w:r>
      <w:r w:rsidR="00751557">
        <w:t xml:space="preserve">) </w:t>
      </w:r>
      <w:r w:rsidR="00D82307">
        <w:t xml:space="preserve">or </w:t>
      </w:r>
      <w:r w:rsidR="002A0345">
        <w:t>Territory-government-owned corporations (that are constitutional corporations but not utility providers)</w:t>
      </w:r>
      <w:r w:rsidR="00B5584C">
        <w:t xml:space="preserve"> </w:t>
      </w:r>
      <w:r w:rsidR="00C020B1">
        <w:t xml:space="preserve">in </w:t>
      </w:r>
      <w:r w:rsidR="00B5584C">
        <w:t>a defined period</w:t>
      </w:r>
      <w:r w:rsidR="00C020B1">
        <w:t xml:space="preserve"> (commencement to </w:t>
      </w:r>
      <w:r w:rsidR="008A396E">
        <w:t>1</w:t>
      </w:r>
      <w:r w:rsidR="005C1CA0">
        <w:t xml:space="preserve"> </w:t>
      </w:r>
      <w:r w:rsidR="008A396E">
        <w:t>March</w:t>
      </w:r>
      <w:r w:rsidR="00C020B1">
        <w:t xml:space="preserve"> 2025)</w:t>
      </w:r>
      <w:r w:rsidR="0023093A">
        <w:t xml:space="preserve">. </w:t>
      </w:r>
      <w:r w:rsidR="00A00467">
        <w:t xml:space="preserve">This supports the accelerated delivery of HAFFF projects under </w:t>
      </w:r>
      <w:r w:rsidR="00D20797">
        <w:t>the second round</w:t>
      </w:r>
      <w:r w:rsidR="00A00467">
        <w:t xml:space="preserve"> through close engagement with th</w:t>
      </w:r>
      <w:r w:rsidR="00D20797">
        <w:t>ose</w:t>
      </w:r>
      <w:r w:rsidR="00A00467">
        <w:t xml:space="preserve"> </w:t>
      </w:r>
      <w:r w:rsidR="007B4979">
        <w:t>entities</w:t>
      </w:r>
      <w:r w:rsidR="00302BFE">
        <w:t>.</w:t>
      </w:r>
    </w:p>
    <w:p w14:paraId="593B9D45" w14:textId="77777777" w:rsidR="004C048C" w:rsidRDefault="004C048C" w:rsidP="004C048C">
      <w:pPr>
        <w:spacing w:before="240"/>
      </w:pPr>
      <w:r w:rsidRPr="005F3EDF">
        <w:t>Established on 8 December 2023, the HAFFF and the NHAF are the mechanisms by which Housing Australia administers the Government’s commitment to support the delivery of 40,000 new social and affordable dwellings. These dwellings are delivered under two programs – the Housing Australia Future Fund (HAFF) and the National Housing Accord (Accord). Of the 30,000 dwellings committed under the HAFF, 10,000 dwellings will be</w:t>
      </w:r>
      <w:r>
        <w:t xml:space="preserve"> </w:t>
      </w:r>
      <w:r w:rsidRPr="005F3EDF">
        <w:t>affordable homes and 20,000 dwellings will be social homes. The 10,000 dwellings committed under the Accord are to be affordable homes only.</w:t>
      </w:r>
      <w:r>
        <w:t xml:space="preserve"> </w:t>
      </w:r>
    </w:p>
    <w:p w14:paraId="7154BE01" w14:textId="2EA12680" w:rsidR="009F414B" w:rsidRDefault="009F414B" w:rsidP="00382617">
      <w:pPr>
        <w:spacing w:before="240"/>
      </w:pPr>
      <w:r w:rsidRPr="00B74AB0">
        <w:t>Under the Investment Mandate, the Liability Cap further sets the maximum value of liabilities that Housing Australia can incur under the Commonwealth guarantee of its liabilities created by section 51 of the Act. Housing Australia cannot incur liabilities exceeding the Liability Cap without prior agreement of the Minister for Housing and the Minister for Finance. The Liability Cap was last increased from $7.5 billion to $10.0</w:t>
      </w:r>
      <w:r w:rsidR="007D5461" w:rsidRPr="007F5AE7">
        <w:rPr>
          <w:iCs/>
          <w:szCs w:val="24"/>
        </w:rPr>
        <w:t> </w:t>
      </w:r>
      <w:r w:rsidRPr="00B74AB0">
        <w:t xml:space="preserve">billion </w:t>
      </w:r>
      <w:r>
        <w:t>o</w:t>
      </w:r>
      <w:r w:rsidRPr="00B74AB0">
        <w:t>n 8 July 2024. The further increase of $16</w:t>
      </w:r>
      <w:r w:rsidRPr="00382617">
        <w:t> </w:t>
      </w:r>
      <w:r w:rsidRPr="00B74AB0">
        <w:t xml:space="preserve">billion, taking the Liability Cap to $26 billion, ensures that Housing Australia can continue to support its financing activities under the HAFFF, the NHAF and the AHBA. </w:t>
      </w:r>
    </w:p>
    <w:p w14:paraId="57779991" w14:textId="7075C6B3" w:rsidR="00EC0C76" w:rsidRDefault="004F59C8" w:rsidP="00F05EF6">
      <w:pPr>
        <w:shd w:val="clear" w:color="auto" w:fill="FFFFFF" w:themeFill="background1"/>
        <w:spacing w:before="240"/>
      </w:pPr>
      <w:r w:rsidRPr="004F59C8">
        <w:t>No public consultation was undertaken on the Instrument as the change</w:t>
      </w:r>
      <w:r>
        <w:t xml:space="preserve">s are </w:t>
      </w:r>
      <w:r w:rsidRPr="004F59C8">
        <w:t>targeted</w:t>
      </w:r>
      <w:r w:rsidR="00704B7E">
        <w:t xml:space="preserve"> and </w:t>
      </w:r>
      <w:r w:rsidRPr="004F59C8">
        <w:t>machinery in nature.</w:t>
      </w:r>
    </w:p>
    <w:p w14:paraId="7DCE4275" w14:textId="38E22A25" w:rsidR="00F05EF6" w:rsidRDefault="002C226C" w:rsidP="00F05EF6">
      <w:pPr>
        <w:shd w:val="clear" w:color="auto" w:fill="FFFFFF" w:themeFill="background1"/>
        <w:spacing w:before="240"/>
        <w:rPr>
          <w:color w:val="000000"/>
          <w:szCs w:val="24"/>
        </w:rPr>
      </w:pPr>
      <w:r w:rsidRPr="003C5719">
        <w:t xml:space="preserve">The </w:t>
      </w:r>
      <w:r w:rsidR="007C0D72">
        <w:t>Instrument</w:t>
      </w:r>
      <w:r w:rsidRPr="003C5719">
        <w:t xml:space="preserve"> </w:t>
      </w:r>
      <w:r w:rsidR="007C0D72">
        <w:t>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007C0D72">
        <w:rPr>
          <w:i/>
          <w:iCs/>
        </w:rPr>
        <w:t xml:space="preserve"> </w:t>
      </w:r>
      <w:r w:rsidR="007C0D72">
        <w:t>(the Legislation Act)</w:t>
      </w:r>
      <w:r w:rsidRPr="003C5719">
        <w:t>.</w:t>
      </w:r>
      <w:r w:rsidR="00F05EF6">
        <w:t xml:space="preserve"> </w:t>
      </w:r>
      <w:r w:rsidR="00F05EF6">
        <w:rPr>
          <w:color w:val="000000"/>
          <w:szCs w:val="24"/>
        </w:rPr>
        <w:t>However, t</w:t>
      </w:r>
      <w:r w:rsidR="00F05EF6" w:rsidRPr="00567544">
        <w:rPr>
          <w:color w:val="000000"/>
          <w:szCs w:val="24"/>
        </w:rPr>
        <w:t>he Instrument is exempt from the sunsetting regime set out in Part</w:t>
      </w:r>
      <w:r w:rsidR="00F05EF6">
        <w:rPr>
          <w:color w:val="000000"/>
          <w:szCs w:val="24"/>
        </w:rPr>
        <w:t> </w:t>
      </w:r>
      <w:r w:rsidR="00F05EF6" w:rsidRPr="00567544">
        <w:rPr>
          <w:color w:val="000000"/>
          <w:szCs w:val="24"/>
        </w:rPr>
        <w:t>4 of Chapter</w:t>
      </w:r>
      <w:r w:rsidR="00F05EF6">
        <w:rPr>
          <w:color w:val="000000"/>
          <w:szCs w:val="24"/>
        </w:rPr>
        <w:t> </w:t>
      </w:r>
      <w:r w:rsidR="00F05EF6" w:rsidRPr="00567544">
        <w:rPr>
          <w:color w:val="000000"/>
          <w:szCs w:val="24"/>
        </w:rPr>
        <w:t>3 of th</w:t>
      </w:r>
      <w:r w:rsidR="00F05EF6">
        <w:rPr>
          <w:color w:val="000000"/>
          <w:szCs w:val="24"/>
        </w:rPr>
        <w:t xml:space="preserve">at </w:t>
      </w:r>
      <w:r w:rsidR="00F05EF6" w:rsidRPr="001D06F4">
        <w:rPr>
          <w:color w:val="000000"/>
          <w:szCs w:val="24"/>
        </w:rPr>
        <w:t>Act</w:t>
      </w:r>
      <w:r w:rsidR="00F05EF6">
        <w:rPr>
          <w:i/>
          <w:color w:val="000000"/>
          <w:szCs w:val="24"/>
        </w:rPr>
        <w:t xml:space="preserve"> </w:t>
      </w:r>
      <w:r w:rsidR="00F05EF6">
        <w:rPr>
          <w:color w:val="000000"/>
          <w:szCs w:val="24"/>
        </w:rPr>
        <w:t>by</w:t>
      </w:r>
      <w:r w:rsidR="00F05EF6" w:rsidRPr="00567544">
        <w:rPr>
          <w:color w:val="000000"/>
          <w:szCs w:val="24"/>
        </w:rPr>
        <w:t xml:space="preserve"> </w:t>
      </w:r>
      <w:r w:rsidR="00F05EF6">
        <w:rPr>
          <w:color w:val="000000"/>
          <w:szCs w:val="24"/>
        </w:rPr>
        <w:t xml:space="preserve">regulations made under </w:t>
      </w:r>
      <w:r w:rsidR="00F05EF6" w:rsidRPr="00567544">
        <w:rPr>
          <w:color w:val="000000"/>
          <w:szCs w:val="24"/>
        </w:rPr>
        <w:t>paragraph</w:t>
      </w:r>
      <w:r w:rsidR="00F05EF6" w:rsidRPr="007F5AE7">
        <w:rPr>
          <w:iCs/>
          <w:szCs w:val="24"/>
        </w:rPr>
        <w:t> </w:t>
      </w:r>
      <w:r w:rsidR="00F05EF6" w:rsidRPr="00567544">
        <w:rPr>
          <w:color w:val="000000"/>
          <w:szCs w:val="24"/>
        </w:rPr>
        <w:t>54(2)(b) of th</w:t>
      </w:r>
      <w:r w:rsidR="00F05EF6">
        <w:rPr>
          <w:color w:val="000000"/>
          <w:szCs w:val="24"/>
        </w:rPr>
        <w:t>at</w:t>
      </w:r>
      <w:r w:rsidR="00F05EF6" w:rsidRPr="00567544">
        <w:rPr>
          <w:color w:val="000000"/>
          <w:szCs w:val="24"/>
        </w:rPr>
        <w:t xml:space="preserve"> Act. Item</w:t>
      </w:r>
      <w:r w:rsidR="00F05EF6">
        <w:rPr>
          <w:color w:val="000000"/>
          <w:szCs w:val="24"/>
        </w:rPr>
        <w:t> </w:t>
      </w:r>
      <w:r w:rsidR="00F05EF6" w:rsidRPr="00567544">
        <w:rPr>
          <w:color w:val="000000"/>
          <w:szCs w:val="24"/>
        </w:rPr>
        <w:t xml:space="preserve">3 of the table </w:t>
      </w:r>
      <w:r w:rsidR="00F05EF6">
        <w:rPr>
          <w:color w:val="000000"/>
          <w:szCs w:val="24"/>
        </w:rPr>
        <w:t>in</w:t>
      </w:r>
      <w:r w:rsidR="00F05EF6" w:rsidRPr="00567544">
        <w:rPr>
          <w:color w:val="000000"/>
          <w:szCs w:val="24"/>
        </w:rPr>
        <w:t xml:space="preserve"> section</w:t>
      </w:r>
      <w:r w:rsidR="00F05EF6">
        <w:rPr>
          <w:color w:val="000000"/>
          <w:szCs w:val="24"/>
        </w:rPr>
        <w:t> </w:t>
      </w:r>
      <w:r w:rsidR="00F05EF6" w:rsidRPr="00567544">
        <w:rPr>
          <w:color w:val="000000"/>
          <w:szCs w:val="24"/>
        </w:rPr>
        <w:t>11 of the</w:t>
      </w:r>
      <w:r w:rsidR="00F05EF6">
        <w:rPr>
          <w:color w:val="000000"/>
          <w:szCs w:val="24"/>
        </w:rPr>
        <w:t xml:space="preserve"> </w:t>
      </w:r>
      <w:r w:rsidR="00F05EF6" w:rsidRPr="00567544">
        <w:rPr>
          <w:i/>
          <w:iCs/>
          <w:color w:val="000000"/>
          <w:szCs w:val="24"/>
        </w:rPr>
        <w:t>Legislation (Exemptions and Other Matters) Regulation</w:t>
      </w:r>
      <w:r w:rsidR="00F05EF6">
        <w:rPr>
          <w:i/>
          <w:iCs/>
          <w:color w:val="000000"/>
          <w:szCs w:val="24"/>
        </w:rPr>
        <w:t> </w:t>
      </w:r>
      <w:r w:rsidR="00F05EF6" w:rsidRPr="00567544">
        <w:rPr>
          <w:i/>
          <w:iCs/>
          <w:color w:val="000000"/>
          <w:szCs w:val="24"/>
        </w:rPr>
        <w:t>2015</w:t>
      </w:r>
      <w:r w:rsidR="00F05EF6">
        <w:rPr>
          <w:i/>
          <w:iCs/>
          <w:color w:val="000000"/>
          <w:szCs w:val="24"/>
        </w:rPr>
        <w:t xml:space="preserve"> </w:t>
      </w:r>
      <w:r w:rsidR="00F05EF6">
        <w:rPr>
          <w:color w:val="000000"/>
          <w:szCs w:val="24"/>
        </w:rPr>
        <w:t>(the Legislation Exemptions Regulation)</w:t>
      </w:r>
      <w:r w:rsidR="00F05EF6" w:rsidRPr="00567544">
        <w:rPr>
          <w:color w:val="000000"/>
          <w:szCs w:val="24"/>
        </w:rPr>
        <w:t xml:space="preserve"> exempts from sunsetting instrument</w:t>
      </w:r>
      <w:r w:rsidR="00F05EF6">
        <w:rPr>
          <w:color w:val="000000"/>
          <w:szCs w:val="24"/>
        </w:rPr>
        <w:t>s that are</w:t>
      </w:r>
      <w:r w:rsidR="00F05EF6" w:rsidRPr="00567544">
        <w:rPr>
          <w:color w:val="000000"/>
          <w:szCs w:val="24"/>
        </w:rPr>
        <w:t xml:space="preserve"> direction</w:t>
      </w:r>
      <w:r w:rsidR="00F05EF6">
        <w:rPr>
          <w:color w:val="000000"/>
          <w:szCs w:val="24"/>
        </w:rPr>
        <w:t>s</w:t>
      </w:r>
      <w:r w:rsidR="00F05EF6" w:rsidRPr="00567544">
        <w:rPr>
          <w:color w:val="000000"/>
          <w:szCs w:val="24"/>
        </w:rPr>
        <w:t xml:space="preserve"> by </w:t>
      </w:r>
      <w:r w:rsidR="00F05EF6">
        <w:rPr>
          <w:color w:val="000000"/>
          <w:szCs w:val="24"/>
        </w:rPr>
        <w:t>a</w:t>
      </w:r>
      <w:r w:rsidR="00F05EF6" w:rsidRPr="00567544">
        <w:rPr>
          <w:color w:val="000000"/>
          <w:szCs w:val="24"/>
        </w:rPr>
        <w:t xml:space="preserve"> Minister to any person or body.</w:t>
      </w:r>
      <w:r w:rsidR="00F05EF6">
        <w:rPr>
          <w:color w:val="000000"/>
          <w:szCs w:val="24"/>
        </w:rPr>
        <w:t xml:space="preserve"> As such a direction, t</w:t>
      </w:r>
      <w:r w:rsidR="00F05EF6" w:rsidRPr="00567544">
        <w:rPr>
          <w:color w:val="000000"/>
          <w:szCs w:val="24"/>
        </w:rPr>
        <w:t>he Instrument is</w:t>
      </w:r>
      <w:r w:rsidR="00F05EF6">
        <w:rPr>
          <w:color w:val="000000"/>
          <w:szCs w:val="24"/>
        </w:rPr>
        <w:t xml:space="preserve"> also</w:t>
      </w:r>
      <w:r w:rsidR="00F05EF6" w:rsidRPr="00567544">
        <w:rPr>
          <w:color w:val="000000"/>
          <w:szCs w:val="24"/>
        </w:rPr>
        <w:t xml:space="preserve"> exempt from disallowance under section</w:t>
      </w:r>
      <w:r w:rsidR="00F05EF6">
        <w:rPr>
          <w:color w:val="000000"/>
          <w:szCs w:val="24"/>
        </w:rPr>
        <w:t> </w:t>
      </w:r>
      <w:r w:rsidR="00F05EF6" w:rsidRPr="00567544">
        <w:rPr>
          <w:color w:val="000000"/>
          <w:szCs w:val="24"/>
        </w:rPr>
        <w:t>42 of the</w:t>
      </w:r>
      <w:r w:rsidR="00F05EF6">
        <w:rPr>
          <w:color w:val="000000"/>
          <w:szCs w:val="24"/>
        </w:rPr>
        <w:t xml:space="preserve"> </w:t>
      </w:r>
      <w:r w:rsidR="00F05EF6" w:rsidRPr="001D06F4">
        <w:rPr>
          <w:color w:val="000000"/>
          <w:szCs w:val="24"/>
        </w:rPr>
        <w:t>Legislation Act</w:t>
      </w:r>
      <w:r w:rsidR="00F05EF6">
        <w:rPr>
          <w:i/>
          <w:iCs/>
          <w:color w:val="000000"/>
          <w:szCs w:val="24"/>
        </w:rPr>
        <w:t xml:space="preserve"> </w:t>
      </w:r>
      <w:r w:rsidR="00F05EF6">
        <w:rPr>
          <w:color w:val="000000"/>
          <w:szCs w:val="24"/>
        </w:rPr>
        <w:t>by</w:t>
      </w:r>
      <w:r w:rsidR="00F05EF6" w:rsidRPr="00567544">
        <w:rPr>
          <w:color w:val="000000"/>
          <w:szCs w:val="24"/>
        </w:rPr>
        <w:t xml:space="preserve"> </w:t>
      </w:r>
      <w:r w:rsidR="00F05EF6">
        <w:rPr>
          <w:color w:val="000000"/>
          <w:szCs w:val="24"/>
        </w:rPr>
        <w:t>i</w:t>
      </w:r>
      <w:r w:rsidR="00F05EF6" w:rsidRPr="00567544">
        <w:rPr>
          <w:color w:val="000000"/>
          <w:szCs w:val="24"/>
        </w:rPr>
        <w:t>tem</w:t>
      </w:r>
      <w:r w:rsidR="00F05EF6">
        <w:rPr>
          <w:color w:val="000000"/>
          <w:szCs w:val="24"/>
        </w:rPr>
        <w:t> </w:t>
      </w:r>
      <w:r w:rsidR="00F05EF6" w:rsidRPr="00567544">
        <w:rPr>
          <w:color w:val="000000"/>
          <w:szCs w:val="24"/>
        </w:rPr>
        <w:t xml:space="preserve">2 of </w:t>
      </w:r>
      <w:r w:rsidR="00F05EF6">
        <w:rPr>
          <w:color w:val="000000"/>
          <w:szCs w:val="24"/>
        </w:rPr>
        <w:t xml:space="preserve">the table in </w:t>
      </w:r>
      <w:r w:rsidR="00F05EF6" w:rsidRPr="00567544">
        <w:rPr>
          <w:color w:val="000000"/>
          <w:szCs w:val="24"/>
        </w:rPr>
        <w:t>section</w:t>
      </w:r>
      <w:r w:rsidR="00F05EF6">
        <w:rPr>
          <w:color w:val="000000"/>
          <w:szCs w:val="24"/>
        </w:rPr>
        <w:t> </w:t>
      </w:r>
      <w:r w:rsidR="00F05EF6" w:rsidRPr="00567544">
        <w:rPr>
          <w:color w:val="000000"/>
          <w:szCs w:val="24"/>
        </w:rPr>
        <w:t>9 of the</w:t>
      </w:r>
      <w:r w:rsidR="00F05EF6">
        <w:rPr>
          <w:color w:val="000000"/>
          <w:szCs w:val="24"/>
        </w:rPr>
        <w:t xml:space="preserve"> </w:t>
      </w:r>
      <w:r w:rsidR="00F05EF6" w:rsidRPr="001D06F4">
        <w:rPr>
          <w:color w:val="000000"/>
          <w:szCs w:val="24"/>
        </w:rPr>
        <w:t>Legislation Exemptions Regulation</w:t>
      </w:r>
      <w:r w:rsidR="00F05EF6">
        <w:rPr>
          <w:rStyle w:val="ui-provider"/>
          <w:i/>
          <w:iCs/>
        </w:rPr>
        <w:t xml:space="preserve">. </w:t>
      </w:r>
      <w:r w:rsidR="00F05EF6">
        <w:rPr>
          <w:rStyle w:val="ui-provider"/>
        </w:rPr>
        <w:t xml:space="preserve">Accordingly, no statement of compatibility with human rights is required under subsection 9(1) of the </w:t>
      </w:r>
      <w:r w:rsidR="00F05EF6">
        <w:rPr>
          <w:rStyle w:val="ui-provider"/>
          <w:i/>
          <w:iCs/>
        </w:rPr>
        <w:t>Human Rights (Parliamentary Scrutiny) Act 2011</w:t>
      </w:r>
      <w:r w:rsidR="00F05EF6">
        <w:rPr>
          <w:rStyle w:val="ui-provider"/>
        </w:rPr>
        <w:t>.</w:t>
      </w:r>
      <w:r w:rsidR="00F05EF6" w:rsidRPr="00567544" w:rsidDel="006F6770">
        <w:rPr>
          <w:color w:val="000000"/>
          <w:szCs w:val="24"/>
        </w:rPr>
        <w:t xml:space="preserve"> </w:t>
      </w:r>
    </w:p>
    <w:p w14:paraId="76230585" w14:textId="70D74B02" w:rsidR="002C226C" w:rsidRPr="00F05EF6" w:rsidRDefault="00F05EF6" w:rsidP="00F05EF6">
      <w:pPr>
        <w:shd w:val="clear" w:color="auto" w:fill="FFFFFF" w:themeFill="background1"/>
        <w:spacing w:before="240"/>
        <w:rPr>
          <w:color w:val="000000"/>
        </w:rPr>
      </w:pPr>
      <w:r w:rsidRPr="3260E1C8">
        <w:rPr>
          <w:color w:val="000000" w:themeColor="text1"/>
        </w:rPr>
        <w:t xml:space="preserve">The Instrument is subject to the </w:t>
      </w:r>
      <w:r w:rsidRPr="3260E1C8" w:rsidDel="00FC2583">
        <w:rPr>
          <w:color w:val="000000" w:themeColor="text1"/>
        </w:rPr>
        <w:t>automatic repeal</w:t>
      </w:r>
      <w:r w:rsidRPr="3260E1C8">
        <w:rPr>
          <w:color w:val="000000" w:themeColor="text1"/>
        </w:rPr>
        <w:t xml:space="preserve"> process under section 48A of the</w:t>
      </w:r>
      <w:r w:rsidRPr="3260E1C8" w:rsidDel="00E11B64">
        <w:rPr>
          <w:color w:val="000000" w:themeColor="text1"/>
        </w:rPr>
        <w:t> </w:t>
      </w:r>
      <w:r w:rsidRPr="00787BD9" w:rsidDel="00E11B64">
        <w:rPr>
          <w:color w:val="000000" w:themeColor="text1"/>
        </w:rPr>
        <w:t>Legislation Act</w:t>
      </w:r>
      <w:r w:rsidRPr="3260E1C8">
        <w:rPr>
          <w:color w:val="000000" w:themeColor="text1"/>
        </w:rPr>
        <w:t>. This section</w:t>
      </w:r>
      <w:r w:rsidRPr="3260E1C8">
        <w:rPr>
          <w:i/>
          <w:color w:val="000000" w:themeColor="text1"/>
        </w:rPr>
        <w:t> </w:t>
      </w:r>
      <w:r w:rsidRPr="3260E1C8">
        <w:rPr>
          <w:color w:val="000000" w:themeColor="text1"/>
        </w:rPr>
        <w:t>provides that where a legislative instrument only repeals or amends another instrument, without making any application, saving or transitional provisions relating to the amendment or repeal, that instrument is automatically repealed. By virtue of subparagraph 48A(2)(a)(</w:t>
      </w:r>
      <w:proofErr w:type="spellStart"/>
      <w:r w:rsidRPr="3260E1C8">
        <w:rPr>
          <w:color w:val="000000" w:themeColor="text1"/>
        </w:rPr>
        <w:t>i</w:t>
      </w:r>
      <w:proofErr w:type="spellEnd"/>
      <w:r w:rsidRPr="3260E1C8">
        <w:rPr>
          <w:color w:val="000000" w:themeColor="text1"/>
        </w:rPr>
        <w:t>), the Instrument automatically repeals on the day after the commencement of the Instrument which results in the amendment of the Investment Mandate. Once repealed, the sunsetting regime set out in Part 4 of Chapter 3 of the </w:t>
      </w:r>
      <w:r w:rsidRPr="001D06F4">
        <w:rPr>
          <w:color w:val="000000" w:themeColor="text1"/>
        </w:rPr>
        <w:t>Legislation Act</w:t>
      </w:r>
      <w:r>
        <w:rPr>
          <w:i/>
          <w:color w:val="000000" w:themeColor="text1"/>
        </w:rPr>
        <w:t xml:space="preserve"> </w:t>
      </w:r>
      <w:r w:rsidRPr="3260E1C8">
        <w:rPr>
          <w:color w:val="000000" w:themeColor="text1"/>
        </w:rPr>
        <w:t>is no longer relevant to the Instrument.</w:t>
      </w:r>
    </w:p>
    <w:p w14:paraId="1CB2DBF0" w14:textId="6B4DE5CA" w:rsidR="00B144E2" w:rsidRDefault="00B144E2" w:rsidP="00B144E2">
      <w:pPr>
        <w:shd w:val="clear" w:color="auto" w:fill="FFFFFF"/>
        <w:spacing w:before="240"/>
      </w:pPr>
      <w:r w:rsidRPr="003C5719">
        <w:t xml:space="preserve">The </w:t>
      </w:r>
      <w:r>
        <w:t>Instrument</w:t>
      </w:r>
      <w:r w:rsidRPr="003C5719">
        <w:t xml:space="preserve"> commenced on </w:t>
      </w:r>
      <w:r>
        <w:t>the day after registration</w:t>
      </w:r>
      <w:r w:rsidRPr="003C5719">
        <w:t xml:space="preserve">. </w:t>
      </w:r>
    </w:p>
    <w:p w14:paraId="217524C3" w14:textId="191A3012" w:rsidR="0011527C" w:rsidRPr="003C5719" w:rsidRDefault="0011527C" w:rsidP="004A27A8">
      <w:pPr>
        <w:spacing w:before="240"/>
      </w:pPr>
      <w:r w:rsidRPr="003C5719">
        <w:t xml:space="preserve">Details of the </w:t>
      </w:r>
      <w:r w:rsidR="00B144E2">
        <w:t>Instrument</w:t>
      </w:r>
      <w:r w:rsidRPr="003C5719">
        <w:t xml:space="preserve"> are set out in </w:t>
      </w:r>
      <w:r w:rsidRPr="003C5719">
        <w:rPr>
          <w:u w:val="single"/>
        </w:rPr>
        <w:t xml:space="preserve">Attachment </w:t>
      </w:r>
      <w:r w:rsidR="00B144E2">
        <w:rPr>
          <w:u w:val="single"/>
        </w:rPr>
        <w:t>A</w:t>
      </w:r>
      <w:r w:rsidRPr="003C5719">
        <w:t xml:space="preserve">. </w:t>
      </w:r>
    </w:p>
    <w:p w14:paraId="79E5E9AF" w14:textId="77777777" w:rsidR="009B2F6C" w:rsidRPr="00881855" w:rsidRDefault="0011527C" w:rsidP="004A27A8">
      <w:pPr>
        <w:spacing w:before="240"/>
      </w:pPr>
      <w:r w:rsidRPr="008926DE">
        <w:t xml:space="preserve">The </w:t>
      </w:r>
      <w:r w:rsidRPr="00881855">
        <w:t xml:space="preserve">Office of Impact Analysis has been (OIA) has been consulted (OIA </w:t>
      </w:r>
      <w:r w:rsidR="00AE460D" w:rsidRPr="00881855">
        <w:t xml:space="preserve">ref: </w:t>
      </w:r>
      <w:sdt>
        <w:sdtPr>
          <w:id w:val="-2093919849"/>
          <w:placeholder>
            <w:docPart w:val="8884B539C9D540DBA2623073B24915A7"/>
          </w:placeholder>
        </w:sdtPr>
        <w:sdtEndPr/>
        <w:sdtContent>
          <w:r w:rsidR="00DF3008" w:rsidRPr="00881855">
            <w:t>OIA24-08504</w:t>
          </w:r>
        </w:sdtContent>
      </w:sdt>
      <w:r w:rsidRPr="00881855">
        <w:t xml:space="preserve">) and agreed that </w:t>
      </w:r>
      <w:r w:rsidR="00465969" w:rsidRPr="00881855">
        <w:t>an Impact Analysis is not required.</w:t>
      </w:r>
    </w:p>
    <w:p w14:paraId="4894149F" w14:textId="58957483" w:rsidR="00EB2AEF" w:rsidRPr="003C5719" w:rsidRDefault="009E554C" w:rsidP="004A27A8">
      <w:pPr>
        <w:spacing w:before="240"/>
      </w:pPr>
      <w:r w:rsidRPr="00881855">
        <w:lastRenderedPageBreak/>
        <w:t>The measure has no impact on compliance costs</w:t>
      </w:r>
      <w:r w:rsidR="0011527C" w:rsidRPr="00881855">
        <w:t xml:space="preserve">. </w:t>
      </w:r>
    </w:p>
    <w:p w14:paraId="73E7F56B" w14:textId="1905EC0C" w:rsidR="00EA4DD8" w:rsidRPr="003C5719" w:rsidRDefault="00EA4DD8" w:rsidP="004A27A8">
      <w:pPr>
        <w:pageBreakBefore/>
        <w:spacing w:before="240"/>
        <w:jc w:val="right"/>
        <w:rPr>
          <w:b/>
          <w:u w:val="single"/>
        </w:rPr>
      </w:pPr>
      <w:r w:rsidRPr="003C5719">
        <w:rPr>
          <w:b/>
          <w:u w:val="single"/>
        </w:rPr>
        <w:lastRenderedPageBreak/>
        <w:t xml:space="preserve">ATTACHMENT </w:t>
      </w:r>
      <w:r w:rsidR="009B47B5">
        <w:rPr>
          <w:b/>
          <w:u w:val="single"/>
        </w:rPr>
        <w:t>A</w:t>
      </w:r>
    </w:p>
    <w:p w14:paraId="24BF0C06" w14:textId="461DC68C" w:rsidR="00EA4DD8" w:rsidRPr="00851172" w:rsidRDefault="00EA4DD8" w:rsidP="004A27A8">
      <w:pPr>
        <w:spacing w:before="240"/>
        <w:rPr>
          <w:b/>
          <w:bCs/>
          <w:szCs w:val="24"/>
          <w:u w:val="single"/>
        </w:rPr>
      </w:pPr>
      <w:r w:rsidRPr="003C5719">
        <w:rPr>
          <w:b/>
          <w:bCs/>
          <w:u w:val="single"/>
        </w:rPr>
        <w:t xml:space="preserve">Details of </w:t>
      </w:r>
      <w:r w:rsidRPr="00851172">
        <w:rPr>
          <w:b/>
          <w:bCs/>
          <w:u w:val="single"/>
        </w:rPr>
        <w:t xml:space="preserve">the </w:t>
      </w:r>
      <w:r w:rsidR="00D64D61" w:rsidRPr="00851172">
        <w:rPr>
          <w:b/>
          <w:i/>
          <w:u w:val="single"/>
        </w:rPr>
        <w:t>Housing Australia Investment Mandate Amendment (2024 Measures No.</w:t>
      </w:r>
      <w:r w:rsidR="00D64D61" w:rsidRPr="00851172">
        <w:rPr>
          <w:b/>
          <w:bCs/>
          <w:i/>
          <w:szCs w:val="24"/>
          <w:u w:val="single"/>
        </w:rPr>
        <w:t> </w:t>
      </w:r>
      <w:r w:rsidR="00D64D61" w:rsidRPr="00851172">
        <w:rPr>
          <w:b/>
          <w:i/>
          <w:u w:val="single"/>
        </w:rPr>
        <w:t>3) Direction 2024</w:t>
      </w:r>
    </w:p>
    <w:p w14:paraId="503D0949" w14:textId="77777777" w:rsidR="00EA4DD8" w:rsidRPr="00851172" w:rsidRDefault="00EA4DD8" w:rsidP="004A27A8">
      <w:pPr>
        <w:spacing w:before="240"/>
        <w:rPr>
          <w:rFonts w:ascii="Calibri" w:hAnsi="Calibri"/>
          <w:sz w:val="22"/>
          <w:szCs w:val="22"/>
          <w:u w:val="single"/>
          <w:lang w:eastAsia="en-US"/>
        </w:rPr>
      </w:pPr>
      <w:r w:rsidRPr="00851172">
        <w:rPr>
          <w:u w:val="single"/>
        </w:rPr>
        <w:t xml:space="preserve">Section 1 – Name </w:t>
      </w:r>
    </w:p>
    <w:p w14:paraId="509A1DD2" w14:textId="46C9B3E3" w:rsidR="00EA4DD8" w:rsidRPr="003C5719" w:rsidRDefault="00EA4DD8" w:rsidP="004A27A8">
      <w:pPr>
        <w:spacing w:before="240"/>
      </w:pPr>
      <w:r w:rsidRPr="00851172">
        <w:t xml:space="preserve">This section provides that the name of the </w:t>
      </w:r>
      <w:r w:rsidR="00D64D61" w:rsidRPr="00851172">
        <w:t>instrument</w:t>
      </w:r>
      <w:r w:rsidRPr="00851172">
        <w:t xml:space="preserve"> is the </w:t>
      </w:r>
      <w:r w:rsidR="005E20C3" w:rsidRPr="00851172">
        <w:rPr>
          <w:i/>
          <w:iCs/>
        </w:rPr>
        <w:t>Housing Australia Investment Mandate Amendment (2024 Measures No. 3) Direction 2024</w:t>
      </w:r>
      <w:r w:rsidRPr="00851172">
        <w:t xml:space="preserve"> (the </w:t>
      </w:r>
      <w:r w:rsidR="00434BBE" w:rsidRPr="00851172">
        <w:t>Instrument</w:t>
      </w:r>
      <w:r w:rsidRPr="003C5719">
        <w:t>).</w:t>
      </w:r>
    </w:p>
    <w:p w14:paraId="4376D522" w14:textId="77777777" w:rsidR="00EA4DD8" w:rsidRPr="003C5719" w:rsidRDefault="00EA4DD8" w:rsidP="004A27A8">
      <w:pPr>
        <w:spacing w:before="240"/>
        <w:rPr>
          <w:u w:val="single"/>
        </w:rPr>
      </w:pPr>
      <w:r w:rsidRPr="003C5719">
        <w:rPr>
          <w:u w:val="single"/>
        </w:rPr>
        <w:t>Section 2 – Commencement</w:t>
      </w:r>
    </w:p>
    <w:p w14:paraId="5546DF11" w14:textId="76E4120E" w:rsidR="00F81467" w:rsidRDefault="00F81467" w:rsidP="004A27A8">
      <w:pPr>
        <w:spacing w:before="240"/>
      </w:pPr>
      <w:r w:rsidRPr="003C5719">
        <w:t xml:space="preserve">This section provides that </w:t>
      </w:r>
      <w:r>
        <w:t>t</w:t>
      </w:r>
      <w:r w:rsidRPr="003C5719">
        <w:t xml:space="preserve">he </w:t>
      </w:r>
      <w:r>
        <w:t>Instrument</w:t>
      </w:r>
      <w:r w:rsidRPr="003C5719">
        <w:t xml:space="preserve"> commence</w:t>
      </w:r>
      <w:r>
        <w:t>d</w:t>
      </w:r>
      <w:r w:rsidRPr="003C5719">
        <w:t xml:space="preserve"> on </w:t>
      </w:r>
      <w:r w:rsidRPr="006F683C">
        <w:t xml:space="preserve">the day after </w:t>
      </w:r>
      <w:r>
        <w:t>registration</w:t>
      </w:r>
      <w:r w:rsidRPr="003C5719">
        <w:t>.</w:t>
      </w:r>
      <w:r>
        <w:t xml:space="preserve"> </w:t>
      </w:r>
    </w:p>
    <w:p w14:paraId="3A8BDF88" w14:textId="77777777" w:rsidR="00EA4DD8" w:rsidRPr="003C5719" w:rsidRDefault="00EA4DD8" w:rsidP="004A27A8">
      <w:pPr>
        <w:spacing w:before="240"/>
        <w:rPr>
          <w:u w:val="single"/>
        </w:rPr>
      </w:pPr>
      <w:r w:rsidRPr="003C5719">
        <w:rPr>
          <w:u w:val="single"/>
        </w:rPr>
        <w:t>Section 3 – Authority</w:t>
      </w:r>
    </w:p>
    <w:p w14:paraId="2F5C79E1" w14:textId="1A9E1C5C" w:rsidR="00E621D2" w:rsidRPr="003C5719" w:rsidRDefault="00E621D2" w:rsidP="004A27A8">
      <w:pPr>
        <w:spacing w:before="240"/>
      </w:pPr>
      <w:r w:rsidRPr="003C5719">
        <w:t xml:space="preserve">This section provides that </w:t>
      </w:r>
      <w:r>
        <w:t>t</w:t>
      </w:r>
      <w:r w:rsidRPr="003C5719">
        <w:t xml:space="preserve">he </w:t>
      </w:r>
      <w:r>
        <w:t>Instrument</w:t>
      </w:r>
      <w:r w:rsidRPr="003C5719">
        <w:t xml:space="preserve"> </w:t>
      </w:r>
      <w:r>
        <w:t xml:space="preserve">is </w:t>
      </w:r>
      <w:r w:rsidRPr="003C5719">
        <w:t xml:space="preserve">made under the </w:t>
      </w:r>
      <w:r>
        <w:rPr>
          <w:i/>
        </w:rPr>
        <w:t>Housing Australia Act 2018</w:t>
      </w:r>
      <w:r>
        <w:rPr>
          <w:iCs/>
        </w:rPr>
        <w:t xml:space="preserve"> (the Act)</w:t>
      </w:r>
      <w:r w:rsidRPr="003C5719">
        <w:t>.</w:t>
      </w:r>
    </w:p>
    <w:p w14:paraId="00E42E20" w14:textId="7FC0B689" w:rsidR="00EA4DD8" w:rsidRPr="003C5719" w:rsidRDefault="00EA4DD8" w:rsidP="004A27A8">
      <w:pPr>
        <w:spacing w:before="240"/>
        <w:rPr>
          <w:u w:val="single"/>
        </w:rPr>
      </w:pPr>
      <w:r w:rsidRPr="003C5719">
        <w:rPr>
          <w:u w:val="single"/>
        </w:rPr>
        <w:t>Section 4 – Schedule</w:t>
      </w:r>
    </w:p>
    <w:p w14:paraId="16977547" w14:textId="0D86BE8B" w:rsidR="00E37FF7" w:rsidRDefault="00EA4DD8" w:rsidP="008541E3">
      <w:pPr>
        <w:spacing w:before="240" w:after="200"/>
      </w:pPr>
      <w:r w:rsidRPr="003C5719">
        <w:t xml:space="preserve">This section provides that each instrument that is specified in the Schedule to this instrument </w:t>
      </w:r>
      <w:r w:rsidR="0041100B">
        <w:t>is</w:t>
      </w:r>
      <w:r w:rsidR="005D7E35">
        <w:t xml:space="preserve"> </w:t>
      </w:r>
      <w:r w:rsidRPr="003C5719">
        <w:t xml:space="preserve">amended or repealed as set out in the applicable items in the Schedule, and any other item in the Schedule to this </w:t>
      </w:r>
      <w:r w:rsidR="0041100B">
        <w:t>I</w:t>
      </w:r>
      <w:r w:rsidRPr="003C5719">
        <w:t>nstrument has effect according to its terms.</w:t>
      </w:r>
    </w:p>
    <w:p w14:paraId="40B575FE" w14:textId="77777777" w:rsidR="0041100B" w:rsidRPr="00A9642F" w:rsidRDefault="0041100B" w:rsidP="0041100B">
      <w:pPr>
        <w:spacing w:before="240" w:after="200"/>
        <w:rPr>
          <w:u w:val="single"/>
        </w:rPr>
      </w:pPr>
      <w:r w:rsidRPr="00A9642F">
        <w:rPr>
          <w:u w:val="single"/>
        </w:rPr>
        <w:t>Schedule 1 – Amendments</w:t>
      </w:r>
    </w:p>
    <w:p w14:paraId="7849C272" w14:textId="22B8A3C3" w:rsidR="0041100B" w:rsidRDefault="0041100B" w:rsidP="008541E3">
      <w:pPr>
        <w:spacing w:before="240" w:after="200"/>
      </w:pPr>
      <w:r w:rsidRPr="00A9642F">
        <w:t xml:space="preserve">Legislative references in this attachment are to the </w:t>
      </w:r>
      <w:r w:rsidRPr="00A9642F">
        <w:rPr>
          <w:i/>
          <w:iCs/>
        </w:rPr>
        <w:t>Housing Australia Investment Mandate Direction</w:t>
      </w:r>
      <w:r>
        <w:rPr>
          <w:i/>
          <w:iCs/>
        </w:rPr>
        <w:t> </w:t>
      </w:r>
      <w:r w:rsidRPr="00A9642F">
        <w:rPr>
          <w:i/>
          <w:iCs/>
        </w:rPr>
        <w:t>2018</w:t>
      </w:r>
      <w:r w:rsidRPr="00A9642F">
        <w:t xml:space="preserve"> (</w:t>
      </w:r>
      <w:r>
        <w:t xml:space="preserve">the </w:t>
      </w:r>
      <w:r w:rsidRPr="00A9642F">
        <w:t>Investment Mandate) unless otherwise stated.</w:t>
      </w:r>
    </w:p>
    <w:p w14:paraId="0D3643D6" w14:textId="1C31B826" w:rsidR="005F4700" w:rsidRPr="001737A2" w:rsidRDefault="005F4700" w:rsidP="00E910E3">
      <w:pPr>
        <w:pStyle w:val="Heading1"/>
      </w:pPr>
      <w:r w:rsidRPr="001737A2">
        <w:t>Improving the operation of the Housing Australia Future Fund Facility (HAFFF) and supporting the accelerated delivery of the second round of HAFFF financing</w:t>
      </w:r>
    </w:p>
    <w:p w14:paraId="4C1142CB" w14:textId="31C97BD1" w:rsidR="001C5000" w:rsidRPr="002D0524" w:rsidRDefault="00ED3129" w:rsidP="00926CC4">
      <w:pPr>
        <w:spacing w:before="240" w:after="200"/>
      </w:pPr>
      <w:r>
        <w:t xml:space="preserve">Informed by application outcomes of the first </w:t>
      </w:r>
      <w:r w:rsidR="00AE2FA8">
        <w:t>round of financing under the HAFFF, the amendments to the Investment Mandate</w:t>
      </w:r>
      <w:r w:rsidR="001C5000">
        <w:t xml:space="preserve"> improve the operation of the HAFFF and support the accelerated delivery of the second round of</w:t>
      </w:r>
      <w:r w:rsidR="00926CC4">
        <w:t xml:space="preserve"> HAFFF</w:t>
      </w:r>
      <w:r w:rsidR="001C5000">
        <w:t xml:space="preserve"> financing. Specifically, the </w:t>
      </w:r>
      <w:r w:rsidR="00534539">
        <w:rPr>
          <w:szCs w:val="24"/>
        </w:rPr>
        <w:t>amendments</w:t>
      </w:r>
      <w:r w:rsidR="001C5000" w:rsidRPr="00491B3E">
        <w:rPr>
          <w:szCs w:val="24"/>
        </w:rPr>
        <w:t>:</w:t>
      </w:r>
    </w:p>
    <w:p w14:paraId="1A7199E7" w14:textId="7BF29FEC" w:rsidR="001C5000" w:rsidRPr="00D06CF8" w:rsidRDefault="001C5000" w:rsidP="00F81CC5">
      <w:pPr>
        <w:pStyle w:val="Bullet"/>
      </w:pPr>
      <w:r>
        <w:rPr>
          <w:szCs w:val="24"/>
        </w:rPr>
        <w:t xml:space="preserve">increase the limit on the </w:t>
      </w:r>
      <w:r w:rsidR="009E554C">
        <w:rPr>
          <w:szCs w:val="24"/>
        </w:rPr>
        <w:t>sum</w:t>
      </w:r>
      <w:r>
        <w:rPr>
          <w:szCs w:val="24"/>
        </w:rPr>
        <w:t xml:space="preserve"> of all loans made under the HAFFF on or after 1</w:t>
      </w:r>
      <w:r w:rsidRPr="007F5AE7">
        <w:rPr>
          <w:iCs/>
          <w:szCs w:val="24"/>
        </w:rPr>
        <w:t> </w:t>
      </w:r>
      <w:r>
        <w:rPr>
          <w:szCs w:val="24"/>
        </w:rPr>
        <w:t>July 2024 and before 1 July 2029 (relevant period) by $204 million, from $1.531 billion to $1.735</w:t>
      </w:r>
      <w:r w:rsidRPr="007F5AE7">
        <w:rPr>
          <w:iCs/>
          <w:szCs w:val="24"/>
        </w:rPr>
        <w:t> </w:t>
      </w:r>
      <w:r>
        <w:rPr>
          <w:szCs w:val="24"/>
        </w:rPr>
        <w:t>billion;</w:t>
      </w:r>
      <w:r w:rsidR="00F81CC5">
        <w:rPr>
          <w:szCs w:val="24"/>
        </w:rPr>
        <w:t xml:space="preserve"> and</w:t>
      </w:r>
      <w:r w:rsidR="00F81CC5">
        <w:t xml:space="preserve"> </w:t>
      </w:r>
      <w:r w:rsidRPr="00F81CC5">
        <w:rPr>
          <w:szCs w:val="24"/>
        </w:rPr>
        <w:t xml:space="preserve">decrease the limit on the </w:t>
      </w:r>
      <w:r w:rsidR="009E554C">
        <w:rPr>
          <w:szCs w:val="24"/>
        </w:rPr>
        <w:t>sum</w:t>
      </w:r>
      <w:r w:rsidRPr="00F81CC5">
        <w:rPr>
          <w:szCs w:val="24"/>
        </w:rPr>
        <w:t xml:space="preserve"> of all loans made under the </w:t>
      </w:r>
      <w:r w:rsidR="00386E32" w:rsidRPr="00F81CC5">
        <w:rPr>
          <w:szCs w:val="24"/>
        </w:rPr>
        <w:t>National Housing Accord Facility (</w:t>
      </w:r>
      <w:r w:rsidRPr="00F81CC5">
        <w:rPr>
          <w:szCs w:val="24"/>
        </w:rPr>
        <w:t>NHAF</w:t>
      </w:r>
      <w:r w:rsidR="00386E32" w:rsidRPr="00F81CC5">
        <w:rPr>
          <w:szCs w:val="24"/>
        </w:rPr>
        <w:t>)</w:t>
      </w:r>
      <w:r w:rsidRPr="00F81CC5">
        <w:rPr>
          <w:szCs w:val="24"/>
        </w:rPr>
        <w:t xml:space="preserve"> during the relevant period by $204</w:t>
      </w:r>
      <w:r w:rsidR="00D30C5F" w:rsidRPr="007F5AE7">
        <w:rPr>
          <w:iCs/>
          <w:szCs w:val="24"/>
        </w:rPr>
        <w:t> </w:t>
      </w:r>
      <w:r w:rsidRPr="00F81CC5">
        <w:rPr>
          <w:szCs w:val="24"/>
        </w:rPr>
        <w:t>million, from $</w:t>
      </w:r>
      <w:r w:rsidR="00100890">
        <w:rPr>
          <w:szCs w:val="24"/>
        </w:rPr>
        <w:t>383</w:t>
      </w:r>
      <w:r w:rsidR="00100890" w:rsidRPr="00F81CC5">
        <w:rPr>
          <w:szCs w:val="24"/>
        </w:rPr>
        <w:t xml:space="preserve"> </w:t>
      </w:r>
      <w:r w:rsidRPr="00F81CC5">
        <w:rPr>
          <w:szCs w:val="24"/>
        </w:rPr>
        <w:t>million to $179 million</w:t>
      </w:r>
      <w:r w:rsidR="00F81CC5">
        <w:rPr>
          <w:szCs w:val="24"/>
        </w:rPr>
        <w:t>. This allow</w:t>
      </w:r>
      <w:r w:rsidR="009E554C">
        <w:rPr>
          <w:szCs w:val="24"/>
        </w:rPr>
        <w:t>s</w:t>
      </w:r>
      <w:r w:rsidR="00F81CC5">
        <w:rPr>
          <w:szCs w:val="24"/>
        </w:rPr>
        <w:t xml:space="preserve"> additional financing to be </w:t>
      </w:r>
      <w:r w:rsidR="00A6560B">
        <w:rPr>
          <w:szCs w:val="24"/>
        </w:rPr>
        <w:t>provided</w:t>
      </w:r>
      <w:r w:rsidR="00F81CC5">
        <w:rPr>
          <w:szCs w:val="24"/>
        </w:rPr>
        <w:t xml:space="preserve"> under the HAFFF</w:t>
      </w:r>
      <w:r w:rsidR="00D51F14">
        <w:rPr>
          <w:szCs w:val="24"/>
        </w:rPr>
        <w:t xml:space="preserve"> (including the second round of HAFFF financing)</w:t>
      </w:r>
      <w:r w:rsidR="00A6560B">
        <w:rPr>
          <w:szCs w:val="24"/>
        </w:rPr>
        <w:t xml:space="preserve"> through the repurposing of NHAF funds</w:t>
      </w:r>
      <w:r w:rsidRPr="00F81CC5">
        <w:rPr>
          <w:szCs w:val="24"/>
        </w:rPr>
        <w:t>;</w:t>
      </w:r>
    </w:p>
    <w:p w14:paraId="09E049AB" w14:textId="46BC6A56" w:rsidR="00CE160B" w:rsidRPr="00CE160B" w:rsidRDefault="001C5000" w:rsidP="001C5000">
      <w:pPr>
        <w:pStyle w:val="Bullet"/>
      </w:pPr>
      <w:r>
        <w:rPr>
          <w:szCs w:val="24"/>
        </w:rPr>
        <w:t xml:space="preserve">increase </w:t>
      </w:r>
      <w:r w:rsidRPr="00687FB3">
        <w:rPr>
          <w:szCs w:val="24"/>
        </w:rPr>
        <w:t xml:space="preserve">the annual limit for the </w:t>
      </w:r>
      <w:r w:rsidR="009E554C">
        <w:rPr>
          <w:szCs w:val="24"/>
        </w:rPr>
        <w:t>sum</w:t>
      </w:r>
      <w:r w:rsidRPr="00687FB3">
        <w:rPr>
          <w:szCs w:val="24"/>
        </w:rPr>
        <w:t xml:space="preserve"> of all HAFFF availability payments for the 2024-25 financial year and each subsequent financial year until the 2029-30 financial year</w:t>
      </w:r>
      <w:r>
        <w:rPr>
          <w:szCs w:val="24"/>
        </w:rPr>
        <w:t xml:space="preserve"> from $288 million to $368 million</w:t>
      </w:r>
      <w:r w:rsidR="00003DBC">
        <w:rPr>
          <w:szCs w:val="24"/>
        </w:rPr>
        <w:t>.</w:t>
      </w:r>
      <w:r w:rsidR="00830D35">
        <w:rPr>
          <w:szCs w:val="24"/>
        </w:rPr>
        <w:t xml:space="preserve"> This allows Housing Australia to make a greater amount of HAFFF availability payments annually</w:t>
      </w:r>
      <w:r>
        <w:rPr>
          <w:szCs w:val="24"/>
        </w:rPr>
        <w:t>;</w:t>
      </w:r>
      <w:r w:rsidR="002E054A">
        <w:rPr>
          <w:szCs w:val="24"/>
        </w:rPr>
        <w:t xml:space="preserve"> </w:t>
      </w:r>
    </w:p>
    <w:p w14:paraId="1329E2BA" w14:textId="5086A0C8" w:rsidR="001C5000" w:rsidRPr="00C32AC3" w:rsidRDefault="00CE160B" w:rsidP="001C5000">
      <w:pPr>
        <w:pStyle w:val="Bullet"/>
        <w:rPr>
          <w:szCs w:val="24"/>
        </w:rPr>
      </w:pPr>
      <w:r w:rsidRPr="00D30FCC">
        <w:rPr>
          <w:szCs w:val="24"/>
        </w:rPr>
        <w:lastRenderedPageBreak/>
        <w:t>increase the cap of Housing Australia’s total liabilities (Liability Cap) by $16 billion, from $10 billion to $26 billion, ensuring that Housing Australia can continue to expand its financing activities under the HAFFF, the NHAF, and the Affordable Housing Bond Aggregator (AHBA</w:t>
      </w:r>
      <w:r w:rsidR="00FE34DA" w:rsidRPr="00D30FCC">
        <w:rPr>
          <w:szCs w:val="24"/>
        </w:rPr>
        <w:t>)</w:t>
      </w:r>
      <w:r w:rsidRPr="00D30FCC">
        <w:rPr>
          <w:szCs w:val="24"/>
        </w:rPr>
        <w:t xml:space="preserve">; </w:t>
      </w:r>
      <w:r w:rsidR="002E054A" w:rsidRPr="00C32AC3">
        <w:rPr>
          <w:szCs w:val="24"/>
        </w:rPr>
        <w:t>and</w:t>
      </w:r>
    </w:p>
    <w:p w14:paraId="24898DCA" w14:textId="6C3D1BC3" w:rsidR="001C5000" w:rsidRDefault="001C5000" w:rsidP="005B061A">
      <w:pPr>
        <w:pStyle w:val="Bullet"/>
      </w:pPr>
      <w:r>
        <w:t xml:space="preserve">limit </w:t>
      </w:r>
      <w:r w:rsidR="3FF3A130">
        <w:t xml:space="preserve">the applications Housing Australia must consider for </w:t>
      </w:r>
      <w:r>
        <w:t xml:space="preserve">the second round of financing under the HAFFF </w:t>
      </w:r>
      <w:r w:rsidDel="001C5000">
        <w:t xml:space="preserve">to </w:t>
      </w:r>
      <w:r w:rsidR="009A4747">
        <w:t xml:space="preserve">applications made by or </w:t>
      </w:r>
      <w:r w:rsidR="00841453">
        <w:t>together</w:t>
      </w:r>
      <w:r w:rsidR="009A4747">
        <w:t xml:space="preserve"> with</w:t>
      </w:r>
      <w:r w:rsidR="006C5DAC">
        <w:t xml:space="preserve"> </w:t>
      </w:r>
      <w:r>
        <w:t xml:space="preserve">States, Territories, State-government-owned corporations (that are constitutional corporations but not utility providers) </w:t>
      </w:r>
      <w:r w:rsidR="009A4747">
        <w:t xml:space="preserve">or </w:t>
      </w:r>
      <w:r>
        <w:t>Territory-government-owned corporations (that are constitutional corporations but not utility providers)</w:t>
      </w:r>
      <w:r w:rsidR="004B3C41">
        <w:t xml:space="preserve"> between</w:t>
      </w:r>
      <w:r w:rsidR="00E5391F">
        <w:t xml:space="preserve"> commencement and 1 </w:t>
      </w:r>
      <w:r w:rsidR="00312A0C">
        <w:t>March</w:t>
      </w:r>
      <w:r w:rsidR="00E5391F">
        <w:t xml:space="preserve"> 2025</w:t>
      </w:r>
      <w:r>
        <w:t>.</w:t>
      </w:r>
      <w:r w:rsidR="005B061A">
        <w:t xml:space="preserve"> This supports the accelerated delivery of HAFFF projects under the second round through close engagement with those </w:t>
      </w:r>
      <w:r w:rsidR="00E5391F">
        <w:t>entities</w:t>
      </w:r>
      <w:r w:rsidR="005B061A">
        <w:t>.</w:t>
      </w:r>
    </w:p>
    <w:p w14:paraId="52E14F57" w14:textId="5DF50714" w:rsidR="00116214" w:rsidRPr="00DE62B0" w:rsidRDefault="00386E32" w:rsidP="00E910E3">
      <w:pPr>
        <w:pStyle w:val="Heading1"/>
      </w:pPr>
      <w:r w:rsidRPr="00DE62B0">
        <w:t>R</w:t>
      </w:r>
      <w:r w:rsidR="00CE2DD7" w:rsidRPr="00DE62B0">
        <w:t>epur</w:t>
      </w:r>
      <w:r w:rsidR="004E6E7A" w:rsidRPr="00DE62B0">
        <w:t>posing of NHAF funds for HAFFF purposes</w:t>
      </w:r>
    </w:p>
    <w:p w14:paraId="55C47A7C" w14:textId="44E36C81" w:rsidR="00116214" w:rsidRDefault="00C97561" w:rsidP="00F52857">
      <w:pPr>
        <w:rPr>
          <w:szCs w:val="24"/>
        </w:rPr>
      </w:pPr>
      <w:r>
        <w:rPr>
          <w:szCs w:val="24"/>
        </w:rPr>
        <w:t>Item 1 amends sub</w:t>
      </w:r>
      <w:r w:rsidR="00FB428E">
        <w:rPr>
          <w:szCs w:val="24"/>
        </w:rPr>
        <w:t>section 28</w:t>
      </w:r>
      <w:proofErr w:type="gramStart"/>
      <w:r w:rsidR="00FB428E">
        <w:rPr>
          <w:szCs w:val="24"/>
        </w:rPr>
        <w:t>N(</w:t>
      </w:r>
      <w:proofErr w:type="gramEnd"/>
      <w:r w:rsidR="00FB428E">
        <w:rPr>
          <w:szCs w:val="24"/>
        </w:rPr>
        <w:t>3)</w:t>
      </w:r>
      <w:r w:rsidR="000A10E8">
        <w:rPr>
          <w:szCs w:val="24"/>
        </w:rPr>
        <w:t xml:space="preserve"> to omit the reference to $1.531 billion, substituting it with $1.7</w:t>
      </w:r>
      <w:r w:rsidR="00CB6D44">
        <w:rPr>
          <w:szCs w:val="24"/>
        </w:rPr>
        <w:t>35 billion.</w:t>
      </w:r>
      <w:r w:rsidR="00927B14">
        <w:rPr>
          <w:szCs w:val="24"/>
        </w:rPr>
        <w:t xml:space="preserve"> </w:t>
      </w:r>
      <w:r w:rsidR="00A60487">
        <w:rPr>
          <w:szCs w:val="24"/>
        </w:rPr>
        <w:t xml:space="preserve">The </w:t>
      </w:r>
      <w:r w:rsidR="009E554C">
        <w:rPr>
          <w:szCs w:val="24"/>
        </w:rPr>
        <w:t xml:space="preserve">sum </w:t>
      </w:r>
      <w:r w:rsidR="00A60487">
        <w:rPr>
          <w:szCs w:val="24"/>
        </w:rPr>
        <w:t xml:space="preserve">of all loans made under the HAFFF </w:t>
      </w:r>
      <w:r w:rsidR="00714579">
        <w:rPr>
          <w:szCs w:val="24"/>
        </w:rPr>
        <w:t>on or after 1</w:t>
      </w:r>
      <w:r w:rsidR="007B334D" w:rsidRPr="007F5AE7">
        <w:rPr>
          <w:iCs/>
          <w:szCs w:val="24"/>
        </w:rPr>
        <w:t> </w:t>
      </w:r>
      <w:r w:rsidR="00714579">
        <w:rPr>
          <w:szCs w:val="24"/>
        </w:rPr>
        <w:t xml:space="preserve">July </w:t>
      </w:r>
      <w:r w:rsidR="00AA2E68">
        <w:rPr>
          <w:szCs w:val="24"/>
        </w:rPr>
        <w:t xml:space="preserve">2024 </w:t>
      </w:r>
      <w:r w:rsidR="00714579">
        <w:rPr>
          <w:szCs w:val="24"/>
        </w:rPr>
        <w:t>and before 1 July 202</w:t>
      </w:r>
      <w:r w:rsidR="00D606AA">
        <w:rPr>
          <w:szCs w:val="24"/>
        </w:rPr>
        <w:t xml:space="preserve">9 </w:t>
      </w:r>
      <w:r w:rsidR="007F6ACE">
        <w:rPr>
          <w:szCs w:val="24"/>
        </w:rPr>
        <w:t xml:space="preserve">(relevant period) </w:t>
      </w:r>
      <w:r w:rsidR="00D606AA">
        <w:rPr>
          <w:szCs w:val="24"/>
        </w:rPr>
        <w:t>must be less than or equal to $1.73</w:t>
      </w:r>
      <w:r w:rsidR="009C1A1D">
        <w:rPr>
          <w:szCs w:val="24"/>
        </w:rPr>
        <w:t>5</w:t>
      </w:r>
      <w:bookmarkStart w:id="0" w:name="_Hlk184204704"/>
      <w:r w:rsidR="007B334D" w:rsidRPr="007F5AE7">
        <w:rPr>
          <w:iCs/>
          <w:szCs w:val="24"/>
        </w:rPr>
        <w:t> </w:t>
      </w:r>
      <w:bookmarkEnd w:id="0"/>
      <w:r w:rsidR="009C1A1D">
        <w:rPr>
          <w:szCs w:val="24"/>
        </w:rPr>
        <w:t>billion.</w:t>
      </w:r>
    </w:p>
    <w:p w14:paraId="128742A8" w14:textId="46CCB9A1" w:rsidR="007F02EC" w:rsidRDefault="00C9633C" w:rsidP="00F52857">
      <w:pPr>
        <w:rPr>
          <w:szCs w:val="24"/>
        </w:rPr>
      </w:pPr>
      <w:r>
        <w:rPr>
          <w:szCs w:val="24"/>
        </w:rPr>
        <w:t>This i</w:t>
      </w:r>
      <w:r w:rsidR="007F02EC">
        <w:rPr>
          <w:szCs w:val="24"/>
        </w:rPr>
        <w:t>ncreas</w:t>
      </w:r>
      <w:r>
        <w:rPr>
          <w:szCs w:val="24"/>
        </w:rPr>
        <w:t>es</w:t>
      </w:r>
      <w:r w:rsidR="007F02EC">
        <w:rPr>
          <w:szCs w:val="24"/>
        </w:rPr>
        <w:t xml:space="preserve"> the limit by $204 </w:t>
      </w:r>
      <w:r>
        <w:rPr>
          <w:szCs w:val="24"/>
        </w:rPr>
        <w:t>m</w:t>
      </w:r>
      <w:r w:rsidR="007F02EC">
        <w:rPr>
          <w:szCs w:val="24"/>
        </w:rPr>
        <w:t>illion</w:t>
      </w:r>
      <w:r w:rsidR="001946BF">
        <w:rPr>
          <w:szCs w:val="24"/>
        </w:rPr>
        <w:t xml:space="preserve"> </w:t>
      </w:r>
      <w:r>
        <w:rPr>
          <w:szCs w:val="24"/>
        </w:rPr>
        <w:t>and</w:t>
      </w:r>
      <w:r w:rsidR="001946BF">
        <w:rPr>
          <w:szCs w:val="24"/>
        </w:rPr>
        <w:t xml:space="preserve"> </w:t>
      </w:r>
      <w:r w:rsidR="00211893">
        <w:rPr>
          <w:szCs w:val="24"/>
        </w:rPr>
        <w:t>allows</w:t>
      </w:r>
      <w:r w:rsidR="00631FDE">
        <w:rPr>
          <w:szCs w:val="24"/>
        </w:rPr>
        <w:t xml:space="preserve"> Housing Australia</w:t>
      </w:r>
      <w:r w:rsidR="00211893">
        <w:rPr>
          <w:szCs w:val="24"/>
        </w:rPr>
        <w:t xml:space="preserve"> to make </w:t>
      </w:r>
      <w:r w:rsidR="00800923">
        <w:rPr>
          <w:szCs w:val="24"/>
        </w:rPr>
        <w:t>a greater amount of</w:t>
      </w:r>
      <w:r w:rsidR="00211893">
        <w:rPr>
          <w:szCs w:val="24"/>
        </w:rPr>
        <w:t xml:space="preserve"> loans under the HAFFF.</w:t>
      </w:r>
      <w:r w:rsidR="0051658F">
        <w:rPr>
          <w:szCs w:val="24"/>
        </w:rPr>
        <w:t xml:space="preserve"> The </w:t>
      </w:r>
      <w:r w:rsidR="002B406D">
        <w:rPr>
          <w:szCs w:val="24"/>
        </w:rPr>
        <w:t xml:space="preserve">$204 million </w:t>
      </w:r>
      <w:r w:rsidR="00BD0DBE">
        <w:rPr>
          <w:szCs w:val="24"/>
        </w:rPr>
        <w:t xml:space="preserve">refers to unallocated </w:t>
      </w:r>
      <w:r w:rsidR="00901110">
        <w:rPr>
          <w:szCs w:val="24"/>
        </w:rPr>
        <w:t>loan</w:t>
      </w:r>
      <w:r w:rsidR="003B0212">
        <w:rPr>
          <w:szCs w:val="24"/>
        </w:rPr>
        <w:t xml:space="preserve"> funding that was </w:t>
      </w:r>
      <w:r w:rsidR="00901110">
        <w:rPr>
          <w:szCs w:val="24"/>
        </w:rPr>
        <w:t>available under the NHAF</w:t>
      </w:r>
      <w:r w:rsidR="00BD6822">
        <w:rPr>
          <w:szCs w:val="24"/>
        </w:rPr>
        <w:t xml:space="preserve"> before the commencement of the Instrument</w:t>
      </w:r>
      <w:r w:rsidR="00D71C7A">
        <w:rPr>
          <w:szCs w:val="24"/>
        </w:rPr>
        <w:t xml:space="preserve">. This amount </w:t>
      </w:r>
      <w:r w:rsidR="00291C5F">
        <w:rPr>
          <w:szCs w:val="24"/>
        </w:rPr>
        <w:t>is</w:t>
      </w:r>
      <w:r w:rsidR="008F37A8">
        <w:rPr>
          <w:szCs w:val="24"/>
        </w:rPr>
        <w:t xml:space="preserve"> reallocated and repurposed to fund</w:t>
      </w:r>
      <w:r w:rsidR="00FE4884">
        <w:rPr>
          <w:szCs w:val="24"/>
        </w:rPr>
        <w:t xml:space="preserve"> loans to be used</w:t>
      </w:r>
      <w:r w:rsidR="00135C23">
        <w:rPr>
          <w:szCs w:val="24"/>
        </w:rPr>
        <w:t xml:space="preserve"> in the second round of HAFFF </w:t>
      </w:r>
      <w:r w:rsidR="00031FCB">
        <w:rPr>
          <w:szCs w:val="24"/>
        </w:rPr>
        <w:t>financing</w:t>
      </w:r>
      <w:r w:rsidR="00135C23">
        <w:rPr>
          <w:szCs w:val="24"/>
        </w:rPr>
        <w:t>.</w:t>
      </w:r>
    </w:p>
    <w:p w14:paraId="29CBD747" w14:textId="11A34470" w:rsidR="009273FD" w:rsidRDefault="009273FD" w:rsidP="00F52857">
      <w:pPr>
        <w:rPr>
          <w:szCs w:val="24"/>
        </w:rPr>
      </w:pPr>
      <w:r>
        <w:rPr>
          <w:szCs w:val="24"/>
        </w:rPr>
        <w:t>Similarly, item 3 amends</w:t>
      </w:r>
      <w:r w:rsidR="006C0C7D">
        <w:rPr>
          <w:szCs w:val="24"/>
        </w:rPr>
        <w:t xml:space="preserve"> subsection 28</w:t>
      </w:r>
      <w:proofErr w:type="gramStart"/>
      <w:r w:rsidR="006C0C7D">
        <w:rPr>
          <w:szCs w:val="24"/>
        </w:rPr>
        <w:t>ZA</w:t>
      </w:r>
      <w:r w:rsidR="00DC2591">
        <w:rPr>
          <w:szCs w:val="24"/>
        </w:rPr>
        <w:t>(</w:t>
      </w:r>
      <w:proofErr w:type="gramEnd"/>
      <w:r w:rsidR="00DC2591">
        <w:rPr>
          <w:szCs w:val="24"/>
        </w:rPr>
        <w:t>3) to omit the reference to $383 million, substituting it with $179 million.</w:t>
      </w:r>
      <w:r w:rsidR="00D734CC">
        <w:rPr>
          <w:szCs w:val="24"/>
        </w:rPr>
        <w:t xml:space="preserve"> </w:t>
      </w:r>
      <w:r w:rsidR="00B748B8">
        <w:rPr>
          <w:szCs w:val="24"/>
        </w:rPr>
        <w:t>As amended, this subsection provides that t</w:t>
      </w:r>
      <w:r w:rsidR="00D734CC">
        <w:rPr>
          <w:szCs w:val="24"/>
        </w:rPr>
        <w:t xml:space="preserve">he </w:t>
      </w:r>
      <w:r w:rsidR="009E554C">
        <w:rPr>
          <w:szCs w:val="24"/>
        </w:rPr>
        <w:t>sum</w:t>
      </w:r>
      <w:r w:rsidR="00D734CC">
        <w:rPr>
          <w:szCs w:val="24"/>
        </w:rPr>
        <w:t xml:space="preserve"> of all loans made under the NHAF during the relevant period must be less than or equal to $</w:t>
      </w:r>
      <w:r w:rsidR="005C4560">
        <w:rPr>
          <w:szCs w:val="24"/>
        </w:rPr>
        <w:t>179</w:t>
      </w:r>
      <w:r w:rsidR="00A65154" w:rsidRPr="007F5AE7">
        <w:rPr>
          <w:iCs/>
          <w:szCs w:val="24"/>
        </w:rPr>
        <w:t> </w:t>
      </w:r>
      <w:r w:rsidR="005C4560">
        <w:rPr>
          <w:szCs w:val="24"/>
        </w:rPr>
        <w:t>m</w:t>
      </w:r>
      <w:r w:rsidR="00D734CC">
        <w:rPr>
          <w:szCs w:val="24"/>
        </w:rPr>
        <w:t>illion.</w:t>
      </w:r>
      <w:r w:rsidR="005C4560">
        <w:rPr>
          <w:szCs w:val="24"/>
        </w:rPr>
        <w:t xml:space="preserve"> </w:t>
      </w:r>
      <w:r w:rsidR="009A1459">
        <w:rPr>
          <w:szCs w:val="24"/>
        </w:rPr>
        <w:t xml:space="preserve">This </w:t>
      </w:r>
      <w:r w:rsidR="005C4560">
        <w:rPr>
          <w:szCs w:val="24"/>
        </w:rPr>
        <w:t>$204</w:t>
      </w:r>
      <w:r w:rsidR="009A1459">
        <w:rPr>
          <w:szCs w:val="24"/>
        </w:rPr>
        <w:t> </w:t>
      </w:r>
      <w:r w:rsidR="005C4560">
        <w:rPr>
          <w:szCs w:val="24"/>
        </w:rPr>
        <w:t xml:space="preserve">million </w:t>
      </w:r>
      <w:r w:rsidR="009A1459">
        <w:rPr>
          <w:szCs w:val="24"/>
        </w:rPr>
        <w:t xml:space="preserve">decrease reflects the additional $204 million </w:t>
      </w:r>
      <w:r w:rsidR="009A172E">
        <w:rPr>
          <w:szCs w:val="24"/>
        </w:rPr>
        <w:t xml:space="preserve">above, </w:t>
      </w:r>
      <w:r w:rsidR="00466C69">
        <w:rPr>
          <w:szCs w:val="24"/>
        </w:rPr>
        <w:t>facilitat</w:t>
      </w:r>
      <w:r w:rsidR="009A172E">
        <w:rPr>
          <w:szCs w:val="24"/>
        </w:rPr>
        <w:t>ing</w:t>
      </w:r>
      <w:r w:rsidR="00466C69">
        <w:rPr>
          <w:szCs w:val="24"/>
        </w:rPr>
        <w:t xml:space="preserve"> the repurposing of the funds as described in the above paragraph.</w:t>
      </w:r>
    </w:p>
    <w:p w14:paraId="26355420" w14:textId="7006E421" w:rsidR="00656B44" w:rsidRPr="00DE62B0" w:rsidRDefault="00656B44" w:rsidP="0089623A">
      <w:pPr>
        <w:pStyle w:val="Heading1"/>
      </w:pPr>
      <w:r w:rsidRPr="00DE62B0">
        <w:t>Increasing the limit</w:t>
      </w:r>
      <w:r w:rsidR="00362736" w:rsidRPr="00DE62B0">
        <w:t>s</w:t>
      </w:r>
      <w:r w:rsidRPr="00DE62B0">
        <w:t xml:space="preserve"> on making </w:t>
      </w:r>
      <w:r w:rsidR="00E11787" w:rsidRPr="00DE62B0">
        <w:t>HAFFF availability payments</w:t>
      </w:r>
      <w:r w:rsidRPr="00DE62B0">
        <w:t xml:space="preserve"> </w:t>
      </w:r>
    </w:p>
    <w:p w14:paraId="6614F6E3" w14:textId="4E9665F3" w:rsidR="003C48AF" w:rsidRDefault="00287A77" w:rsidP="003C48AF">
      <w:pPr>
        <w:rPr>
          <w:szCs w:val="24"/>
        </w:rPr>
      </w:pPr>
      <w:r>
        <w:rPr>
          <w:szCs w:val="24"/>
        </w:rPr>
        <w:t>I</w:t>
      </w:r>
      <w:r w:rsidR="002C3AC3" w:rsidRPr="00287A77">
        <w:rPr>
          <w:szCs w:val="24"/>
        </w:rPr>
        <w:t xml:space="preserve">tem </w:t>
      </w:r>
      <w:r w:rsidR="009273FD" w:rsidRPr="00287A77">
        <w:rPr>
          <w:szCs w:val="24"/>
        </w:rPr>
        <w:t>2</w:t>
      </w:r>
      <w:r>
        <w:rPr>
          <w:szCs w:val="24"/>
        </w:rPr>
        <w:t xml:space="preserve"> amends subsection 28</w:t>
      </w:r>
      <w:proofErr w:type="gramStart"/>
      <w:r>
        <w:rPr>
          <w:szCs w:val="24"/>
        </w:rPr>
        <w:t>N(</w:t>
      </w:r>
      <w:proofErr w:type="gramEnd"/>
      <w:r>
        <w:rPr>
          <w:szCs w:val="24"/>
        </w:rPr>
        <w:t xml:space="preserve">5) to omit </w:t>
      </w:r>
      <w:r w:rsidR="005A14F3">
        <w:rPr>
          <w:szCs w:val="24"/>
        </w:rPr>
        <w:t>references to $288 million, substituting these references with</w:t>
      </w:r>
      <w:r w:rsidR="00D71C74">
        <w:rPr>
          <w:szCs w:val="24"/>
        </w:rPr>
        <w:t xml:space="preserve"> $368 million</w:t>
      </w:r>
      <w:r w:rsidR="005A14F3">
        <w:rPr>
          <w:szCs w:val="24"/>
        </w:rPr>
        <w:t>.</w:t>
      </w:r>
      <w:r w:rsidR="000B2E29">
        <w:rPr>
          <w:szCs w:val="24"/>
        </w:rPr>
        <w:t xml:space="preserve"> </w:t>
      </w:r>
      <w:r w:rsidR="000B2E29" w:rsidRPr="00687FB3">
        <w:rPr>
          <w:szCs w:val="24"/>
        </w:rPr>
        <w:t>Subsection 28</w:t>
      </w:r>
      <w:proofErr w:type="gramStart"/>
      <w:r w:rsidR="000B2E29" w:rsidRPr="00687FB3">
        <w:rPr>
          <w:szCs w:val="24"/>
        </w:rPr>
        <w:t>N(</w:t>
      </w:r>
      <w:proofErr w:type="gramEnd"/>
      <w:r w:rsidR="000B2E29" w:rsidRPr="00687FB3">
        <w:rPr>
          <w:szCs w:val="24"/>
        </w:rPr>
        <w:t xml:space="preserve">5) sets the annual limit for the </w:t>
      </w:r>
      <w:r w:rsidR="009E554C">
        <w:rPr>
          <w:szCs w:val="24"/>
        </w:rPr>
        <w:t>sum</w:t>
      </w:r>
      <w:r w:rsidR="000B2E29" w:rsidRPr="00687FB3">
        <w:rPr>
          <w:szCs w:val="24"/>
        </w:rPr>
        <w:t xml:space="preserve"> of all HAFFF availability payments for the 2024-25 financial year and each subsequent financial year until the 2029-30 financial year. This annual limit is $368</w:t>
      </w:r>
      <w:r w:rsidR="00B42E40" w:rsidRPr="007F5AE7">
        <w:rPr>
          <w:iCs/>
          <w:szCs w:val="24"/>
        </w:rPr>
        <w:t> </w:t>
      </w:r>
      <w:r w:rsidR="000B2E29" w:rsidRPr="00687FB3">
        <w:rPr>
          <w:szCs w:val="24"/>
        </w:rPr>
        <w:t xml:space="preserve">million. </w:t>
      </w:r>
      <w:r w:rsidR="001C16DD">
        <w:rPr>
          <w:szCs w:val="24"/>
        </w:rPr>
        <w:t>Under paragraph 28N(5)(b) as amended, t</w:t>
      </w:r>
      <w:r w:rsidR="000B2E29" w:rsidRPr="00687FB3">
        <w:rPr>
          <w:szCs w:val="24"/>
        </w:rPr>
        <w:t xml:space="preserve">he </w:t>
      </w:r>
      <w:r w:rsidR="001C16DD">
        <w:rPr>
          <w:szCs w:val="24"/>
        </w:rPr>
        <w:t>increased</w:t>
      </w:r>
      <w:r w:rsidR="000B2E29" w:rsidRPr="00687FB3">
        <w:rPr>
          <w:szCs w:val="24"/>
        </w:rPr>
        <w:t xml:space="preserve"> annual limit </w:t>
      </w:r>
      <w:r w:rsidR="001C16DD">
        <w:rPr>
          <w:szCs w:val="24"/>
        </w:rPr>
        <w:t xml:space="preserve">will be </w:t>
      </w:r>
      <w:r w:rsidR="000B2E29" w:rsidRPr="00687FB3">
        <w:rPr>
          <w:szCs w:val="24"/>
        </w:rPr>
        <w:t xml:space="preserve">indexed annually </w:t>
      </w:r>
      <w:r w:rsidR="001C16DD">
        <w:rPr>
          <w:szCs w:val="24"/>
        </w:rPr>
        <w:t xml:space="preserve">from </w:t>
      </w:r>
      <w:r w:rsidR="001C16DD" w:rsidRPr="00687FB3">
        <w:rPr>
          <w:szCs w:val="24"/>
        </w:rPr>
        <w:t xml:space="preserve">the 2029-30 financial year onwards </w:t>
      </w:r>
      <w:r w:rsidR="000B2E29" w:rsidRPr="00687FB3">
        <w:rPr>
          <w:szCs w:val="24"/>
        </w:rPr>
        <w:t>using the method in section</w:t>
      </w:r>
      <w:r w:rsidR="00145631" w:rsidRPr="007F5AE7">
        <w:rPr>
          <w:iCs/>
          <w:szCs w:val="24"/>
        </w:rPr>
        <w:t> </w:t>
      </w:r>
      <w:r w:rsidR="000B2E29" w:rsidRPr="00687FB3">
        <w:rPr>
          <w:szCs w:val="24"/>
        </w:rPr>
        <w:t>28NA.</w:t>
      </w:r>
    </w:p>
    <w:p w14:paraId="76BE809C" w14:textId="121355E3" w:rsidR="00174E94" w:rsidRDefault="00174E94" w:rsidP="003C48AF">
      <w:pPr>
        <w:rPr>
          <w:szCs w:val="24"/>
        </w:rPr>
      </w:pPr>
      <w:r>
        <w:rPr>
          <w:szCs w:val="24"/>
        </w:rPr>
        <w:t>Increasing these annual limits by $</w:t>
      </w:r>
      <w:r w:rsidR="00B16040">
        <w:rPr>
          <w:szCs w:val="24"/>
        </w:rPr>
        <w:t>80 million</w:t>
      </w:r>
      <w:r>
        <w:rPr>
          <w:szCs w:val="24"/>
        </w:rPr>
        <w:t>, from $288 million to $368 million,</w:t>
      </w:r>
      <w:r w:rsidR="00B16040">
        <w:rPr>
          <w:szCs w:val="24"/>
        </w:rPr>
        <w:t xml:space="preserve"> allows Housing Australia to make a greater amount of HAFFF availability payments annually.</w:t>
      </w:r>
    </w:p>
    <w:p w14:paraId="35612D91" w14:textId="77777777" w:rsidR="00BF7CE5" w:rsidRPr="00DE62B0" w:rsidRDefault="00BF7CE5" w:rsidP="00BF7CE5">
      <w:pPr>
        <w:pStyle w:val="Heading1"/>
      </w:pPr>
      <w:r w:rsidRPr="00DE62B0">
        <w:t xml:space="preserve">Increasing the liability cap of Housing Australia </w:t>
      </w:r>
    </w:p>
    <w:p w14:paraId="6C1DE592" w14:textId="77777777" w:rsidR="00BF7CE5" w:rsidRPr="007B3A35" w:rsidRDefault="00BF7CE5" w:rsidP="00BF7CE5">
      <w:pPr>
        <w:rPr>
          <w:szCs w:val="24"/>
        </w:rPr>
      </w:pPr>
      <w:r w:rsidRPr="00B74AB0">
        <w:t xml:space="preserve">Section 34 of the Investment Mandate operates with section 51 of the Act to cap the Commonwealth’s </w:t>
      </w:r>
      <w:r w:rsidRPr="007B3A35">
        <w:rPr>
          <w:szCs w:val="24"/>
        </w:rPr>
        <w:t>guarantee of Housing Australia’s liabilities. Specifically:</w:t>
      </w:r>
    </w:p>
    <w:p w14:paraId="51FD0055" w14:textId="77777777" w:rsidR="00BF7CE5" w:rsidRPr="007B3A35" w:rsidRDefault="00BF7CE5" w:rsidP="00BF7CE5">
      <w:pPr>
        <w:pStyle w:val="Bullet"/>
        <w:rPr>
          <w:szCs w:val="24"/>
        </w:rPr>
      </w:pPr>
      <w:r w:rsidRPr="007B3A35">
        <w:rPr>
          <w:szCs w:val="24"/>
        </w:rPr>
        <w:t>subsection 51(1) of the Act provides that the due payment by Housing Australia of any money that becomes payable by Housing Australia to a person other than the Commonwealth is guaranteed by the Commonwealth. This is subject to a time limit set out in subsection 51(2) of the Act; and</w:t>
      </w:r>
    </w:p>
    <w:p w14:paraId="7202A51A" w14:textId="77777777" w:rsidR="00BF7CE5" w:rsidRPr="007B3A35" w:rsidRDefault="00BF7CE5" w:rsidP="00BF7CE5">
      <w:pPr>
        <w:pStyle w:val="Bullet"/>
        <w:rPr>
          <w:szCs w:val="24"/>
        </w:rPr>
      </w:pPr>
      <w:r w:rsidRPr="007B3A35">
        <w:rPr>
          <w:szCs w:val="24"/>
        </w:rPr>
        <w:lastRenderedPageBreak/>
        <w:t>subsection 34(1) of the Investment Mandate prohibits the Board (the Board of Housing Australia: see section 4 of the Act) from entering a transaction which would result in the sum of the total guaranteed liabilities of Housing Australia and the current value of the AHBA reserve exceeding as a specified amount (the Liability Cap), which prior to the commencement of this Instrument was $10 billion.</w:t>
      </w:r>
    </w:p>
    <w:p w14:paraId="6A84C9AF" w14:textId="0AA6D94F" w:rsidR="00BF7CE5" w:rsidRPr="00C3764E" w:rsidRDefault="00BF7CE5" w:rsidP="00BF7CE5">
      <w:pPr>
        <w:rPr>
          <w:szCs w:val="24"/>
        </w:rPr>
      </w:pPr>
      <w:r w:rsidRPr="007B3A35">
        <w:rPr>
          <w:szCs w:val="24"/>
        </w:rPr>
        <w:t>Item 4 of the Instrument amends the heading of section 34 to omit the reference to $10</w:t>
      </w:r>
      <w:r w:rsidR="00A65154" w:rsidRPr="007F5AE7">
        <w:rPr>
          <w:iCs/>
          <w:szCs w:val="24"/>
        </w:rPr>
        <w:t> </w:t>
      </w:r>
      <w:r w:rsidRPr="007B3A35">
        <w:rPr>
          <w:szCs w:val="24"/>
        </w:rPr>
        <w:t>billion, substituting this with “the prescribed amount”. This simplifies drafting by avoiding the need for further consequential amendments if the Liability</w:t>
      </w:r>
      <w:r w:rsidRPr="00B74AB0">
        <w:t xml:space="preserve"> Cap is changed in future. Item 5 further </w:t>
      </w:r>
      <w:r w:rsidRPr="00C3764E">
        <w:rPr>
          <w:szCs w:val="24"/>
        </w:rPr>
        <w:t>amends subsection 34(1) to omit the reference to $10 billion, substituting this with $26 billion.</w:t>
      </w:r>
    </w:p>
    <w:p w14:paraId="033A2681" w14:textId="77777777" w:rsidR="00BF7CE5" w:rsidRPr="00C3764E" w:rsidRDefault="00BF7CE5" w:rsidP="00BF7CE5">
      <w:pPr>
        <w:rPr>
          <w:szCs w:val="24"/>
        </w:rPr>
      </w:pPr>
      <w:r w:rsidRPr="00C3764E">
        <w:rPr>
          <w:szCs w:val="24"/>
        </w:rPr>
        <w:t>From commencement of the Instrument, Housing Australia has a maximum of $26 billion in liabilities comprised of:</w:t>
      </w:r>
    </w:p>
    <w:p w14:paraId="68E3D3DD" w14:textId="77777777" w:rsidR="00BF7CE5" w:rsidRPr="00C3764E" w:rsidRDefault="00BF7CE5" w:rsidP="00BF7CE5">
      <w:pPr>
        <w:pStyle w:val="Bullet"/>
        <w:rPr>
          <w:szCs w:val="24"/>
        </w:rPr>
      </w:pPr>
      <w:r w:rsidRPr="00C3764E">
        <w:rPr>
          <w:szCs w:val="24"/>
        </w:rPr>
        <w:t>the total sum of all current and expected amounts that are payable to a person other than the Commonwealth, or guaranteed by the Commonwealth under the Act; and</w:t>
      </w:r>
    </w:p>
    <w:p w14:paraId="0743BD8D" w14:textId="77777777" w:rsidR="00BF7CE5" w:rsidRPr="00C3764E" w:rsidRDefault="00BF7CE5" w:rsidP="00BF7CE5">
      <w:pPr>
        <w:pStyle w:val="Bullet"/>
        <w:rPr>
          <w:szCs w:val="24"/>
        </w:rPr>
      </w:pPr>
      <w:r w:rsidRPr="00C3764E">
        <w:rPr>
          <w:szCs w:val="24"/>
        </w:rPr>
        <w:t>the current value of the AHBA reserve.</w:t>
      </w:r>
    </w:p>
    <w:p w14:paraId="4CCB82CB" w14:textId="77777777" w:rsidR="00BF7CE5" w:rsidRPr="00B74AB0" w:rsidRDefault="00BF7CE5" w:rsidP="00BF7CE5">
      <w:r w:rsidRPr="00B74AB0">
        <w:t>Increasing the cap of Housing Australia’s total liabilities (Liability Cap) by $16 billion, from $10 billion to $26 billion, ensures Housing Australia can continue to expand its financing activities.</w:t>
      </w:r>
    </w:p>
    <w:p w14:paraId="366584E8" w14:textId="6020290C" w:rsidR="00BF7CE5" w:rsidRPr="00B74AB0" w:rsidRDefault="00BF7CE5" w:rsidP="00BF7CE5">
      <w:r w:rsidRPr="00B74AB0">
        <w:t>These activities include the HAFFF, the NHAF, and the AHBA. The HAFFF and the NHAF aim to deliver the Government’s commitments to support 30,000 dwellings available as social and affordable housing under the HAFF and to support 10,000</w:t>
      </w:r>
      <w:r w:rsidRPr="00B74AB0">
        <w:rPr>
          <w:iCs/>
        </w:rPr>
        <w:t> </w:t>
      </w:r>
      <w:r w:rsidRPr="00B74AB0">
        <w:t xml:space="preserve">dwellings available as affordable housing under the Accord. Through the AHBA, Housing Australia makes loans to eligible registered community housing providers. </w:t>
      </w:r>
    </w:p>
    <w:p w14:paraId="6FA885FB" w14:textId="77777777" w:rsidR="00BF7CE5" w:rsidRPr="00B74AB0" w:rsidRDefault="00BF7CE5" w:rsidP="00BF7CE5">
      <w:r w:rsidRPr="00B74AB0">
        <w:t>In particular, the increased Liability Cap supports commitments for HAFFF availability payments under the first round of HAFFF financing and the upcoming second round of HAFFF financing.</w:t>
      </w:r>
    </w:p>
    <w:p w14:paraId="3AC53195" w14:textId="2F28D5E3" w:rsidR="00BF7CE5" w:rsidRDefault="00BF7CE5" w:rsidP="00BF7CE5">
      <w:r w:rsidRPr="00B74AB0">
        <w:t>The Government’s focus on providing housing options to all Australians requires Housing Australia to have the ability to finance these activities (in particular, HAFFF and NHAF projects) within the legislated Liability Cap. The increase in the Liability Cap to $26</w:t>
      </w:r>
      <w:r w:rsidRPr="00BF7CE5">
        <w:t> </w:t>
      </w:r>
      <w:r w:rsidRPr="00B74AB0">
        <w:t>billion from commencement of the Instrument is necessary to ensure HAFFF and NHAF projects that have been committed to in the medium-term (including the first round of the HAFFF funding and the upcoming second round of the HAFFF funding) can proceed and that Housing Australia has sufficient liability space to facilitate long-term projects in the future.</w:t>
      </w:r>
    </w:p>
    <w:p w14:paraId="7F91241B" w14:textId="7103D311" w:rsidR="00D60E5E" w:rsidRPr="00DE62B0" w:rsidRDefault="00E104D0" w:rsidP="00661BA4">
      <w:pPr>
        <w:pStyle w:val="Heading1"/>
      </w:pPr>
      <w:r w:rsidRPr="00DE62B0">
        <w:t>Limiting eligible project proponents for HAFFF round 2 (transitional rule)</w:t>
      </w:r>
    </w:p>
    <w:p w14:paraId="1E83E120" w14:textId="7027F09F" w:rsidR="004255D0" w:rsidRDefault="000103C9" w:rsidP="00D60E5E">
      <w:pPr>
        <w:rPr>
          <w:szCs w:val="24"/>
        </w:rPr>
      </w:pPr>
      <w:r w:rsidRPr="000103C9">
        <w:rPr>
          <w:szCs w:val="24"/>
        </w:rPr>
        <w:t xml:space="preserve">Item </w:t>
      </w:r>
      <w:r w:rsidR="00E94FF7">
        <w:rPr>
          <w:szCs w:val="24"/>
        </w:rPr>
        <w:t>6</w:t>
      </w:r>
      <w:r w:rsidR="00221D34">
        <w:rPr>
          <w:szCs w:val="24"/>
        </w:rPr>
        <w:t xml:space="preserve"> adds a new </w:t>
      </w:r>
      <w:r w:rsidR="005562F9">
        <w:rPr>
          <w:szCs w:val="24"/>
        </w:rPr>
        <w:t>D</w:t>
      </w:r>
      <w:r w:rsidR="00221D34">
        <w:rPr>
          <w:szCs w:val="24"/>
        </w:rPr>
        <w:t>ivision</w:t>
      </w:r>
      <w:r w:rsidR="005562F9">
        <w:rPr>
          <w:szCs w:val="24"/>
        </w:rPr>
        <w:t> 8</w:t>
      </w:r>
      <w:r w:rsidR="00221D34">
        <w:rPr>
          <w:szCs w:val="24"/>
        </w:rPr>
        <w:t xml:space="preserve"> to the end of Part 7. </w:t>
      </w:r>
      <w:r w:rsidR="007E7552">
        <w:rPr>
          <w:szCs w:val="24"/>
        </w:rPr>
        <w:t xml:space="preserve">The new Division 8 </w:t>
      </w:r>
      <w:r w:rsidR="00003A60">
        <w:rPr>
          <w:szCs w:val="24"/>
        </w:rPr>
        <w:t xml:space="preserve">and new section 43 </w:t>
      </w:r>
      <w:r w:rsidR="007E7552">
        <w:rPr>
          <w:szCs w:val="24"/>
        </w:rPr>
        <w:t>provide a transitional rule for applications for the second round of HAFFF financing.</w:t>
      </w:r>
      <w:r w:rsidR="00003A60">
        <w:rPr>
          <w:szCs w:val="24"/>
        </w:rPr>
        <w:t xml:space="preserve"> </w:t>
      </w:r>
      <w:r w:rsidR="00004511">
        <w:rPr>
          <w:szCs w:val="24"/>
        </w:rPr>
        <w:t>App</w:t>
      </w:r>
      <w:r w:rsidR="00AC57AE">
        <w:rPr>
          <w:szCs w:val="24"/>
        </w:rPr>
        <w:t xml:space="preserve">lications for the second round of HAFFF financing </w:t>
      </w:r>
      <w:r w:rsidR="00E73BCE">
        <w:rPr>
          <w:szCs w:val="24"/>
        </w:rPr>
        <w:t xml:space="preserve">(HAFFF Round 2) </w:t>
      </w:r>
      <w:r w:rsidR="00AC57AE">
        <w:rPr>
          <w:szCs w:val="24"/>
        </w:rPr>
        <w:t xml:space="preserve">open </w:t>
      </w:r>
      <w:r w:rsidR="00AC57AE" w:rsidRPr="00DA0E4F">
        <w:rPr>
          <w:szCs w:val="24"/>
        </w:rPr>
        <w:t>on</w:t>
      </w:r>
      <w:r w:rsidR="00DA0E4F" w:rsidRPr="00DA0E4F">
        <w:rPr>
          <w:szCs w:val="24"/>
        </w:rPr>
        <w:t xml:space="preserve"> or </w:t>
      </w:r>
      <w:r w:rsidR="000225F9" w:rsidRPr="00DA0E4F">
        <w:rPr>
          <w:szCs w:val="24"/>
        </w:rPr>
        <w:t>after</w:t>
      </w:r>
      <w:r w:rsidR="00AC57AE" w:rsidRPr="00DA0E4F">
        <w:rPr>
          <w:szCs w:val="24"/>
        </w:rPr>
        <w:t xml:space="preserve"> the commencement of this Instrument </w:t>
      </w:r>
      <w:r w:rsidR="00CC7CED" w:rsidRPr="00DA0E4F">
        <w:rPr>
          <w:szCs w:val="24"/>
        </w:rPr>
        <w:t>and close o</w:t>
      </w:r>
      <w:r w:rsidR="00CC7CED">
        <w:rPr>
          <w:szCs w:val="24"/>
        </w:rPr>
        <w:t xml:space="preserve">n </w:t>
      </w:r>
      <w:r w:rsidR="00784552">
        <w:rPr>
          <w:szCs w:val="24"/>
        </w:rPr>
        <w:t xml:space="preserve">1 March </w:t>
      </w:r>
      <w:r w:rsidR="00CC7CED">
        <w:rPr>
          <w:szCs w:val="24"/>
        </w:rPr>
        <w:t xml:space="preserve">2025. As such, </w:t>
      </w:r>
      <w:r w:rsidR="00F922BD">
        <w:rPr>
          <w:szCs w:val="24"/>
        </w:rPr>
        <w:t>subsection</w:t>
      </w:r>
      <w:r w:rsidR="00167A50">
        <w:rPr>
          <w:szCs w:val="24"/>
        </w:rPr>
        <w:t>s</w:t>
      </w:r>
      <w:r w:rsidR="00F922BD">
        <w:rPr>
          <w:szCs w:val="24"/>
        </w:rPr>
        <w:t xml:space="preserve"> 43(1)</w:t>
      </w:r>
      <w:r w:rsidR="00167A50">
        <w:rPr>
          <w:szCs w:val="24"/>
        </w:rPr>
        <w:t xml:space="preserve"> and (3)</w:t>
      </w:r>
      <w:r w:rsidR="00F922BD">
        <w:rPr>
          <w:szCs w:val="24"/>
        </w:rPr>
        <w:t xml:space="preserve"> provide that </w:t>
      </w:r>
      <w:r w:rsidR="00CC7CED">
        <w:rPr>
          <w:szCs w:val="24"/>
        </w:rPr>
        <w:t>s</w:t>
      </w:r>
      <w:r w:rsidR="00003A60">
        <w:rPr>
          <w:szCs w:val="24"/>
        </w:rPr>
        <w:t>ection</w:t>
      </w:r>
      <w:r w:rsidR="00F922BD" w:rsidRPr="007F5AE7">
        <w:rPr>
          <w:iCs/>
          <w:szCs w:val="24"/>
        </w:rPr>
        <w:t> </w:t>
      </w:r>
      <w:r w:rsidR="00003A60">
        <w:rPr>
          <w:szCs w:val="24"/>
        </w:rPr>
        <w:t>43</w:t>
      </w:r>
      <w:r w:rsidR="00CD5EA5">
        <w:rPr>
          <w:szCs w:val="24"/>
        </w:rPr>
        <w:t xml:space="preserve"> applies </w:t>
      </w:r>
      <w:r w:rsidR="000708F7">
        <w:rPr>
          <w:szCs w:val="24"/>
        </w:rPr>
        <w:t>in relation to</w:t>
      </w:r>
      <w:r w:rsidR="00CD5EA5">
        <w:rPr>
          <w:szCs w:val="24"/>
        </w:rPr>
        <w:t xml:space="preserve"> applications made on or after the commencement of this Instru</w:t>
      </w:r>
      <w:r w:rsidR="00986951">
        <w:rPr>
          <w:szCs w:val="24"/>
        </w:rPr>
        <w:t xml:space="preserve">ment and before </w:t>
      </w:r>
      <w:r w:rsidR="008A396E">
        <w:rPr>
          <w:szCs w:val="24"/>
        </w:rPr>
        <w:t>1</w:t>
      </w:r>
      <w:r w:rsidR="008C7734">
        <w:rPr>
          <w:szCs w:val="24"/>
        </w:rPr>
        <w:t xml:space="preserve"> </w:t>
      </w:r>
      <w:r w:rsidR="00F76512">
        <w:rPr>
          <w:szCs w:val="24"/>
        </w:rPr>
        <w:t>March</w:t>
      </w:r>
      <w:r w:rsidR="004255D0" w:rsidRPr="007F5AE7">
        <w:rPr>
          <w:iCs/>
          <w:szCs w:val="24"/>
        </w:rPr>
        <w:t> </w:t>
      </w:r>
      <w:r w:rsidR="00986951">
        <w:rPr>
          <w:szCs w:val="24"/>
        </w:rPr>
        <w:t>2025</w:t>
      </w:r>
      <w:r w:rsidR="00807E74">
        <w:rPr>
          <w:szCs w:val="24"/>
        </w:rPr>
        <w:t xml:space="preserve"> (transitional period)</w:t>
      </w:r>
      <w:r w:rsidR="00986951">
        <w:rPr>
          <w:szCs w:val="24"/>
        </w:rPr>
        <w:t>.</w:t>
      </w:r>
    </w:p>
    <w:p w14:paraId="1E74EB5F" w14:textId="00496B1F" w:rsidR="00467F49" w:rsidRDefault="00225912" w:rsidP="00D60E5E">
      <w:pPr>
        <w:rPr>
          <w:szCs w:val="24"/>
        </w:rPr>
      </w:pPr>
      <w:r>
        <w:rPr>
          <w:szCs w:val="24"/>
        </w:rPr>
        <w:t xml:space="preserve">Section 28C </w:t>
      </w:r>
      <w:r w:rsidR="00FE7F15">
        <w:rPr>
          <w:szCs w:val="24"/>
        </w:rPr>
        <w:t>provides</w:t>
      </w:r>
      <w:r>
        <w:rPr>
          <w:szCs w:val="24"/>
        </w:rPr>
        <w:t xml:space="preserve"> that</w:t>
      </w:r>
      <w:r w:rsidR="00141842">
        <w:rPr>
          <w:szCs w:val="24"/>
        </w:rPr>
        <w:t xml:space="preserve"> </w:t>
      </w:r>
      <w:r w:rsidR="00141842" w:rsidRPr="00141842">
        <w:rPr>
          <w:szCs w:val="24"/>
        </w:rPr>
        <w:t>Housing Australia must consider an application from an entity for the making of a loan or a grant under the HAFFF if the application is made in the manner and form approved by Housing Australia</w:t>
      </w:r>
      <w:r>
        <w:rPr>
          <w:szCs w:val="24"/>
        </w:rPr>
        <w:t xml:space="preserve">. </w:t>
      </w:r>
      <w:r w:rsidR="006F530D">
        <w:rPr>
          <w:szCs w:val="24"/>
        </w:rPr>
        <w:t xml:space="preserve">Despite </w:t>
      </w:r>
      <w:r w:rsidR="00673D98">
        <w:rPr>
          <w:szCs w:val="24"/>
        </w:rPr>
        <w:t xml:space="preserve">the operation of </w:t>
      </w:r>
      <w:r w:rsidR="00141842">
        <w:rPr>
          <w:szCs w:val="24"/>
        </w:rPr>
        <w:t xml:space="preserve">this </w:t>
      </w:r>
      <w:r w:rsidR="006F530D">
        <w:rPr>
          <w:szCs w:val="24"/>
        </w:rPr>
        <w:t>section,</w:t>
      </w:r>
      <w:r w:rsidR="00E04239">
        <w:rPr>
          <w:szCs w:val="24"/>
        </w:rPr>
        <w:t xml:space="preserve"> </w:t>
      </w:r>
      <w:r w:rsidR="00E04239">
        <w:rPr>
          <w:szCs w:val="24"/>
        </w:rPr>
        <w:lastRenderedPageBreak/>
        <w:t>subsection 43(</w:t>
      </w:r>
      <w:r w:rsidR="00270801">
        <w:rPr>
          <w:szCs w:val="24"/>
        </w:rPr>
        <w:t>3</w:t>
      </w:r>
      <w:r w:rsidR="00E04239">
        <w:rPr>
          <w:szCs w:val="24"/>
        </w:rPr>
        <w:t xml:space="preserve">) </w:t>
      </w:r>
      <w:r w:rsidR="00E04239" w:rsidDel="00373B72">
        <w:rPr>
          <w:szCs w:val="24"/>
        </w:rPr>
        <w:t>requires</w:t>
      </w:r>
      <w:r w:rsidR="00D63033">
        <w:rPr>
          <w:szCs w:val="24"/>
        </w:rPr>
        <w:t xml:space="preserve"> </w:t>
      </w:r>
      <w:r w:rsidR="000E4467">
        <w:rPr>
          <w:szCs w:val="24"/>
        </w:rPr>
        <w:t>Housing Australia to not consider an</w:t>
      </w:r>
      <w:r w:rsidR="002F6639">
        <w:rPr>
          <w:szCs w:val="24"/>
        </w:rPr>
        <w:t xml:space="preserve"> applica</w:t>
      </w:r>
      <w:r w:rsidR="00CD69E9">
        <w:rPr>
          <w:szCs w:val="24"/>
        </w:rPr>
        <w:t>tion from an entity</w:t>
      </w:r>
      <w:r w:rsidR="00754E66">
        <w:rPr>
          <w:szCs w:val="24"/>
        </w:rPr>
        <w:t xml:space="preserve"> for finance under the HAFFF unless the entity is, or is applying together with</w:t>
      </w:r>
      <w:r w:rsidR="00A55A9C">
        <w:rPr>
          <w:szCs w:val="24"/>
        </w:rPr>
        <w:t>:</w:t>
      </w:r>
    </w:p>
    <w:p w14:paraId="5C943505" w14:textId="77777777" w:rsidR="00E92A5C" w:rsidRDefault="00E92A5C" w:rsidP="00D63033">
      <w:pPr>
        <w:pStyle w:val="Bullet"/>
        <w:rPr>
          <w:szCs w:val="24"/>
        </w:rPr>
      </w:pPr>
      <w:r w:rsidRPr="00E92A5C">
        <w:rPr>
          <w:szCs w:val="24"/>
        </w:rPr>
        <w:t>a State or Territory; or</w:t>
      </w:r>
    </w:p>
    <w:p w14:paraId="1CBDD483" w14:textId="2F59D04C" w:rsidR="00E92A5C" w:rsidRDefault="00E92A5C" w:rsidP="00D63033">
      <w:pPr>
        <w:pStyle w:val="Bullet"/>
        <w:rPr>
          <w:szCs w:val="24"/>
        </w:rPr>
      </w:pPr>
      <w:r w:rsidRPr="00E92A5C">
        <w:rPr>
          <w:szCs w:val="24"/>
        </w:rPr>
        <w:t>a State-government-owned corporation (other than a utility provider) that is a constitutional corporation; or</w:t>
      </w:r>
    </w:p>
    <w:p w14:paraId="6A4F3E2B" w14:textId="59EC7B43" w:rsidR="00D63033" w:rsidRPr="005250B3" w:rsidRDefault="0041542C" w:rsidP="00D63033">
      <w:pPr>
        <w:pStyle w:val="Bullet"/>
        <w:rPr>
          <w:szCs w:val="24"/>
        </w:rPr>
      </w:pPr>
      <w:r w:rsidRPr="0041542C">
        <w:rPr>
          <w:szCs w:val="24"/>
        </w:rPr>
        <w:t>a Territory-government-owned corporation (other than a utility provider) that is a constitutional corporation</w:t>
      </w:r>
      <w:r w:rsidR="00D63033" w:rsidRPr="005250B3">
        <w:rPr>
          <w:szCs w:val="24"/>
        </w:rPr>
        <w:t>.</w:t>
      </w:r>
    </w:p>
    <w:p w14:paraId="0EE138C8" w14:textId="34978CF5" w:rsidR="008200DE" w:rsidRDefault="00A55A9C" w:rsidP="00F52857">
      <w:pPr>
        <w:rPr>
          <w:szCs w:val="24"/>
        </w:rPr>
      </w:pPr>
      <w:r w:rsidRPr="00A55A9C">
        <w:rPr>
          <w:szCs w:val="24"/>
        </w:rPr>
        <w:t xml:space="preserve">This requirement </w:t>
      </w:r>
      <w:r w:rsidR="00A33BD0" w:rsidRPr="00A55A9C">
        <w:rPr>
          <w:szCs w:val="24"/>
        </w:rPr>
        <w:t>limit</w:t>
      </w:r>
      <w:r w:rsidRPr="00A55A9C">
        <w:rPr>
          <w:szCs w:val="24"/>
        </w:rPr>
        <w:t>s</w:t>
      </w:r>
      <w:r w:rsidR="00A33BD0" w:rsidRPr="00A55A9C">
        <w:rPr>
          <w:szCs w:val="24"/>
        </w:rPr>
        <w:t xml:space="preserve"> </w:t>
      </w:r>
      <w:r w:rsidR="00FA026F">
        <w:rPr>
          <w:szCs w:val="24"/>
        </w:rPr>
        <w:t>the applications</w:t>
      </w:r>
      <w:r w:rsidR="00F30E26">
        <w:rPr>
          <w:szCs w:val="24"/>
        </w:rPr>
        <w:t xml:space="preserve"> made in the transitional period</w:t>
      </w:r>
      <w:r w:rsidR="00FA026F">
        <w:rPr>
          <w:szCs w:val="24"/>
        </w:rPr>
        <w:t xml:space="preserve"> that Housing Australia must consider</w:t>
      </w:r>
      <w:r w:rsidR="00503708">
        <w:rPr>
          <w:szCs w:val="24"/>
        </w:rPr>
        <w:t xml:space="preserve"> to applications made by</w:t>
      </w:r>
      <w:r w:rsidR="000F7468">
        <w:rPr>
          <w:szCs w:val="24"/>
        </w:rPr>
        <w:t xml:space="preserve"> </w:t>
      </w:r>
      <w:r w:rsidR="009D2BA6">
        <w:rPr>
          <w:szCs w:val="24"/>
        </w:rPr>
        <w:t xml:space="preserve">or with </w:t>
      </w:r>
      <w:r w:rsidR="0044760D">
        <w:rPr>
          <w:szCs w:val="24"/>
        </w:rPr>
        <w:t xml:space="preserve">these </w:t>
      </w:r>
      <w:r w:rsidR="006961D6">
        <w:rPr>
          <w:szCs w:val="24"/>
        </w:rPr>
        <w:t xml:space="preserve">listed </w:t>
      </w:r>
      <w:r w:rsidR="0044760D">
        <w:rPr>
          <w:szCs w:val="24"/>
        </w:rPr>
        <w:t xml:space="preserve">entities, which are </w:t>
      </w:r>
      <w:r w:rsidR="009D2BA6">
        <w:rPr>
          <w:szCs w:val="24"/>
        </w:rPr>
        <w:t>a subset of the eligible project proponents described in section 28F</w:t>
      </w:r>
      <w:r w:rsidR="007314E7">
        <w:rPr>
          <w:szCs w:val="24"/>
        </w:rPr>
        <w:t>.</w:t>
      </w:r>
    </w:p>
    <w:p w14:paraId="4FFF8086" w14:textId="3F05F5E1" w:rsidR="0065040B" w:rsidRDefault="00035906" w:rsidP="0044760D">
      <w:r>
        <w:t xml:space="preserve">The </w:t>
      </w:r>
      <w:r w:rsidDel="00035906">
        <w:t>funding</w:t>
      </w:r>
      <w:r>
        <w:t xml:space="preserve"> for HAFFF Round 2 is targeted to projects involving these entities to support accelerated delivery of the projects.</w:t>
      </w:r>
      <w:r w:rsidR="00660689">
        <w:t xml:space="preserve"> </w:t>
      </w:r>
      <w:r w:rsidR="00C8004B">
        <w:t xml:space="preserve">Close </w:t>
      </w:r>
      <w:r w:rsidR="007F2D0A">
        <w:t>engagement with</w:t>
      </w:r>
      <w:r w:rsidR="00C8004B">
        <w:t xml:space="preserve"> </w:t>
      </w:r>
      <w:r w:rsidR="005C1CA0">
        <w:t xml:space="preserve">State </w:t>
      </w:r>
      <w:r w:rsidR="00C8004B">
        <w:t xml:space="preserve">and </w:t>
      </w:r>
      <w:r w:rsidR="005C1CA0">
        <w:t xml:space="preserve">Territory </w:t>
      </w:r>
      <w:r w:rsidR="00C8004B">
        <w:t xml:space="preserve">entities helps to ensure project applications are viable and </w:t>
      </w:r>
      <w:r w:rsidR="006961D6">
        <w:t>to</w:t>
      </w:r>
      <w:r w:rsidR="007F2D0A">
        <w:t xml:space="preserve"> reduce burden on other </w:t>
      </w:r>
      <w:r w:rsidR="006961D6">
        <w:t>eligible</w:t>
      </w:r>
      <w:r w:rsidR="007F2D0A">
        <w:t xml:space="preserve"> project proponents</w:t>
      </w:r>
      <w:r w:rsidR="0074785C">
        <w:t xml:space="preserve"> </w:t>
      </w:r>
      <w:r w:rsidR="000D661F">
        <w:t xml:space="preserve">which may be included or contemplated </w:t>
      </w:r>
      <w:r w:rsidR="00337670">
        <w:t>in</w:t>
      </w:r>
      <w:r w:rsidR="1848DEB4">
        <w:t xml:space="preserve"> the application from</w:t>
      </w:r>
      <w:r w:rsidR="0074785C">
        <w:t xml:space="preserve"> the listed entities</w:t>
      </w:r>
      <w:r w:rsidR="008645DE">
        <w:t>.</w:t>
      </w:r>
    </w:p>
    <w:p w14:paraId="6F48E770" w14:textId="6AFE5345" w:rsidR="009C1CFD" w:rsidRDefault="009C1CFD" w:rsidP="0044760D">
      <w:r>
        <w:t xml:space="preserve">However, subsection 43(2) </w:t>
      </w:r>
      <w:r w:rsidR="00E11581">
        <w:t xml:space="preserve">clarifies that this transitional </w:t>
      </w:r>
      <w:r w:rsidR="004D0B20">
        <w:t>rule</w:t>
      </w:r>
      <w:r w:rsidR="00E11581">
        <w:t xml:space="preserve"> does not apply to </w:t>
      </w:r>
      <w:r w:rsidR="00AF6E81">
        <w:t xml:space="preserve">an application that relates to another application </w:t>
      </w:r>
      <w:r w:rsidR="00BE716A">
        <w:t xml:space="preserve">(the earlier application) </w:t>
      </w:r>
      <w:r w:rsidR="00AF6E81">
        <w:t xml:space="preserve">made before the start of the </w:t>
      </w:r>
      <w:r w:rsidR="00BC2023">
        <w:t>transitional</w:t>
      </w:r>
      <w:r w:rsidR="00AF6E81">
        <w:t xml:space="preserve"> period, </w:t>
      </w:r>
      <w:r w:rsidR="0093147D">
        <w:t>where the</w:t>
      </w:r>
      <w:r w:rsidR="00970809">
        <w:t xml:space="preserve"> </w:t>
      </w:r>
      <w:r w:rsidR="003E176F">
        <w:t>earlier</w:t>
      </w:r>
      <w:r w:rsidR="00970809">
        <w:t xml:space="preserve"> application is still being considered by Housing Australia at the time the application is made. This accommodates circumstances where </w:t>
      </w:r>
      <w:r w:rsidR="00300F26">
        <w:t xml:space="preserve">Housing Australia has </w:t>
      </w:r>
      <w:r w:rsidR="00255E4C">
        <w:t>request</w:t>
      </w:r>
      <w:r w:rsidR="00E218CD">
        <w:t>ed</w:t>
      </w:r>
      <w:r w:rsidR="00255E4C">
        <w:t xml:space="preserve"> or suggested that</w:t>
      </w:r>
      <w:r w:rsidR="00300F26">
        <w:t xml:space="preserve"> an application</w:t>
      </w:r>
      <w:r w:rsidR="00255E4C">
        <w:t xml:space="preserve"> that was</w:t>
      </w:r>
      <w:r w:rsidR="00300F26">
        <w:t xml:space="preserve"> made during HAFFF Round 1 be resubmitted (for example, to correct errors)</w:t>
      </w:r>
      <w:r w:rsidR="0090106E">
        <w:t>.</w:t>
      </w:r>
    </w:p>
    <w:p w14:paraId="18B6ED1C" w14:textId="62B67F9E" w:rsidR="003E7AEC" w:rsidRPr="00F52857" w:rsidRDefault="00BF7010" w:rsidP="0087662C">
      <w:pPr>
        <w:rPr>
          <w:szCs w:val="24"/>
        </w:rPr>
      </w:pPr>
      <w:r>
        <w:t>From</w:t>
      </w:r>
      <w:r w:rsidR="0087662C">
        <w:t xml:space="preserve"> 1 </w:t>
      </w:r>
      <w:r w:rsidR="00337670">
        <w:t>March</w:t>
      </w:r>
      <w:r w:rsidR="0087662C">
        <w:t xml:space="preserve"> 2025, Housing Australia may still make financing decisions about applications made in the transitional period</w:t>
      </w:r>
      <w:r w:rsidR="00002AE2">
        <w:t xml:space="preserve">, </w:t>
      </w:r>
      <w:r w:rsidR="00D318CF">
        <w:t xml:space="preserve">and </w:t>
      </w:r>
      <w:r w:rsidR="00373629">
        <w:t xml:space="preserve">the limitations on </w:t>
      </w:r>
      <w:r w:rsidR="00DE211D">
        <w:t>Housing Australia’s</w:t>
      </w:r>
      <w:r w:rsidR="008871A7">
        <w:t xml:space="preserve"> consideration</w:t>
      </w:r>
      <w:r w:rsidR="005509B9">
        <w:t xml:space="preserve"> </w:t>
      </w:r>
      <w:r w:rsidR="00DE211D">
        <w:t>of applications</w:t>
      </w:r>
      <w:r w:rsidR="005509B9">
        <w:t xml:space="preserve"> made by the transitional rule will apply</w:t>
      </w:r>
      <w:r w:rsidR="001F0018">
        <w:t xml:space="preserve"> to</w:t>
      </w:r>
      <w:r w:rsidR="004863A9">
        <w:t xml:space="preserve"> those</w:t>
      </w:r>
      <w:r w:rsidR="00864933">
        <w:t xml:space="preserve"> applications</w:t>
      </w:r>
      <w:r w:rsidR="005509B9">
        <w:t xml:space="preserve">. </w:t>
      </w:r>
      <w:r w:rsidR="00D318CF">
        <w:t>However</w:t>
      </w:r>
      <w:r w:rsidR="005509B9">
        <w:t xml:space="preserve">, applications made </w:t>
      </w:r>
      <w:r>
        <w:t xml:space="preserve">on or </w:t>
      </w:r>
      <w:r w:rsidR="005509B9">
        <w:t xml:space="preserve">after </w:t>
      </w:r>
      <w:r w:rsidR="006D31AC">
        <w:t>that date will not be affected by the transitional rule.</w:t>
      </w:r>
    </w:p>
    <w:sectPr w:rsidR="003E7AEC" w:rsidRPr="00F52857"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3B26" w14:textId="77777777" w:rsidR="00E44365" w:rsidRDefault="00E44365" w:rsidP="00954679">
      <w:pPr>
        <w:spacing w:before="0" w:after="0"/>
      </w:pPr>
      <w:r>
        <w:separator/>
      </w:r>
    </w:p>
  </w:endnote>
  <w:endnote w:type="continuationSeparator" w:id="0">
    <w:p w14:paraId="2A4CAA3B" w14:textId="77777777" w:rsidR="00E44365" w:rsidRDefault="00E44365" w:rsidP="00954679">
      <w:pPr>
        <w:spacing w:before="0" w:after="0"/>
      </w:pPr>
      <w:r>
        <w:continuationSeparator/>
      </w:r>
    </w:p>
  </w:endnote>
  <w:endnote w:type="continuationNotice" w:id="1">
    <w:p w14:paraId="5039F2DE" w14:textId="77777777" w:rsidR="00E44365" w:rsidRDefault="00E443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823C" w14:textId="671A3D26" w:rsidR="009B47B5" w:rsidRDefault="009B4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6173" w14:textId="110D4076" w:rsidR="00954679" w:rsidRDefault="00BF20E2"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77B7" w14:textId="4385CA76" w:rsidR="009B47B5" w:rsidRDefault="009B4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F406" w14:textId="77777777" w:rsidR="00E44365" w:rsidRDefault="00E44365" w:rsidP="00954679">
      <w:pPr>
        <w:spacing w:before="0" w:after="0"/>
      </w:pPr>
      <w:r>
        <w:separator/>
      </w:r>
    </w:p>
  </w:footnote>
  <w:footnote w:type="continuationSeparator" w:id="0">
    <w:p w14:paraId="4C757AC1" w14:textId="77777777" w:rsidR="00E44365" w:rsidRDefault="00E44365" w:rsidP="00954679">
      <w:pPr>
        <w:spacing w:before="0" w:after="0"/>
      </w:pPr>
      <w:r>
        <w:continuationSeparator/>
      </w:r>
    </w:p>
  </w:footnote>
  <w:footnote w:type="continuationNotice" w:id="1">
    <w:p w14:paraId="7657F865" w14:textId="77777777" w:rsidR="00E44365" w:rsidRDefault="00E443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9633" w14:textId="6DE2D7E1" w:rsidR="009B47B5" w:rsidRDefault="009B4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92DD" w14:textId="5C68DE6B" w:rsidR="009B47B5" w:rsidRDefault="009B4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D90D" w14:textId="166C6ABE" w:rsidR="009B47B5" w:rsidRDefault="009B4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27F"/>
    <w:multiLevelType w:val="hybridMultilevel"/>
    <w:tmpl w:val="8F80B8C6"/>
    <w:lvl w:ilvl="0" w:tplc="F626BF2A">
      <w:start w:val="1"/>
      <w:numFmt w:val="bullet"/>
      <w:lvlText w:val=""/>
      <w:lvlJc w:val="left"/>
      <w:pPr>
        <w:ind w:left="1440" w:hanging="360"/>
      </w:pPr>
      <w:rPr>
        <w:rFonts w:ascii="Symbol" w:hAnsi="Symbol"/>
      </w:rPr>
    </w:lvl>
    <w:lvl w:ilvl="1" w:tplc="426C782E">
      <w:start w:val="1"/>
      <w:numFmt w:val="bullet"/>
      <w:lvlText w:val=""/>
      <w:lvlJc w:val="left"/>
      <w:pPr>
        <w:ind w:left="1440" w:hanging="360"/>
      </w:pPr>
      <w:rPr>
        <w:rFonts w:ascii="Symbol" w:hAnsi="Symbol"/>
      </w:rPr>
    </w:lvl>
    <w:lvl w:ilvl="2" w:tplc="DE90C3EA">
      <w:start w:val="1"/>
      <w:numFmt w:val="bullet"/>
      <w:lvlText w:val=""/>
      <w:lvlJc w:val="left"/>
      <w:pPr>
        <w:ind w:left="1440" w:hanging="360"/>
      </w:pPr>
      <w:rPr>
        <w:rFonts w:ascii="Symbol" w:hAnsi="Symbol"/>
      </w:rPr>
    </w:lvl>
    <w:lvl w:ilvl="3" w:tplc="8A541DD4">
      <w:start w:val="1"/>
      <w:numFmt w:val="bullet"/>
      <w:lvlText w:val=""/>
      <w:lvlJc w:val="left"/>
      <w:pPr>
        <w:ind w:left="1440" w:hanging="360"/>
      </w:pPr>
      <w:rPr>
        <w:rFonts w:ascii="Symbol" w:hAnsi="Symbol"/>
      </w:rPr>
    </w:lvl>
    <w:lvl w:ilvl="4" w:tplc="D5B63A3E">
      <w:start w:val="1"/>
      <w:numFmt w:val="bullet"/>
      <w:lvlText w:val=""/>
      <w:lvlJc w:val="left"/>
      <w:pPr>
        <w:ind w:left="1440" w:hanging="360"/>
      </w:pPr>
      <w:rPr>
        <w:rFonts w:ascii="Symbol" w:hAnsi="Symbol"/>
      </w:rPr>
    </w:lvl>
    <w:lvl w:ilvl="5" w:tplc="DD6E3E7A">
      <w:start w:val="1"/>
      <w:numFmt w:val="bullet"/>
      <w:lvlText w:val=""/>
      <w:lvlJc w:val="left"/>
      <w:pPr>
        <w:ind w:left="1440" w:hanging="360"/>
      </w:pPr>
      <w:rPr>
        <w:rFonts w:ascii="Symbol" w:hAnsi="Symbol"/>
      </w:rPr>
    </w:lvl>
    <w:lvl w:ilvl="6" w:tplc="5FCC9D3C">
      <w:start w:val="1"/>
      <w:numFmt w:val="bullet"/>
      <w:lvlText w:val=""/>
      <w:lvlJc w:val="left"/>
      <w:pPr>
        <w:ind w:left="1440" w:hanging="360"/>
      </w:pPr>
      <w:rPr>
        <w:rFonts w:ascii="Symbol" w:hAnsi="Symbol"/>
      </w:rPr>
    </w:lvl>
    <w:lvl w:ilvl="7" w:tplc="B1FEFD26">
      <w:start w:val="1"/>
      <w:numFmt w:val="bullet"/>
      <w:lvlText w:val=""/>
      <w:lvlJc w:val="left"/>
      <w:pPr>
        <w:ind w:left="1440" w:hanging="360"/>
      </w:pPr>
      <w:rPr>
        <w:rFonts w:ascii="Symbol" w:hAnsi="Symbol"/>
      </w:rPr>
    </w:lvl>
    <w:lvl w:ilvl="8" w:tplc="585ADFC0">
      <w:start w:val="1"/>
      <w:numFmt w:val="bullet"/>
      <w:lvlText w:val=""/>
      <w:lvlJc w:val="left"/>
      <w:pPr>
        <w:ind w:left="1440" w:hanging="360"/>
      </w:pPr>
      <w:rPr>
        <w:rFonts w:ascii="Symbol" w:hAnsi="Symbol"/>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1E43622"/>
    <w:multiLevelType w:val="hybridMultilevel"/>
    <w:tmpl w:val="FF201BE2"/>
    <w:lvl w:ilvl="0" w:tplc="37424C0A">
      <w:start w:val="1"/>
      <w:numFmt w:val="bullet"/>
      <w:lvlText w:val=""/>
      <w:lvlJc w:val="left"/>
      <w:pPr>
        <w:ind w:left="1440" w:hanging="360"/>
      </w:pPr>
      <w:rPr>
        <w:rFonts w:ascii="Symbol" w:hAnsi="Symbol"/>
      </w:rPr>
    </w:lvl>
    <w:lvl w:ilvl="1" w:tplc="6FDE287E">
      <w:start w:val="1"/>
      <w:numFmt w:val="bullet"/>
      <w:lvlText w:val=""/>
      <w:lvlJc w:val="left"/>
      <w:pPr>
        <w:ind w:left="1440" w:hanging="360"/>
      </w:pPr>
      <w:rPr>
        <w:rFonts w:ascii="Symbol" w:hAnsi="Symbol"/>
      </w:rPr>
    </w:lvl>
    <w:lvl w:ilvl="2" w:tplc="F8AC8BDA">
      <w:start w:val="1"/>
      <w:numFmt w:val="bullet"/>
      <w:lvlText w:val=""/>
      <w:lvlJc w:val="left"/>
      <w:pPr>
        <w:ind w:left="1440" w:hanging="360"/>
      </w:pPr>
      <w:rPr>
        <w:rFonts w:ascii="Symbol" w:hAnsi="Symbol"/>
      </w:rPr>
    </w:lvl>
    <w:lvl w:ilvl="3" w:tplc="9B24534A">
      <w:start w:val="1"/>
      <w:numFmt w:val="bullet"/>
      <w:lvlText w:val=""/>
      <w:lvlJc w:val="left"/>
      <w:pPr>
        <w:ind w:left="1440" w:hanging="360"/>
      </w:pPr>
      <w:rPr>
        <w:rFonts w:ascii="Symbol" w:hAnsi="Symbol"/>
      </w:rPr>
    </w:lvl>
    <w:lvl w:ilvl="4" w:tplc="C4A8DACC">
      <w:start w:val="1"/>
      <w:numFmt w:val="bullet"/>
      <w:lvlText w:val=""/>
      <w:lvlJc w:val="left"/>
      <w:pPr>
        <w:ind w:left="1440" w:hanging="360"/>
      </w:pPr>
      <w:rPr>
        <w:rFonts w:ascii="Symbol" w:hAnsi="Symbol"/>
      </w:rPr>
    </w:lvl>
    <w:lvl w:ilvl="5" w:tplc="57445248">
      <w:start w:val="1"/>
      <w:numFmt w:val="bullet"/>
      <w:lvlText w:val=""/>
      <w:lvlJc w:val="left"/>
      <w:pPr>
        <w:ind w:left="1440" w:hanging="360"/>
      </w:pPr>
      <w:rPr>
        <w:rFonts w:ascii="Symbol" w:hAnsi="Symbol"/>
      </w:rPr>
    </w:lvl>
    <w:lvl w:ilvl="6" w:tplc="14DEE1C8">
      <w:start w:val="1"/>
      <w:numFmt w:val="bullet"/>
      <w:lvlText w:val=""/>
      <w:lvlJc w:val="left"/>
      <w:pPr>
        <w:ind w:left="1440" w:hanging="360"/>
      </w:pPr>
      <w:rPr>
        <w:rFonts w:ascii="Symbol" w:hAnsi="Symbol"/>
      </w:rPr>
    </w:lvl>
    <w:lvl w:ilvl="7" w:tplc="4764456C">
      <w:start w:val="1"/>
      <w:numFmt w:val="bullet"/>
      <w:lvlText w:val=""/>
      <w:lvlJc w:val="left"/>
      <w:pPr>
        <w:ind w:left="1440" w:hanging="360"/>
      </w:pPr>
      <w:rPr>
        <w:rFonts w:ascii="Symbol" w:hAnsi="Symbol"/>
      </w:rPr>
    </w:lvl>
    <w:lvl w:ilvl="8" w:tplc="D008496C">
      <w:start w:val="1"/>
      <w:numFmt w:val="bullet"/>
      <w:lvlText w:val=""/>
      <w:lvlJc w:val="left"/>
      <w:pPr>
        <w:ind w:left="1440" w:hanging="360"/>
      </w:pPr>
      <w:rPr>
        <w:rFonts w:ascii="Symbol" w:hAnsi="Symbol"/>
      </w:rPr>
    </w:lvl>
  </w:abstractNum>
  <w:abstractNum w:abstractNumId="5" w15:restartNumberingAfterBreak="0">
    <w:nsid w:val="3A836E0D"/>
    <w:multiLevelType w:val="multilevel"/>
    <w:tmpl w:val="60D8A17C"/>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6"/>
  </w:num>
  <w:num w:numId="3" w16cid:durableId="102648425">
    <w:abstractNumId w:val="2"/>
  </w:num>
  <w:num w:numId="4" w16cid:durableId="1451314351">
    <w:abstractNumId w:val="1"/>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521865350">
    <w:abstractNumId w:val="5"/>
  </w:num>
  <w:num w:numId="18" w16cid:durableId="1150899899">
    <w:abstractNumId w:val="6"/>
  </w:num>
  <w:num w:numId="19" w16cid:durableId="853417206">
    <w:abstractNumId w:val="0"/>
  </w:num>
  <w:num w:numId="20" w16cid:durableId="318078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E3"/>
    <w:rsid w:val="00000ACA"/>
    <w:rsid w:val="00000C98"/>
    <w:rsid w:val="00000F1C"/>
    <w:rsid w:val="000026BE"/>
    <w:rsid w:val="00002AE2"/>
    <w:rsid w:val="00002C5E"/>
    <w:rsid w:val="00002D98"/>
    <w:rsid w:val="00003189"/>
    <w:rsid w:val="00003A60"/>
    <w:rsid w:val="00003DBC"/>
    <w:rsid w:val="00004511"/>
    <w:rsid w:val="00005B51"/>
    <w:rsid w:val="0000628C"/>
    <w:rsid w:val="000103C9"/>
    <w:rsid w:val="000109D0"/>
    <w:rsid w:val="00012027"/>
    <w:rsid w:val="00012304"/>
    <w:rsid w:val="00013390"/>
    <w:rsid w:val="00013DD2"/>
    <w:rsid w:val="00014325"/>
    <w:rsid w:val="00015D88"/>
    <w:rsid w:val="0001653A"/>
    <w:rsid w:val="00016EA2"/>
    <w:rsid w:val="00017BFE"/>
    <w:rsid w:val="00021CF2"/>
    <w:rsid w:val="000225F9"/>
    <w:rsid w:val="000226B5"/>
    <w:rsid w:val="000239DF"/>
    <w:rsid w:val="0002546A"/>
    <w:rsid w:val="000267FA"/>
    <w:rsid w:val="000271AF"/>
    <w:rsid w:val="00031AE1"/>
    <w:rsid w:val="00031FCB"/>
    <w:rsid w:val="00032407"/>
    <w:rsid w:val="0003419F"/>
    <w:rsid w:val="00035906"/>
    <w:rsid w:val="00037A33"/>
    <w:rsid w:val="0004119F"/>
    <w:rsid w:val="000418AD"/>
    <w:rsid w:val="00041C87"/>
    <w:rsid w:val="000423FB"/>
    <w:rsid w:val="00043438"/>
    <w:rsid w:val="000434EB"/>
    <w:rsid w:val="000438A5"/>
    <w:rsid w:val="000443DF"/>
    <w:rsid w:val="000443FA"/>
    <w:rsid w:val="000455BA"/>
    <w:rsid w:val="00051526"/>
    <w:rsid w:val="00051648"/>
    <w:rsid w:val="00051F74"/>
    <w:rsid w:val="000524A9"/>
    <w:rsid w:val="00052E56"/>
    <w:rsid w:val="0005316A"/>
    <w:rsid w:val="000547DB"/>
    <w:rsid w:val="00063A27"/>
    <w:rsid w:val="000644E3"/>
    <w:rsid w:val="00067630"/>
    <w:rsid w:val="000708F7"/>
    <w:rsid w:val="00072A97"/>
    <w:rsid w:val="00074021"/>
    <w:rsid w:val="00075A77"/>
    <w:rsid w:val="00075CB5"/>
    <w:rsid w:val="00075F64"/>
    <w:rsid w:val="00076178"/>
    <w:rsid w:val="00076E15"/>
    <w:rsid w:val="00076FF9"/>
    <w:rsid w:val="00080673"/>
    <w:rsid w:val="00081D60"/>
    <w:rsid w:val="000826A0"/>
    <w:rsid w:val="000854E0"/>
    <w:rsid w:val="00086CA9"/>
    <w:rsid w:val="0008741E"/>
    <w:rsid w:val="00087D79"/>
    <w:rsid w:val="00087DBC"/>
    <w:rsid w:val="00090602"/>
    <w:rsid w:val="00092B39"/>
    <w:rsid w:val="00095211"/>
    <w:rsid w:val="000966F7"/>
    <w:rsid w:val="000A10E8"/>
    <w:rsid w:val="000A484F"/>
    <w:rsid w:val="000A69C5"/>
    <w:rsid w:val="000B043B"/>
    <w:rsid w:val="000B119A"/>
    <w:rsid w:val="000B163D"/>
    <w:rsid w:val="000B2E29"/>
    <w:rsid w:val="000B39A1"/>
    <w:rsid w:val="000B3DB6"/>
    <w:rsid w:val="000B41FC"/>
    <w:rsid w:val="000B6C25"/>
    <w:rsid w:val="000B72E3"/>
    <w:rsid w:val="000C10DF"/>
    <w:rsid w:val="000C1BF8"/>
    <w:rsid w:val="000C1F5E"/>
    <w:rsid w:val="000C2E12"/>
    <w:rsid w:val="000C384A"/>
    <w:rsid w:val="000C3ECC"/>
    <w:rsid w:val="000C4B61"/>
    <w:rsid w:val="000C5C40"/>
    <w:rsid w:val="000C6935"/>
    <w:rsid w:val="000C6E36"/>
    <w:rsid w:val="000D047E"/>
    <w:rsid w:val="000D07FC"/>
    <w:rsid w:val="000D11E5"/>
    <w:rsid w:val="000D2234"/>
    <w:rsid w:val="000D27A1"/>
    <w:rsid w:val="000D55CA"/>
    <w:rsid w:val="000D5827"/>
    <w:rsid w:val="000D59B4"/>
    <w:rsid w:val="000D661F"/>
    <w:rsid w:val="000D6A47"/>
    <w:rsid w:val="000D7644"/>
    <w:rsid w:val="000D7BD5"/>
    <w:rsid w:val="000E32E3"/>
    <w:rsid w:val="000E379F"/>
    <w:rsid w:val="000E4467"/>
    <w:rsid w:val="000E56EF"/>
    <w:rsid w:val="000E7157"/>
    <w:rsid w:val="000F07E3"/>
    <w:rsid w:val="000F0F40"/>
    <w:rsid w:val="000F196E"/>
    <w:rsid w:val="000F1F12"/>
    <w:rsid w:val="000F2DF3"/>
    <w:rsid w:val="000F3A05"/>
    <w:rsid w:val="000F53D9"/>
    <w:rsid w:val="000F6A83"/>
    <w:rsid w:val="000F7468"/>
    <w:rsid w:val="00100890"/>
    <w:rsid w:val="001009AE"/>
    <w:rsid w:val="001012C2"/>
    <w:rsid w:val="00113B45"/>
    <w:rsid w:val="00114003"/>
    <w:rsid w:val="001143D2"/>
    <w:rsid w:val="0011527C"/>
    <w:rsid w:val="00116214"/>
    <w:rsid w:val="00117C02"/>
    <w:rsid w:val="00121A85"/>
    <w:rsid w:val="00123BBC"/>
    <w:rsid w:val="0012580D"/>
    <w:rsid w:val="00126C27"/>
    <w:rsid w:val="001276B4"/>
    <w:rsid w:val="001319C8"/>
    <w:rsid w:val="001331B7"/>
    <w:rsid w:val="00133AB7"/>
    <w:rsid w:val="00133D7A"/>
    <w:rsid w:val="0013494F"/>
    <w:rsid w:val="0013577B"/>
    <w:rsid w:val="00135C23"/>
    <w:rsid w:val="00137F57"/>
    <w:rsid w:val="00141842"/>
    <w:rsid w:val="00142BCF"/>
    <w:rsid w:val="0014402A"/>
    <w:rsid w:val="00144D48"/>
    <w:rsid w:val="00145631"/>
    <w:rsid w:val="00145B34"/>
    <w:rsid w:val="0014608E"/>
    <w:rsid w:val="00154F3C"/>
    <w:rsid w:val="00160FAE"/>
    <w:rsid w:val="00160FD8"/>
    <w:rsid w:val="001624F3"/>
    <w:rsid w:val="0016798B"/>
    <w:rsid w:val="00167A50"/>
    <w:rsid w:val="00167F22"/>
    <w:rsid w:val="001721C6"/>
    <w:rsid w:val="00172B5A"/>
    <w:rsid w:val="001737A2"/>
    <w:rsid w:val="001739C0"/>
    <w:rsid w:val="00174E94"/>
    <w:rsid w:val="00187857"/>
    <w:rsid w:val="00190A8A"/>
    <w:rsid w:val="001946BF"/>
    <w:rsid w:val="00194BE3"/>
    <w:rsid w:val="00195A29"/>
    <w:rsid w:val="00197B88"/>
    <w:rsid w:val="001A3270"/>
    <w:rsid w:val="001A7B68"/>
    <w:rsid w:val="001B068F"/>
    <w:rsid w:val="001B0744"/>
    <w:rsid w:val="001B0FCC"/>
    <w:rsid w:val="001B20D3"/>
    <w:rsid w:val="001B20D4"/>
    <w:rsid w:val="001B4919"/>
    <w:rsid w:val="001B49F8"/>
    <w:rsid w:val="001B5419"/>
    <w:rsid w:val="001B60EC"/>
    <w:rsid w:val="001B6D87"/>
    <w:rsid w:val="001B7535"/>
    <w:rsid w:val="001B7EC2"/>
    <w:rsid w:val="001C0477"/>
    <w:rsid w:val="001C064F"/>
    <w:rsid w:val="001C06E5"/>
    <w:rsid w:val="001C16DD"/>
    <w:rsid w:val="001C1F7B"/>
    <w:rsid w:val="001C4B74"/>
    <w:rsid w:val="001C5000"/>
    <w:rsid w:val="001D0B5E"/>
    <w:rsid w:val="001D490B"/>
    <w:rsid w:val="001D79CA"/>
    <w:rsid w:val="001E2040"/>
    <w:rsid w:val="001E380A"/>
    <w:rsid w:val="001E3D2C"/>
    <w:rsid w:val="001E6A74"/>
    <w:rsid w:val="001F0018"/>
    <w:rsid w:val="001F0CE0"/>
    <w:rsid w:val="001F326D"/>
    <w:rsid w:val="001F41D0"/>
    <w:rsid w:val="001F462C"/>
    <w:rsid w:val="001F5416"/>
    <w:rsid w:val="001F5885"/>
    <w:rsid w:val="00201611"/>
    <w:rsid w:val="00201DBD"/>
    <w:rsid w:val="0020346B"/>
    <w:rsid w:val="002051A3"/>
    <w:rsid w:val="0020630F"/>
    <w:rsid w:val="00206DFB"/>
    <w:rsid w:val="002072C3"/>
    <w:rsid w:val="00207F6B"/>
    <w:rsid w:val="00211893"/>
    <w:rsid w:val="00212A95"/>
    <w:rsid w:val="00215F3B"/>
    <w:rsid w:val="0021613D"/>
    <w:rsid w:val="002171A7"/>
    <w:rsid w:val="00220F16"/>
    <w:rsid w:val="00221082"/>
    <w:rsid w:val="00221D34"/>
    <w:rsid w:val="002221EB"/>
    <w:rsid w:val="0022241A"/>
    <w:rsid w:val="0022550C"/>
    <w:rsid w:val="00225912"/>
    <w:rsid w:val="0023093A"/>
    <w:rsid w:val="00231837"/>
    <w:rsid w:val="002319D7"/>
    <w:rsid w:val="00231F5B"/>
    <w:rsid w:val="00232590"/>
    <w:rsid w:val="002349A0"/>
    <w:rsid w:val="00235857"/>
    <w:rsid w:val="00237FB0"/>
    <w:rsid w:val="00240A44"/>
    <w:rsid w:val="00240D31"/>
    <w:rsid w:val="0024245F"/>
    <w:rsid w:val="00242EC3"/>
    <w:rsid w:val="002439CC"/>
    <w:rsid w:val="002470C9"/>
    <w:rsid w:val="002514B2"/>
    <w:rsid w:val="002531A5"/>
    <w:rsid w:val="00254736"/>
    <w:rsid w:val="00254C5B"/>
    <w:rsid w:val="00255E4C"/>
    <w:rsid w:val="002621B5"/>
    <w:rsid w:val="002627DF"/>
    <w:rsid w:val="00270801"/>
    <w:rsid w:val="00270E69"/>
    <w:rsid w:val="0027118E"/>
    <w:rsid w:val="002725F4"/>
    <w:rsid w:val="00273C09"/>
    <w:rsid w:val="002741D3"/>
    <w:rsid w:val="002768FA"/>
    <w:rsid w:val="002771E5"/>
    <w:rsid w:val="00277840"/>
    <w:rsid w:val="002820F8"/>
    <w:rsid w:val="00284126"/>
    <w:rsid w:val="0028459B"/>
    <w:rsid w:val="0028767B"/>
    <w:rsid w:val="00287A77"/>
    <w:rsid w:val="00287B87"/>
    <w:rsid w:val="00287C5A"/>
    <w:rsid w:val="00291C5F"/>
    <w:rsid w:val="00293839"/>
    <w:rsid w:val="00294448"/>
    <w:rsid w:val="00296A29"/>
    <w:rsid w:val="002A0345"/>
    <w:rsid w:val="002A08CD"/>
    <w:rsid w:val="002A1236"/>
    <w:rsid w:val="002A31D7"/>
    <w:rsid w:val="002A3C80"/>
    <w:rsid w:val="002A6DA4"/>
    <w:rsid w:val="002A7B74"/>
    <w:rsid w:val="002A7E1F"/>
    <w:rsid w:val="002B3F39"/>
    <w:rsid w:val="002B406D"/>
    <w:rsid w:val="002B447B"/>
    <w:rsid w:val="002B63F1"/>
    <w:rsid w:val="002C0792"/>
    <w:rsid w:val="002C0A5A"/>
    <w:rsid w:val="002C1B12"/>
    <w:rsid w:val="002C226C"/>
    <w:rsid w:val="002C3AC3"/>
    <w:rsid w:val="002C3C4E"/>
    <w:rsid w:val="002C3CD0"/>
    <w:rsid w:val="002C3EE2"/>
    <w:rsid w:val="002C4A5C"/>
    <w:rsid w:val="002C591C"/>
    <w:rsid w:val="002C7A8B"/>
    <w:rsid w:val="002D0524"/>
    <w:rsid w:val="002D4B55"/>
    <w:rsid w:val="002D5BEC"/>
    <w:rsid w:val="002D6581"/>
    <w:rsid w:val="002E054A"/>
    <w:rsid w:val="002E6813"/>
    <w:rsid w:val="002E73BB"/>
    <w:rsid w:val="002F022D"/>
    <w:rsid w:val="002F0DB7"/>
    <w:rsid w:val="002F0E67"/>
    <w:rsid w:val="002F0F66"/>
    <w:rsid w:val="002F33A6"/>
    <w:rsid w:val="002F6639"/>
    <w:rsid w:val="002F6BB1"/>
    <w:rsid w:val="00300AA9"/>
    <w:rsid w:val="00300F26"/>
    <w:rsid w:val="0030134E"/>
    <w:rsid w:val="00302A5A"/>
    <w:rsid w:val="00302BFE"/>
    <w:rsid w:val="003037F8"/>
    <w:rsid w:val="003041FA"/>
    <w:rsid w:val="00304F33"/>
    <w:rsid w:val="00311DBB"/>
    <w:rsid w:val="00312A0C"/>
    <w:rsid w:val="00312A68"/>
    <w:rsid w:val="00314314"/>
    <w:rsid w:val="00316943"/>
    <w:rsid w:val="00321382"/>
    <w:rsid w:val="003268C4"/>
    <w:rsid w:val="003269AC"/>
    <w:rsid w:val="003310B8"/>
    <w:rsid w:val="003319B2"/>
    <w:rsid w:val="00333244"/>
    <w:rsid w:val="003342CD"/>
    <w:rsid w:val="0033477F"/>
    <w:rsid w:val="00334909"/>
    <w:rsid w:val="00335042"/>
    <w:rsid w:val="00335DE9"/>
    <w:rsid w:val="00337670"/>
    <w:rsid w:val="00340E35"/>
    <w:rsid w:val="00341642"/>
    <w:rsid w:val="00342A3B"/>
    <w:rsid w:val="003472B1"/>
    <w:rsid w:val="00355872"/>
    <w:rsid w:val="00356BC6"/>
    <w:rsid w:val="00357733"/>
    <w:rsid w:val="003577E3"/>
    <w:rsid w:val="003600F6"/>
    <w:rsid w:val="00360409"/>
    <w:rsid w:val="00360C0A"/>
    <w:rsid w:val="0036218F"/>
    <w:rsid w:val="00362736"/>
    <w:rsid w:val="00362B70"/>
    <w:rsid w:val="00362BB0"/>
    <w:rsid w:val="00364DEE"/>
    <w:rsid w:val="00365E8D"/>
    <w:rsid w:val="00366648"/>
    <w:rsid w:val="00367404"/>
    <w:rsid w:val="00370395"/>
    <w:rsid w:val="00370837"/>
    <w:rsid w:val="00370F55"/>
    <w:rsid w:val="0037180D"/>
    <w:rsid w:val="00371A63"/>
    <w:rsid w:val="00372831"/>
    <w:rsid w:val="003734D8"/>
    <w:rsid w:val="003735A4"/>
    <w:rsid w:val="00373629"/>
    <w:rsid w:val="00373853"/>
    <w:rsid w:val="00373B72"/>
    <w:rsid w:val="0037416B"/>
    <w:rsid w:val="00376A66"/>
    <w:rsid w:val="00377106"/>
    <w:rsid w:val="0037731E"/>
    <w:rsid w:val="003812D0"/>
    <w:rsid w:val="003820C5"/>
    <w:rsid w:val="00382617"/>
    <w:rsid w:val="00385CC6"/>
    <w:rsid w:val="00386E32"/>
    <w:rsid w:val="00392BBA"/>
    <w:rsid w:val="00392C0C"/>
    <w:rsid w:val="00392CFC"/>
    <w:rsid w:val="003954FD"/>
    <w:rsid w:val="0039578E"/>
    <w:rsid w:val="00395BBD"/>
    <w:rsid w:val="00395C28"/>
    <w:rsid w:val="003A6245"/>
    <w:rsid w:val="003B0212"/>
    <w:rsid w:val="003B19DD"/>
    <w:rsid w:val="003B1EA3"/>
    <w:rsid w:val="003B31F4"/>
    <w:rsid w:val="003B4356"/>
    <w:rsid w:val="003B59F6"/>
    <w:rsid w:val="003C04A7"/>
    <w:rsid w:val="003C1C5A"/>
    <w:rsid w:val="003C445C"/>
    <w:rsid w:val="003C48AF"/>
    <w:rsid w:val="003C4C45"/>
    <w:rsid w:val="003C517F"/>
    <w:rsid w:val="003C5719"/>
    <w:rsid w:val="003C7907"/>
    <w:rsid w:val="003C7B82"/>
    <w:rsid w:val="003D08C8"/>
    <w:rsid w:val="003D0B99"/>
    <w:rsid w:val="003D1945"/>
    <w:rsid w:val="003D392B"/>
    <w:rsid w:val="003D418E"/>
    <w:rsid w:val="003D5918"/>
    <w:rsid w:val="003D60D7"/>
    <w:rsid w:val="003D7B85"/>
    <w:rsid w:val="003E0411"/>
    <w:rsid w:val="003E1538"/>
    <w:rsid w:val="003E176F"/>
    <w:rsid w:val="003E1C8F"/>
    <w:rsid w:val="003E1CE3"/>
    <w:rsid w:val="003E77BC"/>
    <w:rsid w:val="003E7AEC"/>
    <w:rsid w:val="003F17A4"/>
    <w:rsid w:val="003F1D59"/>
    <w:rsid w:val="003F287F"/>
    <w:rsid w:val="003F3B86"/>
    <w:rsid w:val="003F5F84"/>
    <w:rsid w:val="003F725B"/>
    <w:rsid w:val="004000AE"/>
    <w:rsid w:val="004007CD"/>
    <w:rsid w:val="00401D4C"/>
    <w:rsid w:val="00402C3F"/>
    <w:rsid w:val="00402C61"/>
    <w:rsid w:val="004049A9"/>
    <w:rsid w:val="00407D96"/>
    <w:rsid w:val="0041100B"/>
    <w:rsid w:val="004118EE"/>
    <w:rsid w:val="00412BB6"/>
    <w:rsid w:val="00414BE6"/>
    <w:rsid w:val="0041542C"/>
    <w:rsid w:val="00417C5D"/>
    <w:rsid w:val="00421010"/>
    <w:rsid w:val="004236B4"/>
    <w:rsid w:val="00424ED2"/>
    <w:rsid w:val="004255D0"/>
    <w:rsid w:val="004315FA"/>
    <w:rsid w:val="00431962"/>
    <w:rsid w:val="004322EE"/>
    <w:rsid w:val="0043474C"/>
    <w:rsid w:val="00434BBE"/>
    <w:rsid w:val="00436808"/>
    <w:rsid w:val="00436952"/>
    <w:rsid w:val="00440E84"/>
    <w:rsid w:val="00444B09"/>
    <w:rsid w:val="00444C83"/>
    <w:rsid w:val="0044760D"/>
    <w:rsid w:val="00454B2C"/>
    <w:rsid w:val="00454E2D"/>
    <w:rsid w:val="00454FF7"/>
    <w:rsid w:val="00456EE1"/>
    <w:rsid w:val="004574B0"/>
    <w:rsid w:val="004577E7"/>
    <w:rsid w:val="00457FE6"/>
    <w:rsid w:val="00461EEC"/>
    <w:rsid w:val="00462095"/>
    <w:rsid w:val="00464356"/>
    <w:rsid w:val="004654C4"/>
    <w:rsid w:val="00465969"/>
    <w:rsid w:val="00466731"/>
    <w:rsid w:val="00466C69"/>
    <w:rsid w:val="00466DD5"/>
    <w:rsid w:val="00467E83"/>
    <w:rsid w:val="00467F49"/>
    <w:rsid w:val="0047042D"/>
    <w:rsid w:val="00472381"/>
    <w:rsid w:val="0047265F"/>
    <w:rsid w:val="00473B71"/>
    <w:rsid w:val="00473F86"/>
    <w:rsid w:val="004755FE"/>
    <w:rsid w:val="00475A1D"/>
    <w:rsid w:val="00477340"/>
    <w:rsid w:val="004778C3"/>
    <w:rsid w:val="00482B81"/>
    <w:rsid w:val="00482D4C"/>
    <w:rsid w:val="00483475"/>
    <w:rsid w:val="004838E4"/>
    <w:rsid w:val="004843AD"/>
    <w:rsid w:val="0048463A"/>
    <w:rsid w:val="00485A6D"/>
    <w:rsid w:val="004863A9"/>
    <w:rsid w:val="00487913"/>
    <w:rsid w:val="0048796D"/>
    <w:rsid w:val="00491B3E"/>
    <w:rsid w:val="00492BF6"/>
    <w:rsid w:val="004959D7"/>
    <w:rsid w:val="00497214"/>
    <w:rsid w:val="00497B86"/>
    <w:rsid w:val="004A01C8"/>
    <w:rsid w:val="004A10CE"/>
    <w:rsid w:val="004A1638"/>
    <w:rsid w:val="004A19EF"/>
    <w:rsid w:val="004A26D0"/>
    <w:rsid w:val="004A27A8"/>
    <w:rsid w:val="004A2DFC"/>
    <w:rsid w:val="004A3018"/>
    <w:rsid w:val="004A31B4"/>
    <w:rsid w:val="004A4499"/>
    <w:rsid w:val="004B012D"/>
    <w:rsid w:val="004B3BDF"/>
    <w:rsid w:val="004B3C0F"/>
    <w:rsid w:val="004B3C41"/>
    <w:rsid w:val="004B4A3C"/>
    <w:rsid w:val="004B7ED0"/>
    <w:rsid w:val="004C048C"/>
    <w:rsid w:val="004C05E4"/>
    <w:rsid w:val="004C28DF"/>
    <w:rsid w:val="004C45CC"/>
    <w:rsid w:val="004C53C0"/>
    <w:rsid w:val="004D0B20"/>
    <w:rsid w:val="004D3BE3"/>
    <w:rsid w:val="004D4561"/>
    <w:rsid w:val="004D4AE5"/>
    <w:rsid w:val="004D529E"/>
    <w:rsid w:val="004D56E4"/>
    <w:rsid w:val="004E033E"/>
    <w:rsid w:val="004E1293"/>
    <w:rsid w:val="004E1B2C"/>
    <w:rsid w:val="004E22C1"/>
    <w:rsid w:val="004E2EE7"/>
    <w:rsid w:val="004E3590"/>
    <w:rsid w:val="004E39E1"/>
    <w:rsid w:val="004E6E7A"/>
    <w:rsid w:val="004E7333"/>
    <w:rsid w:val="004F00BA"/>
    <w:rsid w:val="004F011F"/>
    <w:rsid w:val="004F03F4"/>
    <w:rsid w:val="004F04C1"/>
    <w:rsid w:val="004F3DD7"/>
    <w:rsid w:val="004F44BF"/>
    <w:rsid w:val="004F4C00"/>
    <w:rsid w:val="004F56D0"/>
    <w:rsid w:val="004F59C8"/>
    <w:rsid w:val="004F5C67"/>
    <w:rsid w:val="00501083"/>
    <w:rsid w:val="005018B2"/>
    <w:rsid w:val="0050235E"/>
    <w:rsid w:val="00503708"/>
    <w:rsid w:val="00503A99"/>
    <w:rsid w:val="00503E44"/>
    <w:rsid w:val="00507488"/>
    <w:rsid w:val="0050777E"/>
    <w:rsid w:val="00511B1A"/>
    <w:rsid w:val="00513FE8"/>
    <w:rsid w:val="0051429B"/>
    <w:rsid w:val="00515283"/>
    <w:rsid w:val="00515E7E"/>
    <w:rsid w:val="0051658F"/>
    <w:rsid w:val="0052133C"/>
    <w:rsid w:val="005227CE"/>
    <w:rsid w:val="00522DC7"/>
    <w:rsid w:val="005231C5"/>
    <w:rsid w:val="00523413"/>
    <w:rsid w:val="00525159"/>
    <w:rsid w:val="00533926"/>
    <w:rsid w:val="00534539"/>
    <w:rsid w:val="0053595E"/>
    <w:rsid w:val="00535BF7"/>
    <w:rsid w:val="00536412"/>
    <w:rsid w:val="005377F4"/>
    <w:rsid w:val="00537CBA"/>
    <w:rsid w:val="00537FB7"/>
    <w:rsid w:val="005411D1"/>
    <w:rsid w:val="005421F7"/>
    <w:rsid w:val="00542873"/>
    <w:rsid w:val="00543AF4"/>
    <w:rsid w:val="00550955"/>
    <w:rsid w:val="005509B9"/>
    <w:rsid w:val="005562F9"/>
    <w:rsid w:val="0055675D"/>
    <w:rsid w:val="0055718C"/>
    <w:rsid w:val="005573C4"/>
    <w:rsid w:val="00560DA4"/>
    <w:rsid w:val="0056144E"/>
    <w:rsid w:val="00563FDC"/>
    <w:rsid w:val="00565252"/>
    <w:rsid w:val="00566E8F"/>
    <w:rsid w:val="00567BB0"/>
    <w:rsid w:val="00570947"/>
    <w:rsid w:val="005709DE"/>
    <w:rsid w:val="005726BA"/>
    <w:rsid w:val="00573FFC"/>
    <w:rsid w:val="00574201"/>
    <w:rsid w:val="0057422E"/>
    <w:rsid w:val="00577896"/>
    <w:rsid w:val="005807A7"/>
    <w:rsid w:val="00581390"/>
    <w:rsid w:val="005833BE"/>
    <w:rsid w:val="005836B4"/>
    <w:rsid w:val="0058463F"/>
    <w:rsid w:val="005858FB"/>
    <w:rsid w:val="00585F98"/>
    <w:rsid w:val="00591BB1"/>
    <w:rsid w:val="00592F0D"/>
    <w:rsid w:val="0059302A"/>
    <w:rsid w:val="00595CDD"/>
    <w:rsid w:val="00596EC3"/>
    <w:rsid w:val="005A03D6"/>
    <w:rsid w:val="005A14F3"/>
    <w:rsid w:val="005A2572"/>
    <w:rsid w:val="005A698B"/>
    <w:rsid w:val="005A7D4C"/>
    <w:rsid w:val="005B03C3"/>
    <w:rsid w:val="005B061A"/>
    <w:rsid w:val="005B31BF"/>
    <w:rsid w:val="005B3AF1"/>
    <w:rsid w:val="005B4936"/>
    <w:rsid w:val="005C032C"/>
    <w:rsid w:val="005C1CA0"/>
    <w:rsid w:val="005C2599"/>
    <w:rsid w:val="005C3091"/>
    <w:rsid w:val="005C4195"/>
    <w:rsid w:val="005C4560"/>
    <w:rsid w:val="005C64FE"/>
    <w:rsid w:val="005C73D6"/>
    <w:rsid w:val="005D201C"/>
    <w:rsid w:val="005D2168"/>
    <w:rsid w:val="005D49BC"/>
    <w:rsid w:val="005D7D5A"/>
    <w:rsid w:val="005D7E35"/>
    <w:rsid w:val="005E20C3"/>
    <w:rsid w:val="005E348B"/>
    <w:rsid w:val="005E4792"/>
    <w:rsid w:val="005E4BAC"/>
    <w:rsid w:val="005E580A"/>
    <w:rsid w:val="005F08F9"/>
    <w:rsid w:val="005F0ABE"/>
    <w:rsid w:val="005F1BC2"/>
    <w:rsid w:val="005F219D"/>
    <w:rsid w:val="005F2280"/>
    <w:rsid w:val="005F3EDF"/>
    <w:rsid w:val="005F4700"/>
    <w:rsid w:val="005F5738"/>
    <w:rsid w:val="005F696E"/>
    <w:rsid w:val="006001A3"/>
    <w:rsid w:val="0060130D"/>
    <w:rsid w:val="00601FC6"/>
    <w:rsid w:val="00602CB8"/>
    <w:rsid w:val="00606671"/>
    <w:rsid w:val="006100E5"/>
    <w:rsid w:val="00612329"/>
    <w:rsid w:val="00612BC3"/>
    <w:rsid w:val="006137A6"/>
    <w:rsid w:val="00613B16"/>
    <w:rsid w:val="00615574"/>
    <w:rsid w:val="00615AC2"/>
    <w:rsid w:val="00616331"/>
    <w:rsid w:val="00623F9C"/>
    <w:rsid w:val="006243C6"/>
    <w:rsid w:val="00624D5C"/>
    <w:rsid w:val="006263D5"/>
    <w:rsid w:val="00627867"/>
    <w:rsid w:val="00630893"/>
    <w:rsid w:val="00631404"/>
    <w:rsid w:val="00631FDE"/>
    <w:rsid w:val="00635A8C"/>
    <w:rsid w:val="00640BDE"/>
    <w:rsid w:val="0064129F"/>
    <w:rsid w:val="00641E5E"/>
    <w:rsid w:val="0064309D"/>
    <w:rsid w:val="0064535A"/>
    <w:rsid w:val="00645CB1"/>
    <w:rsid w:val="00647136"/>
    <w:rsid w:val="00647BB7"/>
    <w:rsid w:val="0065040B"/>
    <w:rsid w:val="006504AC"/>
    <w:rsid w:val="006559BC"/>
    <w:rsid w:val="00656B44"/>
    <w:rsid w:val="00660689"/>
    <w:rsid w:val="00660F56"/>
    <w:rsid w:val="0066146D"/>
    <w:rsid w:val="00661BA4"/>
    <w:rsid w:val="0066239B"/>
    <w:rsid w:val="00666D0F"/>
    <w:rsid w:val="00667DCB"/>
    <w:rsid w:val="006711DF"/>
    <w:rsid w:val="0067127D"/>
    <w:rsid w:val="00671EED"/>
    <w:rsid w:val="00673D98"/>
    <w:rsid w:val="00675AE2"/>
    <w:rsid w:val="00677080"/>
    <w:rsid w:val="00680297"/>
    <w:rsid w:val="0068046D"/>
    <w:rsid w:val="00680871"/>
    <w:rsid w:val="006835F6"/>
    <w:rsid w:val="00683956"/>
    <w:rsid w:val="006860ED"/>
    <w:rsid w:val="006873CE"/>
    <w:rsid w:val="0069205F"/>
    <w:rsid w:val="00692755"/>
    <w:rsid w:val="00693FC0"/>
    <w:rsid w:val="00694693"/>
    <w:rsid w:val="00694699"/>
    <w:rsid w:val="0069488D"/>
    <w:rsid w:val="00694DC4"/>
    <w:rsid w:val="006961D6"/>
    <w:rsid w:val="006A0786"/>
    <w:rsid w:val="006A1060"/>
    <w:rsid w:val="006A10E5"/>
    <w:rsid w:val="006A11D6"/>
    <w:rsid w:val="006B1C22"/>
    <w:rsid w:val="006B2D19"/>
    <w:rsid w:val="006B33D9"/>
    <w:rsid w:val="006B520A"/>
    <w:rsid w:val="006B523A"/>
    <w:rsid w:val="006B6D86"/>
    <w:rsid w:val="006B797A"/>
    <w:rsid w:val="006C0C7D"/>
    <w:rsid w:val="006C170A"/>
    <w:rsid w:val="006C2C15"/>
    <w:rsid w:val="006C2CED"/>
    <w:rsid w:val="006C3EFE"/>
    <w:rsid w:val="006C5DAC"/>
    <w:rsid w:val="006C68BB"/>
    <w:rsid w:val="006C6A0D"/>
    <w:rsid w:val="006D050B"/>
    <w:rsid w:val="006D0764"/>
    <w:rsid w:val="006D10EC"/>
    <w:rsid w:val="006D12BD"/>
    <w:rsid w:val="006D2082"/>
    <w:rsid w:val="006D31AC"/>
    <w:rsid w:val="006D3402"/>
    <w:rsid w:val="006D42A5"/>
    <w:rsid w:val="006D478B"/>
    <w:rsid w:val="006D4DAA"/>
    <w:rsid w:val="006D51E2"/>
    <w:rsid w:val="006D5351"/>
    <w:rsid w:val="006D60D0"/>
    <w:rsid w:val="006D672B"/>
    <w:rsid w:val="006E04DB"/>
    <w:rsid w:val="006E0852"/>
    <w:rsid w:val="006E0B1A"/>
    <w:rsid w:val="006E0CBA"/>
    <w:rsid w:val="006E13A0"/>
    <w:rsid w:val="006E391A"/>
    <w:rsid w:val="006E3AB4"/>
    <w:rsid w:val="006E3C15"/>
    <w:rsid w:val="006E6321"/>
    <w:rsid w:val="006F06C1"/>
    <w:rsid w:val="006F0774"/>
    <w:rsid w:val="006F0FCC"/>
    <w:rsid w:val="006F12D0"/>
    <w:rsid w:val="006F13B9"/>
    <w:rsid w:val="006F1C9C"/>
    <w:rsid w:val="006F530D"/>
    <w:rsid w:val="006F60A9"/>
    <w:rsid w:val="006F683C"/>
    <w:rsid w:val="006F6927"/>
    <w:rsid w:val="006F6C2A"/>
    <w:rsid w:val="006F74AB"/>
    <w:rsid w:val="00700651"/>
    <w:rsid w:val="00700CB5"/>
    <w:rsid w:val="00701018"/>
    <w:rsid w:val="0070169C"/>
    <w:rsid w:val="00701F57"/>
    <w:rsid w:val="007042C8"/>
    <w:rsid w:val="00704B7E"/>
    <w:rsid w:val="00704CCA"/>
    <w:rsid w:val="00705171"/>
    <w:rsid w:val="007053B0"/>
    <w:rsid w:val="00706E73"/>
    <w:rsid w:val="00710E94"/>
    <w:rsid w:val="00714579"/>
    <w:rsid w:val="00715B43"/>
    <w:rsid w:val="007213D9"/>
    <w:rsid w:val="00722558"/>
    <w:rsid w:val="007228EA"/>
    <w:rsid w:val="00727D8A"/>
    <w:rsid w:val="00730B8F"/>
    <w:rsid w:val="00730DA8"/>
    <w:rsid w:val="007314E7"/>
    <w:rsid w:val="00731FEA"/>
    <w:rsid w:val="007323F4"/>
    <w:rsid w:val="00735921"/>
    <w:rsid w:val="0073599B"/>
    <w:rsid w:val="007364A8"/>
    <w:rsid w:val="00736AD2"/>
    <w:rsid w:val="00736F61"/>
    <w:rsid w:val="00740BDA"/>
    <w:rsid w:val="0074185E"/>
    <w:rsid w:val="00742253"/>
    <w:rsid w:val="007422EE"/>
    <w:rsid w:val="007436F0"/>
    <w:rsid w:val="0074422A"/>
    <w:rsid w:val="00744BD1"/>
    <w:rsid w:val="0074728E"/>
    <w:rsid w:val="0074785C"/>
    <w:rsid w:val="00751557"/>
    <w:rsid w:val="007521C8"/>
    <w:rsid w:val="00754E66"/>
    <w:rsid w:val="00757B95"/>
    <w:rsid w:val="00761448"/>
    <w:rsid w:val="0076508C"/>
    <w:rsid w:val="00766089"/>
    <w:rsid w:val="007662C7"/>
    <w:rsid w:val="00767427"/>
    <w:rsid w:val="0076762E"/>
    <w:rsid w:val="00772FAF"/>
    <w:rsid w:val="00774E58"/>
    <w:rsid w:val="00776306"/>
    <w:rsid w:val="00777B95"/>
    <w:rsid w:val="00777E49"/>
    <w:rsid w:val="007816E2"/>
    <w:rsid w:val="00782D02"/>
    <w:rsid w:val="00783674"/>
    <w:rsid w:val="007843D9"/>
    <w:rsid w:val="00784552"/>
    <w:rsid w:val="0078538B"/>
    <w:rsid w:val="00786B3A"/>
    <w:rsid w:val="00793540"/>
    <w:rsid w:val="007A1887"/>
    <w:rsid w:val="007A33F8"/>
    <w:rsid w:val="007A4F27"/>
    <w:rsid w:val="007A55A7"/>
    <w:rsid w:val="007A57BC"/>
    <w:rsid w:val="007A5AFC"/>
    <w:rsid w:val="007A6192"/>
    <w:rsid w:val="007A7AD3"/>
    <w:rsid w:val="007B0F00"/>
    <w:rsid w:val="007B1F10"/>
    <w:rsid w:val="007B2143"/>
    <w:rsid w:val="007B334D"/>
    <w:rsid w:val="007B335E"/>
    <w:rsid w:val="007B3A35"/>
    <w:rsid w:val="007B3D02"/>
    <w:rsid w:val="007B40EA"/>
    <w:rsid w:val="007B4979"/>
    <w:rsid w:val="007B4A9D"/>
    <w:rsid w:val="007C0D72"/>
    <w:rsid w:val="007C137D"/>
    <w:rsid w:val="007C1BDC"/>
    <w:rsid w:val="007C59AB"/>
    <w:rsid w:val="007C7D64"/>
    <w:rsid w:val="007D5235"/>
    <w:rsid w:val="007D5461"/>
    <w:rsid w:val="007D5C5B"/>
    <w:rsid w:val="007D5E46"/>
    <w:rsid w:val="007D6771"/>
    <w:rsid w:val="007D7FF0"/>
    <w:rsid w:val="007E018D"/>
    <w:rsid w:val="007E175E"/>
    <w:rsid w:val="007E2FBB"/>
    <w:rsid w:val="007E34AA"/>
    <w:rsid w:val="007E6A45"/>
    <w:rsid w:val="007E7552"/>
    <w:rsid w:val="007F02EC"/>
    <w:rsid w:val="007F1B71"/>
    <w:rsid w:val="007F2D0A"/>
    <w:rsid w:val="007F3638"/>
    <w:rsid w:val="007F6ACE"/>
    <w:rsid w:val="007F7B35"/>
    <w:rsid w:val="00800923"/>
    <w:rsid w:val="0080260E"/>
    <w:rsid w:val="0080320B"/>
    <w:rsid w:val="00807E74"/>
    <w:rsid w:val="00807E7D"/>
    <w:rsid w:val="00812497"/>
    <w:rsid w:val="008145BA"/>
    <w:rsid w:val="00815963"/>
    <w:rsid w:val="00816219"/>
    <w:rsid w:val="008200DE"/>
    <w:rsid w:val="0082054C"/>
    <w:rsid w:val="00821B6D"/>
    <w:rsid w:val="0082284C"/>
    <w:rsid w:val="00824315"/>
    <w:rsid w:val="00824555"/>
    <w:rsid w:val="008249BE"/>
    <w:rsid w:val="008268F3"/>
    <w:rsid w:val="00830D35"/>
    <w:rsid w:val="00831675"/>
    <w:rsid w:val="00832C84"/>
    <w:rsid w:val="00833654"/>
    <w:rsid w:val="008350CF"/>
    <w:rsid w:val="008404AD"/>
    <w:rsid w:val="0084071F"/>
    <w:rsid w:val="00841076"/>
    <w:rsid w:val="008411A6"/>
    <w:rsid w:val="00841453"/>
    <w:rsid w:val="00841C5B"/>
    <w:rsid w:val="00844849"/>
    <w:rsid w:val="00845A80"/>
    <w:rsid w:val="0084778E"/>
    <w:rsid w:val="00847E1E"/>
    <w:rsid w:val="00851172"/>
    <w:rsid w:val="00852DEB"/>
    <w:rsid w:val="008541E3"/>
    <w:rsid w:val="008551DC"/>
    <w:rsid w:val="008552D6"/>
    <w:rsid w:val="00855DA3"/>
    <w:rsid w:val="00856857"/>
    <w:rsid w:val="008569DF"/>
    <w:rsid w:val="00857882"/>
    <w:rsid w:val="0086047E"/>
    <w:rsid w:val="008609F6"/>
    <w:rsid w:val="00860BB5"/>
    <w:rsid w:val="00862443"/>
    <w:rsid w:val="00862571"/>
    <w:rsid w:val="008645DE"/>
    <w:rsid w:val="00864933"/>
    <w:rsid w:val="00867330"/>
    <w:rsid w:val="00870450"/>
    <w:rsid w:val="00871F87"/>
    <w:rsid w:val="0087207D"/>
    <w:rsid w:val="0087486E"/>
    <w:rsid w:val="0087662C"/>
    <w:rsid w:val="00877071"/>
    <w:rsid w:val="0087754D"/>
    <w:rsid w:val="008779B4"/>
    <w:rsid w:val="00877A2F"/>
    <w:rsid w:val="00881344"/>
    <w:rsid w:val="0088138D"/>
    <w:rsid w:val="00881855"/>
    <w:rsid w:val="00882BA8"/>
    <w:rsid w:val="00883863"/>
    <w:rsid w:val="008840D8"/>
    <w:rsid w:val="0088467C"/>
    <w:rsid w:val="008853B9"/>
    <w:rsid w:val="00885AA3"/>
    <w:rsid w:val="00886030"/>
    <w:rsid w:val="008871A7"/>
    <w:rsid w:val="00890E0E"/>
    <w:rsid w:val="00891F21"/>
    <w:rsid w:val="008924E8"/>
    <w:rsid w:val="008926DE"/>
    <w:rsid w:val="00892D3B"/>
    <w:rsid w:val="00893882"/>
    <w:rsid w:val="00894579"/>
    <w:rsid w:val="0089623A"/>
    <w:rsid w:val="00896998"/>
    <w:rsid w:val="008A269E"/>
    <w:rsid w:val="008A2BDB"/>
    <w:rsid w:val="008A396E"/>
    <w:rsid w:val="008A5703"/>
    <w:rsid w:val="008A5B67"/>
    <w:rsid w:val="008A5CCD"/>
    <w:rsid w:val="008A6A6D"/>
    <w:rsid w:val="008B236B"/>
    <w:rsid w:val="008B2495"/>
    <w:rsid w:val="008B29E7"/>
    <w:rsid w:val="008B2C4E"/>
    <w:rsid w:val="008B33DF"/>
    <w:rsid w:val="008B4524"/>
    <w:rsid w:val="008B5C0B"/>
    <w:rsid w:val="008B7F3B"/>
    <w:rsid w:val="008C2216"/>
    <w:rsid w:val="008C3458"/>
    <w:rsid w:val="008C41ED"/>
    <w:rsid w:val="008C7734"/>
    <w:rsid w:val="008D07E2"/>
    <w:rsid w:val="008D1599"/>
    <w:rsid w:val="008D16F7"/>
    <w:rsid w:val="008D3A26"/>
    <w:rsid w:val="008D40FA"/>
    <w:rsid w:val="008D4835"/>
    <w:rsid w:val="008D530D"/>
    <w:rsid w:val="008D6799"/>
    <w:rsid w:val="008D760A"/>
    <w:rsid w:val="008E1427"/>
    <w:rsid w:val="008E39F6"/>
    <w:rsid w:val="008E52C7"/>
    <w:rsid w:val="008E5A1D"/>
    <w:rsid w:val="008E62ED"/>
    <w:rsid w:val="008E633A"/>
    <w:rsid w:val="008F0C50"/>
    <w:rsid w:val="008F0D94"/>
    <w:rsid w:val="008F1728"/>
    <w:rsid w:val="008F2529"/>
    <w:rsid w:val="008F37A8"/>
    <w:rsid w:val="008F4FED"/>
    <w:rsid w:val="008F68B9"/>
    <w:rsid w:val="008F6B85"/>
    <w:rsid w:val="008F778A"/>
    <w:rsid w:val="0090106E"/>
    <w:rsid w:val="00901110"/>
    <w:rsid w:val="00902ED6"/>
    <w:rsid w:val="0090320B"/>
    <w:rsid w:val="00906037"/>
    <w:rsid w:val="0090725B"/>
    <w:rsid w:val="0090787F"/>
    <w:rsid w:val="009079B7"/>
    <w:rsid w:val="0091280A"/>
    <w:rsid w:val="009134DB"/>
    <w:rsid w:val="009143A0"/>
    <w:rsid w:val="009145F8"/>
    <w:rsid w:val="009157BE"/>
    <w:rsid w:val="00916FA4"/>
    <w:rsid w:val="00917668"/>
    <w:rsid w:val="00917E6B"/>
    <w:rsid w:val="00921B5A"/>
    <w:rsid w:val="00924539"/>
    <w:rsid w:val="009248FA"/>
    <w:rsid w:val="00925124"/>
    <w:rsid w:val="00925635"/>
    <w:rsid w:val="009268CB"/>
    <w:rsid w:val="00926CC4"/>
    <w:rsid w:val="009273FD"/>
    <w:rsid w:val="00927AED"/>
    <w:rsid w:val="00927B14"/>
    <w:rsid w:val="00927C59"/>
    <w:rsid w:val="00927DAE"/>
    <w:rsid w:val="0093147D"/>
    <w:rsid w:val="00931881"/>
    <w:rsid w:val="00931D2A"/>
    <w:rsid w:val="00932532"/>
    <w:rsid w:val="00932849"/>
    <w:rsid w:val="00932F78"/>
    <w:rsid w:val="009334E9"/>
    <w:rsid w:val="00933D43"/>
    <w:rsid w:val="0093421F"/>
    <w:rsid w:val="009348D1"/>
    <w:rsid w:val="009350EB"/>
    <w:rsid w:val="00936902"/>
    <w:rsid w:val="00937D2A"/>
    <w:rsid w:val="00941824"/>
    <w:rsid w:val="00942170"/>
    <w:rsid w:val="00943D05"/>
    <w:rsid w:val="0094486D"/>
    <w:rsid w:val="00944EF5"/>
    <w:rsid w:val="009461E7"/>
    <w:rsid w:val="00950838"/>
    <w:rsid w:val="00950E58"/>
    <w:rsid w:val="00952DF0"/>
    <w:rsid w:val="009535B9"/>
    <w:rsid w:val="00953989"/>
    <w:rsid w:val="00954679"/>
    <w:rsid w:val="00954CE4"/>
    <w:rsid w:val="009552FE"/>
    <w:rsid w:val="00955673"/>
    <w:rsid w:val="00955EAC"/>
    <w:rsid w:val="009562E9"/>
    <w:rsid w:val="009569C4"/>
    <w:rsid w:val="00956F4C"/>
    <w:rsid w:val="00957116"/>
    <w:rsid w:val="00957251"/>
    <w:rsid w:val="009655DA"/>
    <w:rsid w:val="00965BBC"/>
    <w:rsid w:val="009673D0"/>
    <w:rsid w:val="00970809"/>
    <w:rsid w:val="0097151D"/>
    <w:rsid w:val="0097194F"/>
    <w:rsid w:val="00972823"/>
    <w:rsid w:val="00974996"/>
    <w:rsid w:val="009770F2"/>
    <w:rsid w:val="00981B49"/>
    <w:rsid w:val="00982D47"/>
    <w:rsid w:val="009833CF"/>
    <w:rsid w:val="00985509"/>
    <w:rsid w:val="009864F3"/>
    <w:rsid w:val="00986951"/>
    <w:rsid w:val="0098737D"/>
    <w:rsid w:val="00990A9C"/>
    <w:rsid w:val="00990BE6"/>
    <w:rsid w:val="00991BB3"/>
    <w:rsid w:val="00992460"/>
    <w:rsid w:val="0099358A"/>
    <w:rsid w:val="00996809"/>
    <w:rsid w:val="00996C4F"/>
    <w:rsid w:val="009A1459"/>
    <w:rsid w:val="009A172E"/>
    <w:rsid w:val="009A2167"/>
    <w:rsid w:val="009A4747"/>
    <w:rsid w:val="009A49F0"/>
    <w:rsid w:val="009A5307"/>
    <w:rsid w:val="009B0BF1"/>
    <w:rsid w:val="009B2044"/>
    <w:rsid w:val="009B2F6C"/>
    <w:rsid w:val="009B47B5"/>
    <w:rsid w:val="009B6B14"/>
    <w:rsid w:val="009B7A38"/>
    <w:rsid w:val="009C0051"/>
    <w:rsid w:val="009C0433"/>
    <w:rsid w:val="009C1A1D"/>
    <w:rsid w:val="009C1CFD"/>
    <w:rsid w:val="009C2949"/>
    <w:rsid w:val="009C6A1E"/>
    <w:rsid w:val="009C6C96"/>
    <w:rsid w:val="009D1640"/>
    <w:rsid w:val="009D16F5"/>
    <w:rsid w:val="009D20F7"/>
    <w:rsid w:val="009D25A8"/>
    <w:rsid w:val="009D2BA6"/>
    <w:rsid w:val="009D2F0C"/>
    <w:rsid w:val="009D3FB7"/>
    <w:rsid w:val="009D477C"/>
    <w:rsid w:val="009D7C3E"/>
    <w:rsid w:val="009E27A5"/>
    <w:rsid w:val="009E2F86"/>
    <w:rsid w:val="009E39D6"/>
    <w:rsid w:val="009E4EA5"/>
    <w:rsid w:val="009E554C"/>
    <w:rsid w:val="009F001A"/>
    <w:rsid w:val="009F12A7"/>
    <w:rsid w:val="009F414B"/>
    <w:rsid w:val="009F59CC"/>
    <w:rsid w:val="009F654F"/>
    <w:rsid w:val="00A00467"/>
    <w:rsid w:val="00A03E0A"/>
    <w:rsid w:val="00A04213"/>
    <w:rsid w:val="00A04BE4"/>
    <w:rsid w:val="00A05E26"/>
    <w:rsid w:val="00A06FCC"/>
    <w:rsid w:val="00A106F8"/>
    <w:rsid w:val="00A12209"/>
    <w:rsid w:val="00A12CB5"/>
    <w:rsid w:val="00A13AF7"/>
    <w:rsid w:val="00A16F6E"/>
    <w:rsid w:val="00A200A8"/>
    <w:rsid w:val="00A2424D"/>
    <w:rsid w:val="00A24E28"/>
    <w:rsid w:val="00A24E35"/>
    <w:rsid w:val="00A25EFD"/>
    <w:rsid w:val="00A26563"/>
    <w:rsid w:val="00A274A4"/>
    <w:rsid w:val="00A31484"/>
    <w:rsid w:val="00A31681"/>
    <w:rsid w:val="00A325CE"/>
    <w:rsid w:val="00A3265B"/>
    <w:rsid w:val="00A3328C"/>
    <w:rsid w:val="00A33BD0"/>
    <w:rsid w:val="00A341EA"/>
    <w:rsid w:val="00A34CA4"/>
    <w:rsid w:val="00A35928"/>
    <w:rsid w:val="00A36B50"/>
    <w:rsid w:val="00A36DF3"/>
    <w:rsid w:val="00A41727"/>
    <w:rsid w:val="00A41EE9"/>
    <w:rsid w:val="00A4441D"/>
    <w:rsid w:val="00A44A81"/>
    <w:rsid w:val="00A45F88"/>
    <w:rsid w:val="00A4643D"/>
    <w:rsid w:val="00A47EAF"/>
    <w:rsid w:val="00A51678"/>
    <w:rsid w:val="00A51DAD"/>
    <w:rsid w:val="00A532DD"/>
    <w:rsid w:val="00A5522E"/>
    <w:rsid w:val="00A55A9C"/>
    <w:rsid w:val="00A60487"/>
    <w:rsid w:val="00A649B6"/>
    <w:rsid w:val="00A65154"/>
    <w:rsid w:val="00A65491"/>
    <w:rsid w:val="00A6560B"/>
    <w:rsid w:val="00A6678B"/>
    <w:rsid w:val="00A70C31"/>
    <w:rsid w:val="00A74B90"/>
    <w:rsid w:val="00A760F0"/>
    <w:rsid w:val="00A80BCF"/>
    <w:rsid w:val="00A825D1"/>
    <w:rsid w:val="00A8369C"/>
    <w:rsid w:val="00A86579"/>
    <w:rsid w:val="00A90212"/>
    <w:rsid w:val="00A90CC4"/>
    <w:rsid w:val="00A934BD"/>
    <w:rsid w:val="00A93D70"/>
    <w:rsid w:val="00A9401D"/>
    <w:rsid w:val="00A97C69"/>
    <w:rsid w:val="00AA1689"/>
    <w:rsid w:val="00AA23F8"/>
    <w:rsid w:val="00AA2E68"/>
    <w:rsid w:val="00AA496F"/>
    <w:rsid w:val="00AA5770"/>
    <w:rsid w:val="00AA60BB"/>
    <w:rsid w:val="00AA70DB"/>
    <w:rsid w:val="00AA7A90"/>
    <w:rsid w:val="00AB0508"/>
    <w:rsid w:val="00AB2E70"/>
    <w:rsid w:val="00AB329E"/>
    <w:rsid w:val="00AB33C1"/>
    <w:rsid w:val="00AB38BE"/>
    <w:rsid w:val="00AB3E03"/>
    <w:rsid w:val="00AB4681"/>
    <w:rsid w:val="00AB4A3C"/>
    <w:rsid w:val="00AC1D15"/>
    <w:rsid w:val="00AC2419"/>
    <w:rsid w:val="00AC30C8"/>
    <w:rsid w:val="00AC57AE"/>
    <w:rsid w:val="00AC58C0"/>
    <w:rsid w:val="00AC6811"/>
    <w:rsid w:val="00AD0095"/>
    <w:rsid w:val="00AD3AC2"/>
    <w:rsid w:val="00AD4026"/>
    <w:rsid w:val="00AD44C6"/>
    <w:rsid w:val="00AD701E"/>
    <w:rsid w:val="00AE2486"/>
    <w:rsid w:val="00AE2CAB"/>
    <w:rsid w:val="00AE2FA8"/>
    <w:rsid w:val="00AE460D"/>
    <w:rsid w:val="00AE6BC4"/>
    <w:rsid w:val="00AE7755"/>
    <w:rsid w:val="00AE7F82"/>
    <w:rsid w:val="00AF1EC5"/>
    <w:rsid w:val="00AF6E81"/>
    <w:rsid w:val="00AF7AEF"/>
    <w:rsid w:val="00B02551"/>
    <w:rsid w:val="00B02E1F"/>
    <w:rsid w:val="00B031A4"/>
    <w:rsid w:val="00B0597F"/>
    <w:rsid w:val="00B07B0C"/>
    <w:rsid w:val="00B108C4"/>
    <w:rsid w:val="00B1167C"/>
    <w:rsid w:val="00B120F9"/>
    <w:rsid w:val="00B12D87"/>
    <w:rsid w:val="00B13D6B"/>
    <w:rsid w:val="00B144E2"/>
    <w:rsid w:val="00B147D0"/>
    <w:rsid w:val="00B16040"/>
    <w:rsid w:val="00B17A6B"/>
    <w:rsid w:val="00B20282"/>
    <w:rsid w:val="00B23CDB"/>
    <w:rsid w:val="00B23F36"/>
    <w:rsid w:val="00B25563"/>
    <w:rsid w:val="00B26D48"/>
    <w:rsid w:val="00B2789F"/>
    <w:rsid w:val="00B312A1"/>
    <w:rsid w:val="00B34059"/>
    <w:rsid w:val="00B35263"/>
    <w:rsid w:val="00B375ED"/>
    <w:rsid w:val="00B40949"/>
    <w:rsid w:val="00B40D80"/>
    <w:rsid w:val="00B4112D"/>
    <w:rsid w:val="00B41F7B"/>
    <w:rsid w:val="00B42E40"/>
    <w:rsid w:val="00B42EE1"/>
    <w:rsid w:val="00B444C5"/>
    <w:rsid w:val="00B45DEE"/>
    <w:rsid w:val="00B467A6"/>
    <w:rsid w:val="00B46896"/>
    <w:rsid w:val="00B47A59"/>
    <w:rsid w:val="00B501DE"/>
    <w:rsid w:val="00B513DB"/>
    <w:rsid w:val="00B5349B"/>
    <w:rsid w:val="00B53724"/>
    <w:rsid w:val="00B53E52"/>
    <w:rsid w:val="00B5584C"/>
    <w:rsid w:val="00B5649C"/>
    <w:rsid w:val="00B57327"/>
    <w:rsid w:val="00B608F2"/>
    <w:rsid w:val="00B665E7"/>
    <w:rsid w:val="00B676D3"/>
    <w:rsid w:val="00B67B5D"/>
    <w:rsid w:val="00B7138A"/>
    <w:rsid w:val="00B72779"/>
    <w:rsid w:val="00B7353F"/>
    <w:rsid w:val="00B744A8"/>
    <w:rsid w:val="00B748B8"/>
    <w:rsid w:val="00B74CCF"/>
    <w:rsid w:val="00B771BD"/>
    <w:rsid w:val="00B7723B"/>
    <w:rsid w:val="00B8200E"/>
    <w:rsid w:val="00B8271B"/>
    <w:rsid w:val="00B8293D"/>
    <w:rsid w:val="00B85756"/>
    <w:rsid w:val="00B87908"/>
    <w:rsid w:val="00B87A49"/>
    <w:rsid w:val="00B91ECE"/>
    <w:rsid w:val="00B92478"/>
    <w:rsid w:val="00B943FB"/>
    <w:rsid w:val="00B9685C"/>
    <w:rsid w:val="00B97463"/>
    <w:rsid w:val="00BA13A1"/>
    <w:rsid w:val="00BA25B4"/>
    <w:rsid w:val="00BA46C2"/>
    <w:rsid w:val="00BA4AFE"/>
    <w:rsid w:val="00BA6188"/>
    <w:rsid w:val="00BB09FC"/>
    <w:rsid w:val="00BB0F1A"/>
    <w:rsid w:val="00BB29D2"/>
    <w:rsid w:val="00BB4694"/>
    <w:rsid w:val="00BB48F5"/>
    <w:rsid w:val="00BB608E"/>
    <w:rsid w:val="00BB7567"/>
    <w:rsid w:val="00BC2023"/>
    <w:rsid w:val="00BC23AE"/>
    <w:rsid w:val="00BC361A"/>
    <w:rsid w:val="00BC68C2"/>
    <w:rsid w:val="00BC6A94"/>
    <w:rsid w:val="00BC708F"/>
    <w:rsid w:val="00BD0DBE"/>
    <w:rsid w:val="00BD2045"/>
    <w:rsid w:val="00BD2318"/>
    <w:rsid w:val="00BD3450"/>
    <w:rsid w:val="00BD3D7D"/>
    <w:rsid w:val="00BD49F7"/>
    <w:rsid w:val="00BD61A2"/>
    <w:rsid w:val="00BD6822"/>
    <w:rsid w:val="00BE0F05"/>
    <w:rsid w:val="00BE1387"/>
    <w:rsid w:val="00BE42C7"/>
    <w:rsid w:val="00BE484D"/>
    <w:rsid w:val="00BE4FAD"/>
    <w:rsid w:val="00BE5BE0"/>
    <w:rsid w:val="00BE6674"/>
    <w:rsid w:val="00BE6677"/>
    <w:rsid w:val="00BE716A"/>
    <w:rsid w:val="00BF0843"/>
    <w:rsid w:val="00BF168D"/>
    <w:rsid w:val="00BF20E2"/>
    <w:rsid w:val="00BF2596"/>
    <w:rsid w:val="00BF2CA5"/>
    <w:rsid w:val="00BF6778"/>
    <w:rsid w:val="00BF7010"/>
    <w:rsid w:val="00BF77A5"/>
    <w:rsid w:val="00BF7CE5"/>
    <w:rsid w:val="00C00B11"/>
    <w:rsid w:val="00C020B1"/>
    <w:rsid w:val="00C03B85"/>
    <w:rsid w:val="00C07161"/>
    <w:rsid w:val="00C1174D"/>
    <w:rsid w:val="00C11C16"/>
    <w:rsid w:val="00C151E1"/>
    <w:rsid w:val="00C1600E"/>
    <w:rsid w:val="00C169B3"/>
    <w:rsid w:val="00C175A2"/>
    <w:rsid w:val="00C22784"/>
    <w:rsid w:val="00C24EDE"/>
    <w:rsid w:val="00C2518A"/>
    <w:rsid w:val="00C266C1"/>
    <w:rsid w:val="00C26938"/>
    <w:rsid w:val="00C27E3A"/>
    <w:rsid w:val="00C31B71"/>
    <w:rsid w:val="00C32AC3"/>
    <w:rsid w:val="00C32F48"/>
    <w:rsid w:val="00C33941"/>
    <w:rsid w:val="00C34143"/>
    <w:rsid w:val="00C3505A"/>
    <w:rsid w:val="00C3547E"/>
    <w:rsid w:val="00C3764E"/>
    <w:rsid w:val="00C37665"/>
    <w:rsid w:val="00C37E05"/>
    <w:rsid w:val="00C420A0"/>
    <w:rsid w:val="00C424CA"/>
    <w:rsid w:val="00C4270A"/>
    <w:rsid w:val="00C43282"/>
    <w:rsid w:val="00C45383"/>
    <w:rsid w:val="00C47789"/>
    <w:rsid w:val="00C52072"/>
    <w:rsid w:val="00C52172"/>
    <w:rsid w:val="00C53F67"/>
    <w:rsid w:val="00C542A2"/>
    <w:rsid w:val="00C55BFC"/>
    <w:rsid w:val="00C55D29"/>
    <w:rsid w:val="00C56F2E"/>
    <w:rsid w:val="00C62994"/>
    <w:rsid w:val="00C62B3A"/>
    <w:rsid w:val="00C63671"/>
    <w:rsid w:val="00C65649"/>
    <w:rsid w:val="00C65E11"/>
    <w:rsid w:val="00C67F7C"/>
    <w:rsid w:val="00C70B5C"/>
    <w:rsid w:val="00C740FA"/>
    <w:rsid w:val="00C74352"/>
    <w:rsid w:val="00C77AC4"/>
    <w:rsid w:val="00C8004B"/>
    <w:rsid w:val="00C83DB6"/>
    <w:rsid w:val="00C84FA0"/>
    <w:rsid w:val="00C8692E"/>
    <w:rsid w:val="00C86F6D"/>
    <w:rsid w:val="00C9339A"/>
    <w:rsid w:val="00C93A29"/>
    <w:rsid w:val="00C948D8"/>
    <w:rsid w:val="00C9633C"/>
    <w:rsid w:val="00C97561"/>
    <w:rsid w:val="00CA06BA"/>
    <w:rsid w:val="00CA0BE9"/>
    <w:rsid w:val="00CA138D"/>
    <w:rsid w:val="00CA359D"/>
    <w:rsid w:val="00CA57D9"/>
    <w:rsid w:val="00CA5D29"/>
    <w:rsid w:val="00CA5D67"/>
    <w:rsid w:val="00CA79B4"/>
    <w:rsid w:val="00CA7D22"/>
    <w:rsid w:val="00CB01AE"/>
    <w:rsid w:val="00CB664B"/>
    <w:rsid w:val="00CB684F"/>
    <w:rsid w:val="00CB6D44"/>
    <w:rsid w:val="00CB731B"/>
    <w:rsid w:val="00CC00A9"/>
    <w:rsid w:val="00CC1C40"/>
    <w:rsid w:val="00CC220F"/>
    <w:rsid w:val="00CC2AFE"/>
    <w:rsid w:val="00CC5E30"/>
    <w:rsid w:val="00CC7641"/>
    <w:rsid w:val="00CC7CED"/>
    <w:rsid w:val="00CD4DB0"/>
    <w:rsid w:val="00CD5EA5"/>
    <w:rsid w:val="00CD69E9"/>
    <w:rsid w:val="00CE0B46"/>
    <w:rsid w:val="00CE160B"/>
    <w:rsid w:val="00CE2DD7"/>
    <w:rsid w:val="00CE3F4B"/>
    <w:rsid w:val="00CE4EFB"/>
    <w:rsid w:val="00CE53A9"/>
    <w:rsid w:val="00CE7D19"/>
    <w:rsid w:val="00CF0681"/>
    <w:rsid w:val="00CF09F1"/>
    <w:rsid w:val="00CF2515"/>
    <w:rsid w:val="00CF3E79"/>
    <w:rsid w:val="00CF4338"/>
    <w:rsid w:val="00D00F0E"/>
    <w:rsid w:val="00D06CF8"/>
    <w:rsid w:val="00D06DFB"/>
    <w:rsid w:val="00D074A2"/>
    <w:rsid w:val="00D13794"/>
    <w:rsid w:val="00D14718"/>
    <w:rsid w:val="00D1659A"/>
    <w:rsid w:val="00D16CDF"/>
    <w:rsid w:val="00D20797"/>
    <w:rsid w:val="00D20D39"/>
    <w:rsid w:val="00D218E7"/>
    <w:rsid w:val="00D22A57"/>
    <w:rsid w:val="00D2390D"/>
    <w:rsid w:val="00D24052"/>
    <w:rsid w:val="00D24386"/>
    <w:rsid w:val="00D252AB"/>
    <w:rsid w:val="00D26090"/>
    <w:rsid w:val="00D26CBC"/>
    <w:rsid w:val="00D26E66"/>
    <w:rsid w:val="00D30C5F"/>
    <w:rsid w:val="00D30FCC"/>
    <w:rsid w:val="00D3107D"/>
    <w:rsid w:val="00D314C0"/>
    <w:rsid w:val="00D31575"/>
    <w:rsid w:val="00D318CF"/>
    <w:rsid w:val="00D31A89"/>
    <w:rsid w:val="00D331C2"/>
    <w:rsid w:val="00D34626"/>
    <w:rsid w:val="00D34FB4"/>
    <w:rsid w:val="00D359BA"/>
    <w:rsid w:val="00D37EEA"/>
    <w:rsid w:val="00D41592"/>
    <w:rsid w:val="00D4257A"/>
    <w:rsid w:val="00D429BA"/>
    <w:rsid w:val="00D43CA8"/>
    <w:rsid w:val="00D456A9"/>
    <w:rsid w:val="00D45B08"/>
    <w:rsid w:val="00D50D74"/>
    <w:rsid w:val="00D51F14"/>
    <w:rsid w:val="00D52798"/>
    <w:rsid w:val="00D5468A"/>
    <w:rsid w:val="00D54818"/>
    <w:rsid w:val="00D56400"/>
    <w:rsid w:val="00D606AA"/>
    <w:rsid w:val="00D60BEC"/>
    <w:rsid w:val="00D60E5E"/>
    <w:rsid w:val="00D61745"/>
    <w:rsid w:val="00D62665"/>
    <w:rsid w:val="00D63033"/>
    <w:rsid w:val="00D645AC"/>
    <w:rsid w:val="00D64D61"/>
    <w:rsid w:val="00D6536B"/>
    <w:rsid w:val="00D657D0"/>
    <w:rsid w:val="00D66C71"/>
    <w:rsid w:val="00D66D7C"/>
    <w:rsid w:val="00D70205"/>
    <w:rsid w:val="00D71C74"/>
    <w:rsid w:val="00D71C7A"/>
    <w:rsid w:val="00D734CC"/>
    <w:rsid w:val="00D735EF"/>
    <w:rsid w:val="00D7609F"/>
    <w:rsid w:val="00D81039"/>
    <w:rsid w:val="00D81AA7"/>
    <w:rsid w:val="00D82307"/>
    <w:rsid w:val="00D82E47"/>
    <w:rsid w:val="00D84157"/>
    <w:rsid w:val="00D84A01"/>
    <w:rsid w:val="00D86F5B"/>
    <w:rsid w:val="00D8780D"/>
    <w:rsid w:val="00D9255C"/>
    <w:rsid w:val="00D977EA"/>
    <w:rsid w:val="00DA0B68"/>
    <w:rsid w:val="00DA0E4F"/>
    <w:rsid w:val="00DA1C4C"/>
    <w:rsid w:val="00DA37E0"/>
    <w:rsid w:val="00DA5BBD"/>
    <w:rsid w:val="00DB1444"/>
    <w:rsid w:val="00DB148C"/>
    <w:rsid w:val="00DB1A31"/>
    <w:rsid w:val="00DB1DBF"/>
    <w:rsid w:val="00DB202E"/>
    <w:rsid w:val="00DB3702"/>
    <w:rsid w:val="00DB37E7"/>
    <w:rsid w:val="00DB4F17"/>
    <w:rsid w:val="00DB4F78"/>
    <w:rsid w:val="00DC027B"/>
    <w:rsid w:val="00DC0CDE"/>
    <w:rsid w:val="00DC1A85"/>
    <w:rsid w:val="00DC2591"/>
    <w:rsid w:val="00DC2A0D"/>
    <w:rsid w:val="00DC498E"/>
    <w:rsid w:val="00DC4D72"/>
    <w:rsid w:val="00DC580B"/>
    <w:rsid w:val="00DC6525"/>
    <w:rsid w:val="00DC6653"/>
    <w:rsid w:val="00DC67DB"/>
    <w:rsid w:val="00DC7018"/>
    <w:rsid w:val="00DC7698"/>
    <w:rsid w:val="00DD12B0"/>
    <w:rsid w:val="00DD19E8"/>
    <w:rsid w:val="00DD1FCA"/>
    <w:rsid w:val="00DD2ADA"/>
    <w:rsid w:val="00DD357E"/>
    <w:rsid w:val="00DD5610"/>
    <w:rsid w:val="00DD6AE3"/>
    <w:rsid w:val="00DD6C55"/>
    <w:rsid w:val="00DE211D"/>
    <w:rsid w:val="00DE42F5"/>
    <w:rsid w:val="00DE62B0"/>
    <w:rsid w:val="00DE67C6"/>
    <w:rsid w:val="00DE69CD"/>
    <w:rsid w:val="00DF0C45"/>
    <w:rsid w:val="00DF0CB3"/>
    <w:rsid w:val="00DF25F0"/>
    <w:rsid w:val="00DF3008"/>
    <w:rsid w:val="00DF494C"/>
    <w:rsid w:val="00DF4EFE"/>
    <w:rsid w:val="00DF6B28"/>
    <w:rsid w:val="00DF6D0B"/>
    <w:rsid w:val="00DF756E"/>
    <w:rsid w:val="00DF7E0D"/>
    <w:rsid w:val="00E01483"/>
    <w:rsid w:val="00E02516"/>
    <w:rsid w:val="00E0346C"/>
    <w:rsid w:val="00E04239"/>
    <w:rsid w:val="00E04674"/>
    <w:rsid w:val="00E04751"/>
    <w:rsid w:val="00E05558"/>
    <w:rsid w:val="00E0624D"/>
    <w:rsid w:val="00E07665"/>
    <w:rsid w:val="00E10031"/>
    <w:rsid w:val="00E104D0"/>
    <w:rsid w:val="00E10B57"/>
    <w:rsid w:val="00E112B5"/>
    <w:rsid w:val="00E11581"/>
    <w:rsid w:val="00E11787"/>
    <w:rsid w:val="00E13AE6"/>
    <w:rsid w:val="00E169AD"/>
    <w:rsid w:val="00E179D4"/>
    <w:rsid w:val="00E17FD7"/>
    <w:rsid w:val="00E20023"/>
    <w:rsid w:val="00E218CD"/>
    <w:rsid w:val="00E218EC"/>
    <w:rsid w:val="00E21984"/>
    <w:rsid w:val="00E2202E"/>
    <w:rsid w:val="00E22806"/>
    <w:rsid w:val="00E340B7"/>
    <w:rsid w:val="00E353A3"/>
    <w:rsid w:val="00E35BE1"/>
    <w:rsid w:val="00E35C9D"/>
    <w:rsid w:val="00E360D7"/>
    <w:rsid w:val="00E36B73"/>
    <w:rsid w:val="00E377D6"/>
    <w:rsid w:val="00E37FF7"/>
    <w:rsid w:val="00E4064F"/>
    <w:rsid w:val="00E41ADC"/>
    <w:rsid w:val="00E41D51"/>
    <w:rsid w:val="00E42625"/>
    <w:rsid w:val="00E43C9C"/>
    <w:rsid w:val="00E44365"/>
    <w:rsid w:val="00E4438C"/>
    <w:rsid w:val="00E45646"/>
    <w:rsid w:val="00E457F3"/>
    <w:rsid w:val="00E47699"/>
    <w:rsid w:val="00E47CF4"/>
    <w:rsid w:val="00E50663"/>
    <w:rsid w:val="00E50D6C"/>
    <w:rsid w:val="00E5391F"/>
    <w:rsid w:val="00E55F9B"/>
    <w:rsid w:val="00E564C1"/>
    <w:rsid w:val="00E576F5"/>
    <w:rsid w:val="00E57A6A"/>
    <w:rsid w:val="00E60873"/>
    <w:rsid w:val="00E61391"/>
    <w:rsid w:val="00E621D2"/>
    <w:rsid w:val="00E6267E"/>
    <w:rsid w:val="00E648DC"/>
    <w:rsid w:val="00E65A17"/>
    <w:rsid w:val="00E70DC5"/>
    <w:rsid w:val="00E73BCE"/>
    <w:rsid w:val="00E73CC1"/>
    <w:rsid w:val="00E7419D"/>
    <w:rsid w:val="00E81F96"/>
    <w:rsid w:val="00E829D8"/>
    <w:rsid w:val="00E835DF"/>
    <w:rsid w:val="00E86357"/>
    <w:rsid w:val="00E87284"/>
    <w:rsid w:val="00E877CB"/>
    <w:rsid w:val="00E901FF"/>
    <w:rsid w:val="00E910E3"/>
    <w:rsid w:val="00E92A5C"/>
    <w:rsid w:val="00E940EC"/>
    <w:rsid w:val="00E9474F"/>
    <w:rsid w:val="00E94D92"/>
    <w:rsid w:val="00E94FF7"/>
    <w:rsid w:val="00E97664"/>
    <w:rsid w:val="00EA053E"/>
    <w:rsid w:val="00EA304A"/>
    <w:rsid w:val="00EA4DD8"/>
    <w:rsid w:val="00EA7959"/>
    <w:rsid w:val="00EB2692"/>
    <w:rsid w:val="00EB2AEF"/>
    <w:rsid w:val="00EB2BED"/>
    <w:rsid w:val="00EB3F0C"/>
    <w:rsid w:val="00EB5E50"/>
    <w:rsid w:val="00EB6D53"/>
    <w:rsid w:val="00EB7E71"/>
    <w:rsid w:val="00EC0C76"/>
    <w:rsid w:val="00EC3184"/>
    <w:rsid w:val="00EC4517"/>
    <w:rsid w:val="00EC4A2C"/>
    <w:rsid w:val="00EC6D86"/>
    <w:rsid w:val="00ED123E"/>
    <w:rsid w:val="00ED15DC"/>
    <w:rsid w:val="00ED19F4"/>
    <w:rsid w:val="00ED1F15"/>
    <w:rsid w:val="00ED216B"/>
    <w:rsid w:val="00ED3129"/>
    <w:rsid w:val="00ED3B75"/>
    <w:rsid w:val="00ED4FA3"/>
    <w:rsid w:val="00ED6E2D"/>
    <w:rsid w:val="00EE31A6"/>
    <w:rsid w:val="00EE4A96"/>
    <w:rsid w:val="00EE663D"/>
    <w:rsid w:val="00EE6942"/>
    <w:rsid w:val="00EF0E62"/>
    <w:rsid w:val="00EF2788"/>
    <w:rsid w:val="00EF2FFD"/>
    <w:rsid w:val="00EF3041"/>
    <w:rsid w:val="00EF3103"/>
    <w:rsid w:val="00EF6950"/>
    <w:rsid w:val="00EF6E9B"/>
    <w:rsid w:val="00EF7714"/>
    <w:rsid w:val="00EF77FF"/>
    <w:rsid w:val="00EF7CB0"/>
    <w:rsid w:val="00F023DB"/>
    <w:rsid w:val="00F0272D"/>
    <w:rsid w:val="00F05B6C"/>
    <w:rsid w:val="00F05EF6"/>
    <w:rsid w:val="00F071F4"/>
    <w:rsid w:val="00F109D4"/>
    <w:rsid w:val="00F10A6F"/>
    <w:rsid w:val="00F1379C"/>
    <w:rsid w:val="00F13FBD"/>
    <w:rsid w:val="00F15EE9"/>
    <w:rsid w:val="00F16831"/>
    <w:rsid w:val="00F17080"/>
    <w:rsid w:val="00F170B7"/>
    <w:rsid w:val="00F20BEA"/>
    <w:rsid w:val="00F21805"/>
    <w:rsid w:val="00F22A15"/>
    <w:rsid w:val="00F24736"/>
    <w:rsid w:val="00F25E84"/>
    <w:rsid w:val="00F266AB"/>
    <w:rsid w:val="00F27344"/>
    <w:rsid w:val="00F30E26"/>
    <w:rsid w:val="00F315FF"/>
    <w:rsid w:val="00F32014"/>
    <w:rsid w:val="00F343AA"/>
    <w:rsid w:val="00F34536"/>
    <w:rsid w:val="00F35495"/>
    <w:rsid w:val="00F413FD"/>
    <w:rsid w:val="00F420A6"/>
    <w:rsid w:val="00F4241B"/>
    <w:rsid w:val="00F429B9"/>
    <w:rsid w:val="00F433F6"/>
    <w:rsid w:val="00F46704"/>
    <w:rsid w:val="00F46C17"/>
    <w:rsid w:val="00F47585"/>
    <w:rsid w:val="00F50962"/>
    <w:rsid w:val="00F50BD6"/>
    <w:rsid w:val="00F517DD"/>
    <w:rsid w:val="00F522D4"/>
    <w:rsid w:val="00F52857"/>
    <w:rsid w:val="00F52938"/>
    <w:rsid w:val="00F54C57"/>
    <w:rsid w:val="00F60372"/>
    <w:rsid w:val="00F6059B"/>
    <w:rsid w:val="00F611B6"/>
    <w:rsid w:val="00F6249C"/>
    <w:rsid w:val="00F62AA5"/>
    <w:rsid w:val="00F62EB2"/>
    <w:rsid w:val="00F63253"/>
    <w:rsid w:val="00F656C9"/>
    <w:rsid w:val="00F65CFC"/>
    <w:rsid w:val="00F678B8"/>
    <w:rsid w:val="00F7078E"/>
    <w:rsid w:val="00F7248B"/>
    <w:rsid w:val="00F72ADD"/>
    <w:rsid w:val="00F75BDB"/>
    <w:rsid w:val="00F76512"/>
    <w:rsid w:val="00F77FC7"/>
    <w:rsid w:val="00F81232"/>
    <w:rsid w:val="00F81467"/>
    <w:rsid w:val="00F815D5"/>
    <w:rsid w:val="00F81CC5"/>
    <w:rsid w:val="00F82114"/>
    <w:rsid w:val="00F8291C"/>
    <w:rsid w:val="00F84397"/>
    <w:rsid w:val="00F85E6F"/>
    <w:rsid w:val="00F863AB"/>
    <w:rsid w:val="00F922BD"/>
    <w:rsid w:val="00F92937"/>
    <w:rsid w:val="00F95449"/>
    <w:rsid w:val="00F95AC8"/>
    <w:rsid w:val="00F965D1"/>
    <w:rsid w:val="00FA026F"/>
    <w:rsid w:val="00FA1942"/>
    <w:rsid w:val="00FA1C36"/>
    <w:rsid w:val="00FA305C"/>
    <w:rsid w:val="00FA380A"/>
    <w:rsid w:val="00FA6552"/>
    <w:rsid w:val="00FA7CAF"/>
    <w:rsid w:val="00FB2A4F"/>
    <w:rsid w:val="00FB428E"/>
    <w:rsid w:val="00FB587C"/>
    <w:rsid w:val="00FB66EA"/>
    <w:rsid w:val="00FB681D"/>
    <w:rsid w:val="00FB7585"/>
    <w:rsid w:val="00FC2CB5"/>
    <w:rsid w:val="00FC38D9"/>
    <w:rsid w:val="00FC3942"/>
    <w:rsid w:val="00FC3A8F"/>
    <w:rsid w:val="00FC595E"/>
    <w:rsid w:val="00FC5A0A"/>
    <w:rsid w:val="00FC64F9"/>
    <w:rsid w:val="00FD19F7"/>
    <w:rsid w:val="00FD44F9"/>
    <w:rsid w:val="00FD51D0"/>
    <w:rsid w:val="00FD7402"/>
    <w:rsid w:val="00FE04E4"/>
    <w:rsid w:val="00FE2DD7"/>
    <w:rsid w:val="00FE34DA"/>
    <w:rsid w:val="00FE3B6A"/>
    <w:rsid w:val="00FE4884"/>
    <w:rsid w:val="00FE4D2B"/>
    <w:rsid w:val="00FE658A"/>
    <w:rsid w:val="00FE73F9"/>
    <w:rsid w:val="00FE7ED5"/>
    <w:rsid w:val="00FE7F15"/>
    <w:rsid w:val="00FF1057"/>
    <w:rsid w:val="00FF16D3"/>
    <w:rsid w:val="00FF36C4"/>
    <w:rsid w:val="00FF3E25"/>
    <w:rsid w:val="00FF5FD8"/>
    <w:rsid w:val="00FF7E92"/>
    <w:rsid w:val="03F24435"/>
    <w:rsid w:val="1848DEB4"/>
    <w:rsid w:val="1E2D6574"/>
    <w:rsid w:val="379B9EDD"/>
    <w:rsid w:val="3B3CB47A"/>
    <w:rsid w:val="3ED591B8"/>
    <w:rsid w:val="3FF3A130"/>
    <w:rsid w:val="40062A91"/>
    <w:rsid w:val="44AF4034"/>
    <w:rsid w:val="4962AE7B"/>
    <w:rsid w:val="4AB72521"/>
    <w:rsid w:val="4C045FF4"/>
    <w:rsid w:val="4CBE6840"/>
    <w:rsid w:val="5896550B"/>
    <w:rsid w:val="5DC6C00B"/>
    <w:rsid w:val="7A915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FCC3"/>
  <w15:docId w15:val="{ADA1CC2C-0E5E-4A49-B601-EABEE139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E910E3"/>
    <w:pPr>
      <w:keepNext/>
      <w:keepLines/>
      <w:spacing w:before="240" w:after="200"/>
      <w:outlineLvl w:val="0"/>
    </w:pPr>
    <w:rPr>
      <w:b/>
      <w:bCs/>
      <w14:ligatures w14:val="standardContextual"/>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ullet + line,b,b + line,b1,level 1,Bullet Char1,Bullet Char1 Char Char Char Char,b1 Char Char Char,Bullet Char1 Char Char Char Char Char,Bullet Char1 Char Char Char"/>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dotpoint0">
    <w:name w:val="dot point"/>
    <w:basedOn w:val="Normal"/>
    <w:rsid w:val="0064535A"/>
    <w:pPr>
      <w:numPr>
        <w:numId w:val="17"/>
      </w:numPr>
      <w:tabs>
        <w:tab w:val="clear" w:pos="2268"/>
        <w:tab w:val="num" w:pos="1701"/>
      </w:tabs>
      <w:ind w:left="1701" w:hanging="425"/>
    </w:pPr>
    <w:rPr>
      <w:sz w:val="22"/>
    </w:rPr>
  </w:style>
  <w:style w:type="paragraph" w:customStyle="1" w:styleId="dotpoint2">
    <w:name w:val="dot point 2"/>
    <w:basedOn w:val="Normal"/>
    <w:rsid w:val="0064535A"/>
    <w:pPr>
      <w:numPr>
        <w:ilvl w:val="1"/>
        <w:numId w:val="17"/>
      </w:numPr>
      <w:tabs>
        <w:tab w:val="clear" w:pos="2625"/>
        <w:tab w:val="num" w:pos="2127"/>
      </w:tabs>
      <w:ind w:left="2127" w:hanging="426"/>
    </w:pPr>
    <w:rPr>
      <w:sz w:val="22"/>
    </w:rPr>
  </w:style>
  <w:style w:type="character" w:customStyle="1" w:styleId="Heading1Char">
    <w:name w:val="Heading 1 Char"/>
    <w:basedOn w:val="DefaultParagraphFont"/>
    <w:link w:val="Heading1"/>
    <w:rsid w:val="001737A2"/>
    <w:rPr>
      <w:b/>
      <w:bCs/>
      <w:sz w:val="24"/>
      <w14:ligatures w14:val="standardContextual"/>
    </w:rPr>
  </w:style>
  <w:style w:type="character" w:styleId="Mention">
    <w:name w:val="Mention"/>
    <w:basedOn w:val="DefaultParagraphFont"/>
    <w:uiPriority w:val="99"/>
    <w:unhideWhenUsed/>
    <w:rsid w:val="00CB73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DEFF7CF6A4E4D8BEAE5440FA65730"/>
        <w:category>
          <w:name w:val="General"/>
          <w:gallery w:val="placeholder"/>
        </w:category>
        <w:types>
          <w:type w:val="bbPlcHdr"/>
        </w:types>
        <w:behaviors>
          <w:behavior w:val="content"/>
        </w:behaviors>
        <w:guid w:val="{1883565E-B5D3-4B8C-B1EC-8A428AA72390}"/>
      </w:docPartPr>
      <w:docPartBody>
        <w:p w:rsidR="00BB1C98" w:rsidRDefault="00BB1C98">
          <w:pPr>
            <w:pStyle w:val="39EDEFF7CF6A4E4D8BEAE5440FA65730"/>
          </w:pPr>
          <w:r w:rsidRPr="003C5719">
            <w:rPr>
              <w:rStyle w:val="PlaceholderText"/>
              <w:sz w:val="24"/>
              <w:szCs w:val="24"/>
            </w:rPr>
            <w:t>select a Minister</w:t>
          </w:r>
        </w:p>
      </w:docPartBody>
    </w:docPart>
    <w:docPart>
      <w:docPartPr>
        <w:name w:val="8884B539C9D540DBA2623073B24915A7"/>
        <w:category>
          <w:name w:val="General"/>
          <w:gallery w:val="placeholder"/>
        </w:category>
        <w:types>
          <w:type w:val="bbPlcHdr"/>
        </w:types>
        <w:behaviors>
          <w:behavior w:val="content"/>
        </w:behaviors>
        <w:guid w:val="{40972CD4-8219-422E-8C82-C9B6A4BCD8D5}"/>
      </w:docPartPr>
      <w:docPartBody>
        <w:p w:rsidR="00BB1C98" w:rsidRDefault="00BB1C98">
          <w:pPr>
            <w:pStyle w:val="8884B539C9D540DBA2623073B24915A7"/>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98"/>
    <w:rsid w:val="001076B3"/>
    <w:rsid w:val="0026283A"/>
    <w:rsid w:val="00440376"/>
    <w:rsid w:val="004B125F"/>
    <w:rsid w:val="00606AD4"/>
    <w:rsid w:val="00745795"/>
    <w:rsid w:val="007A5AFC"/>
    <w:rsid w:val="00893234"/>
    <w:rsid w:val="008E33D1"/>
    <w:rsid w:val="009079B7"/>
    <w:rsid w:val="00956F4C"/>
    <w:rsid w:val="009A25FD"/>
    <w:rsid w:val="009B65D9"/>
    <w:rsid w:val="00A5444C"/>
    <w:rsid w:val="00B93D30"/>
    <w:rsid w:val="00BB1C98"/>
    <w:rsid w:val="00BE4FAD"/>
    <w:rsid w:val="00C010D8"/>
    <w:rsid w:val="00C93E1A"/>
    <w:rsid w:val="00CC00A9"/>
    <w:rsid w:val="00D850F7"/>
    <w:rsid w:val="00DF041B"/>
    <w:rsid w:val="00F529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DEFF7CF6A4E4D8BEAE5440FA65730">
    <w:name w:val="39EDEFF7CF6A4E4D8BEAE5440FA65730"/>
  </w:style>
  <w:style w:type="paragraph" w:customStyle="1" w:styleId="8884B539C9D540DBA2623073B24915A7">
    <w:name w:val="8884B539C9D540DBA2623073B2491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S574FYTY5PW6-969949929-2116</_dlc_DocId>
    <_dlc_DocIdUrl xmlns="fe39d773-a83d-4623-ae74-f25711a76616">
      <Url>https://austreasury.sharepoint.com/sites/leg-cord-function/_layouts/15/DocIdRedir.aspx?ID=S574FYTY5PW6-969949929-2116</Url>
      <Description>S574FYTY5PW6-969949929-2116</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44</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lcf76f155ced4ddcb4097134ff3c332f xmlns="30b813c2-29e2-43aa-bac2-1ed67b791ce7" xsi:nil="true"/>
    <k5702ebc2d804f54815653409837d9c5 xmlns="30b813c2-29e2-43aa-bac2-1ed67b791ce7">Legislation Coordination|58c6712e-e847-48f4-81ab-b25e2bbd3986</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Logistics</TermName>
          <TermId xmlns="http://schemas.microsoft.com/office/infopath/2007/PartnerControls">677ec322-fd8b-465a-9649-f3f8f43a85c1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1dadd02a21796adf5f95e981a54a9446">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7333c75b25f4fe63b9948aa3c7ec179b"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http://purl.org/dc/elements/1.1/"/>
    <ds:schemaRef ds:uri="42f4cb5a-261c-4c59-b165-7132460581a3"/>
    <ds:schemaRef ds:uri="http://purl.org/dc/dcmitype/"/>
    <ds:schemaRef ds:uri="http://schemas.microsoft.com/office/infopath/2007/PartnerControls"/>
    <ds:schemaRef ds:uri="http://schemas.openxmlformats.org/package/2006/metadata/core-properties"/>
    <ds:schemaRef ds:uri="30b813c2-29e2-43aa-bac2-1ed67b791ce7"/>
    <ds:schemaRef ds:uri="http://purl.org/dc/terms/"/>
    <ds:schemaRef ds:uri="ff38c824-6e29-4496-8487-69f397e7ed29"/>
    <ds:schemaRef ds:uri="fe39d773-a83d-4623-ae74-f25711a7661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CDA825AA-2123-4C7D-9149-FAF1D0D1F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148</TotalTime>
  <Pages>7</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241128-ES-TSY_47_0947-HAFF Round 2</vt:lpstr>
    </vt:vector>
  </TitlesOfParts>
  <Company>Treasury</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241212-ES-TSY_47_0947-HAFF Round 2</dc:title>
  <dc:subject/>
  <dc:creator>Chandra, Sheenal</dc:creator>
  <cp:keywords/>
  <dc:description/>
  <cp:lastModifiedBy>Cuming, Anita</cp:lastModifiedBy>
  <cp:revision>129</cp:revision>
  <cp:lastPrinted>2024-12-12T08:28:00Z</cp:lastPrinted>
  <dcterms:created xsi:type="dcterms:W3CDTF">2024-12-12T17:02:00Z</dcterms:created>
  <dcterms:modified xsi:type="dcterms:W3CDTF">2024-12-18T02:08:00Z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0c7a3ad7-5050-4e61-9a03-9b8f1f62b720</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Activity">
    <vt:lpwstr>35;#Legislation management|cb630f2f-9155-496b-ad0f-d960eb1bf90c</vt:lpwstr>
  </property>
  <property fmtid="{D5CDD505-2E9C-101B-9397-08002B2CF9AE}" pid="14" name="LMDivision">
    <vt:lpwstr>192;#Law Division|c87d7775-c728-41d6-8e6e-a7a01e376879</vt:lpwstr>
  </property>
  <property fmtid="{D5CDD505-2E9C-101B-9397-08002B2CF9AE}" pid="15" name="_docset_NoMedatataSyncRequired">
    <vt:lpwstr>False</vt:lpwstr>
  </property>
  <property fmtid="{D5CDD505-2E9C-101B-9397-08002B2CF9AE}" pid="16" name="e4fe7dcdd1c0411bbf19a4de3665191f">
    <vt:lpwstr>Legislation management|cb630f2f-9155-496b-ad0f-d960eb1bf90c</vt:lpwstr>
  </property>
  <property fmtid="{D5CDD505-2E9C-101B-9397-08002B2CF9AE}" pid="17" name="gfba5f33532c49208d2320ce38cc3c2b">
    <vt:lpwstr>Legislation Coordination|58c6712e-e847-48f4-81ab-b25e2bbd3986</vt:lpwstr>
  </property>
  <property fmtid="{D5CDD505-2E9C-101B-9397-08002B2CF9AE}" pid="18" name="Activity">
    <vt:lpwstr>35;#Legislation management|cb630f2f-9155-496b-ad0f-d960eb1bf90c</vt:lpwstr>
  </property>
  <property fmtid="{D5CDD505-2E9C-101B-9397-08002B2CF9AE}" pid="19" name="Topic">
    <vt:lpwstr>36;#Legislation Coordination|58c6712e-e847-48f4-81ab-b25e2bbd3986</vt:lpwstr>
  </property>
  <property fmtid="{D5CDD505-2E9C-101B-9397-08002B2CF9AE}" pid="20" name="Document_x0020_Type">
    <vt:lpwstr>44;#Logistics|677ec322-fd8b-465a-9649-f3f8f43a85c1</vt:lpwstr>
  </property>
  <property fmtid="{D5CDD505-2E9C-101B-9397-08002B2CF9AE}" pid="21" name="Document Type">
    <vt:lpwstr>44;#Logistics|677ec322-fd8b-465a-9649-f3f8f43a85c1</vt:lpwstr>
  </property>
  <property fmtid="{D5CDD505-2E9C-101B-9397-08002B2CF9AE}" pid="22" name="MSIP_Label_4f932d64-9ab1-4d9b-81d2-a3a8b82dd47d_Enabled">
    <vt:lpwstr>true</vt:lpwstr>
  </property>
  <property fmtid="{D5CDD505-2E9C-101B-9397-08002B2CF9AE}" pid="23" name="MSIP_Label_4f932d64-9ab1-4d9b-81d2-a3a8b82dd47d_SetDate">
    <vt:lpwstr>2024-12-18T02:08:00Z</vt:lpwstr>
  </property>
  <property fmtid="{D5CDD505-2E9C-101B-9397-08002B2CF9AE}" pid="24" name="MSIP_Label_4f932d64-9ab1-4d9b-81d2-a3a8b82dd47d_Method">
    <vt:lpwstr>Privileged</vt:lpwstr>
  </property>
  <property fmtid="{D5CDD505-2E9C-101B-9397-08002B2CF9AE}" pid="25" name="MSIP_Label_4f932d64-9ab1-4d9b-81d2-a3a8b82dd47d_Name">
    <vt:lpwstr>OFFICIAL No Visual Marking</vt:lpwstr>
  </property>
  <property fmtid="{D5CDD505-2E9C-101B-9397-08002B2CF9AE}" pid="26" name="MSIP_Label_4f932d64-9ab1-4d9b-81d2-a3a8b82dd47d_SiteId">
    <vt:lpwstr>214f1646-2021-47cc-8397-e3d3a7ba7d9d</vt:lpwstr>
  </property>
  <property fmtid="{D5CDD505-2E9C-101B-9397-08002B2CF9AE}" pid="27" name="MSIP_Label_4f932d64-9ab1-4d9b-81d2-a3a8b82dd47d_ActionId">
    <vt:lpwstr>5942a198-3bd7-4b7c-9285-f4f7001e73ed</vt:lpwstr>
  </property>
  <property fmtid="{D5CDD505-2E9C-101B-9397-08002B2CF9AE}" pid="28" name="MSIP_Label_4f932d64-9ab1-4d9b-81d2-a3a8b82dd47d_ContentBits">
    <vt:lpwstr>0</vt:lpwstr>
  </property>
</Properties>
</file>