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355B" w14:textId="7777777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</w:p>
    <w:p w14:paraId="0EE897C3" w14:textId="2B135D13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003C5719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5BB166B8DC7B4D0FA8E4C28E1733052E"/>
          </w:placeholder>
          <w:dropDownList>
            <w:listItem w:displayText="the Treasurer" w:value="the Treasurer"/>
            <w:listItem w:displayText="the Minister for Agriculture, Fisheries and Forestry and Minister for Small Business" w:value="the Minister for Agriculture, Fisheries and Forestry and Minister for Small Business"/>
            <w:listItem w:displayText="the Minister for Housing and Minister for Homelessness" w:value="the Minister for Housing and Minister for Homeless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EndPr>
          <w:rPr>
            <w:rStyle w:val="DefaultParagraphFont"/>
            <w:color w:val="auto"/>
            <w:sz w:val="28"/>
            <w:szCs w:val="20"/>
          </w:rPr>
        </w:sdtEndPr>
        <w:sdtContent>
          <w:r w:rsidR="00F213C7">
            <w:rPr>
              <w:rStyle w:val="DefaultChar"/>
            </w:rPr>
            <w:t>the Assistant Treasurer and Minister for Financial Services</w:t>
          </w:r>
        </w:sdtContent>
      </w:sdt>
    </w:p>
    <w:p w14:paraId="0C12D40F" w14:textId="3B132399" w:rsidR="00F109D4" w:rsidRPr="003C5719" w:rsidRDefault="00F213C7" w:rsidP="004A27A8">
      <w:pPr>
        <w:spacing w:before="240" w:after="240"/>
        <w:jc w:val="center"/>
        <w:rPr>
          <w:i/>
        </w:rPr>
      </w:pPr>
      <w:r>
        <w:rPr>
          <w:i/>
        </w:rPr>
        <w:t>Currency Act 1965</w:t>
      </w:r>
    </w:p>
    <w:p w14:paraId="495DEA1D" w14:textId="28297497" w:rsidR="00F109D4" w:rsidRPr="003C5719" w:rsidRDefault="001611E0" w:rsidP="004A27A8">
      <w:pPr>
        <w:tabs>
          <w:tab w:val="left" w:pos="1418"/>
        </w:tabs>
        <w:spacing w:before="0" w:after="240"/>
        <w:jc w:val="center"/>
        <w:rPr>
          <w:i/>
        </w:rPr>
      </w:pPr>
      <w:r w:rsidRPr="001611E0">
        <w:rPr>
          <w:i/>
        </w:rPr>
        <w:t>Currency (Australian Coins) Amendment (Technical Amendments) Determination 2024</w:t>
      </w:r>
    </w:p>
    <w:p w14:paraId="3C3051D4" w14:textId="77777777" w:rsidR="003059C8" w:rsidRPr="00401F72" w:rsidRDefault="003059C8" w:rsidP="0024002A">
      <w:pPr>
        <w:spacing w:before="240" w:after="160" w:line="259" w:lineRule="auto"/>
        <w:rPr>
          <w:rFonts w:eastAsia="Calibri"/>
          <w:lang w:eastAsia="en-US"/>
        </w:rPr>
      </w:pPr>
      <w:r w:rsidRPr="00401F72">
        <w:rPr>
          <w:rFonts w:eastAsia="Calibri"/>
          <w:lang w:eastAsia="en-US"/>
        </w:rPr>
        <w:t xml:space="preserve">Subsection 13(2) and section 13A of the </w:t>
      </w:r>
      <w:r w:rsidRPr="00401F72">
        <w:rPr>
          <w:rFonts w:eastAsia="Calibri"/>
          <w:i/>
          <w:lang w:eastAsia="en-US"/>
        </w:rPr>
        <w:t>Currency Act 1965</w:t>
      </w:r>
      <w:r w:rsidRPr="00401F72">
        <w:rPr>
          <w:rFonts w:eastAsia="Calibri"/>
          <w:lang w:eastAsia="en-US"/>
        </w:rPr>
        <w:t xml:space="preserve"> (the Act) provide that the Treasurer may, by legislative instrument, determine details of Australian coin characteristics including denomination, standard composition, standard weight, allowable variation from standard weight, design and dimensions.</w:t>
      </w:r>
    </w:p>
    <w:p w14:paraId="24BFFCA5" w14:textId="707250C6" w:rsidR="003059C8" w:rsidRPr="00401F72" w:rsidRDefault="003059C8" w:rsidP="0024002A">
      <w:pPr>
        <w:spacing w:before="240" w:after="160" w:line="259" w:lineRule="auto"/>
        <w:rPr>
          <w:rFonts w:eastAsia="Calibri"/>
          <w:lang w:eastAsia="en-US"/>
        </w:rPr>
      </w:pPr>
      <w:r w:rsidRPr="00401F72">
        <w:rPr>
          <w:rFonts w:eastAsia="Calibri"/>
          <w:lang w:eastAsia="en-US"/>
        </w:rPr>
        <w:t xml:space="preserve">The purpose of this legislative instrument is to </w:t>
      </w:r>
      <w:r w:rsidR="001E4AF1" w:rsidRPr="00FE38FA">
        <w:rPr>
          <w:rFonts w:eastAsia="Calibri"/>
          <w:lang w:eastAsia="en-US"/>
        </w:rPr>
        <w:t>make technical amendments to ensure</w:t>
      </w:r>
      <w:r w:rsidRPr="00401F72">
        <w:rPr>
          <w:rFonts w:eastAsia="Calibri"/>
          <w:lang w:eastAsia="en-US"/>
        </w:rPr>
        <w:t xml:space="preserve"> the </w:t>
      </w:r>
      <w:r w:rsidR="001E4AF1" w:rsidRPr="00CB0E70">
        <w:rPr>
          <w:rFonts w:eastAsia="Calibri"/>
          <w:i/>
          <w:iCs/>
          <w:lang w:eastAsia="en-US"/>
        </w:rPr>
        <w:t>Currency (Australian Coins) Amendment (2024</w:t>
      </w:r>
      <w:r w:rsidRPr="00CB0E70">
        <w:rPr>
          <w:rFonts w:eastAsia="Calibri"/>
          <w:i/>
          <w:lang w:eastAsia="en-US"/>
        </w:rPr>
        <w:t xml:space="preserve"> Perth Mint</w:t>
      </w:r>
      <w:r w:rsidR="001E4AF1" w:rsidRPr="00CB0E70">
        <w:rPr>
          <w:rFonts w:eastAsia="Calibri"/>
          <w:i/>
          <w:iCs/>
          <w:lang w:eastAsia="en-US"/>
        </w:rPr>
        <w:t xml:space="preserve"> No. 7) Determination 2024 </w:t>
      </w:r>
      <w:r w:rsidR="007333F3">
        <w:rPr>
          <w:rFonts w:eastAsia="Calibri"/>
          <w:lang w:eastAsia="en-US"/>
        </w:rPr>
        <w:t>(</w:t>
      </w:r>
      <w:r w:rsidR="007E021B">
        <w:rPr>
          <w:rFonts w:eastAsia="Calibri"/>
          <w:lang w:eastAsia="en-US"/>
        </w:rPr>
        <w:t>the Perth Mint</w:t>
      </w:r>
      <w:r w:rsidR="0054001E">
        <w:rPr>
          <w:rFonts w:eastAsia="Calibri"/>
          <w:lang w:eastAsia="en-US"/>
        </w:rPr>
        <w:t xml:space="preserve"> Determination) </w:t>
      </w:r>
      <w:r w:rsidR="007D7E49">
        <w:rPr>
          <w:rFonts w:eastAsia="Calibri"/>
          <w:lang w:eastAsia="en-US"/>
        </w:rPr>
        <w:t xml:space="preserve">operates </w:t>
      </w:r>
      <w:r w:rsidR="001E4AF1" w:rsidRPr="00FE38FA">
        <w:rPr>
          <w:rFonts w:eastAsia="Calibri"/>
          <w:lang w:eastAsia="en-US"/>
        </w:rPr>
        <w:t>as intended</w:t>
      </w:r>
      <w:r w:rsidRPr="00401F72">
        <w:rPr>
          <w:rFonts w:eastAsia="Calibri"/>
          <w:lang w:eastAsia="en-US"/>
        </w:rPr>
        <w:t>.</w:t>
      </w:r>
    </w:p>
    <w:p w14:paraId="4827038B" w14:textId="77777777" w:rsidR="00F305BE" w:rsidRPr="00401F72" w:rsidRDefault="00F305BE" w:rsidP="00F305BE">
      <w:pPr>
        <w:spacing w:line="259" w:lineRule="auto"/>
        <w:rPr>
          <w:rFonts w:eastAsia="Calibri"/>
          <w:lang w:eastAsia="en-US"/>
        </w:rPr>
      </w:pPr>
      <w:r w:rsidRPr="00401F72">
        <w:rPr>
          <w:rFonts w:eastAsia="Calibri"/>
          <w:lang w:eastAsia="en-US"/>
        </w:rPr>
        <w:t xml:space="preserve">The Treasurer may authorise the making and issuing of coins specified, or taken to be specified, in the Schedule to the </w:t>
      </w:r>
      <w:r w:rsidRPr="00401F72">
        <w:rPr>
          <w:rFonts w:eastAsia="Calibri"/>
          <w:i/>
          <w:lang w:eastAsia="en-US"/>
        </w:rPr>
        <w:t>Currency Act 1965</w:t>
      </w:r>
      <w:r w:rsidRPr="00401F72">
        <w:rPr>
          <w:rFonts w:eastAsia="Calibri"/>
          <w:lang w:eastAsia="en-US"/>
        </w:rPr>
        <w:t xml:space="preserve">.  A payment of money is a legal tender if it is made in coins that are made and issued under the </w:t>
      </w:r>
      <w:r w:rsidRPr="00401F72">
        <w:rPr>
          <w:rFonts w:eastAsia="Calibri"/>
          <w:i/>
          <w:lang w:eastAsia="en-US"/>
        </w:rPr>
        <w:t>Currency Act 1965</w:t>
      </w:r>
      <w:r w:rsidRPr="00401F72">
        <w:rPr>
          <w:rFonts w:eastAsia="Calibri"/>
          <w:lang w:eastAsia="en-US"/>
        </w:rPr>
        <w:t xml:space="preserve">.  Through the issue of a currency determination, the Treasurer can add, remove and alter the coin characteristics specified, or taken to be specified, in the Schedule to the </w:t>
      </w:r>
      <w:r w:rsidRPr="00401F72">
        <w:rPr>
          <w:rFonts w:eastAsia="Calibri"/>
          <w:i/>
          <w:lang w:eastAsia="en-US"/>
        </w:rPr>
        <w:t>Currency Act 1965</w:t>
      </w:r>
      <w:r w:rsidRPr="00401F72">
        <w:rPr>
          <w:rFonts w:eastAsia="Calibri"/>
          <w:lang w:eastAsia="en-US"/>
        </w:rPr>
        <w:t>.</w:t>
      </w:r>
    </w:p>
    <w:p w14:paraId="1BBFD453" w14:textId="77777777" w:rsidR="00F305BE" w:rsidRPr="00401F72" w:rsidRDefault="00F305BE" w:rsidP="00F305BE">
      <w:pPr>
        <w:spacing w:line="259" w:lineRule="auto"/>
        <w:rPr>
          <w:rFonts w:eastAsia="Calibri"/>
          <w:lang w:eastAsia="en-US"/>
        </w:rPr>
      </w:pPr>
      <w:r w:rsidRPr="00401F72">
        <w:rPr>
          <w:rFonts w:eastAsia="Calibri"/>
          <w:lang w:eastAsia="en-US"/>
        </w:rPr>
        <w:t xml:space="preserve">In accordance with section 19 of the </w:t>
      </w:r>
      <w:r w:rsidRPr="00401F72">
        <w:rPr>
          <w:rFonts w:eastAsia="Calibri"/>
          <w:i/>
          <w:lang w:eastAsia="en-US"/>
        </w:rPr>
        <w:t>Acts Interpretation Act 1901</w:t>
      </w:r>
      <w:r w:rsidRPr="00401F72">
        <w:rPr>
          <w:rFonts w:eastAsia="Calibri"/>
          <w:lang w:eastAsia="en-US"/>
        </w:rPr>
        <w:t>, any Minister in the Treasury portfolio may, by legislative instrument, determine details of Australian coin characteristics.</w:t>
      </w:r>
    </w:p>
    <w:p w14:paraId="29412C0D" w14:textId="77777777" w:rsidR="00F305BE" w:rsidRPr="00401F72" w:rsidRDefault="00F305BE" w:rsidP="00F305BE">
      <w:pPr>
        <w:spacing w:line="259" w:lineRule="auto"/>
        <w:rPr>
          <w:rFonts w:eastAsia="Calibri"/>
          <w:u w:val="single"/>
          <w:lang w:eastAsia="en-US"/>
        </w:rPr>
      </w:pPr>
      <w:r w:rsidRPr="00401F72">
        <w:rPr>
          <w:rFonts w:eastAsia="Calibri"/>
          <w:lang w:eastAsia="en-US"/>
        </w:rPr>
        <w:t xml:space="preserve">Details of the legislative instrument are set out in the </w:t>
      </w:r>
      <w:r w:rsidRPr="00401F72">
        <w:rPr>
          <w:rFonts w:eastAsia="Calibri"/>
          <w:u w:val="single"/>
          <w:lang w:eastAsia="en-US"/>
        </w:rPr>
        <w:t>Attachment</w:t>
      </w:r>
      <w:r w:rsidRPr="00826285">
        <w:rPr>
          <w:rFonts w:eastAsia="Calibri"/>
          <w:lang w:eastAsia="en-US"/>
        </w:rPr>
        <w:t>.</w:t>
      </w:r>
    </w:p>
    <w:p w14:paraId="4443B588" w14:textId="2E3416D0" w:rsidR="00F305BE" w:rsidRPr="00E0666D" w:rsidRDefault="003E0A51" w:rsidP="00F305BE">
      <w:pPr>
        <w:spacing w:line="259" w:lineRule="auto"/>
        <w:rPr>
          <w:rFonts w:eastAsia="Calibri"/>
          <w:lang w:eastAsia="en-US"/>
        </w:rPr>
      </w:pPr>
      <w:r w:rsidRPr="00F37B04">
        <w:rPr>
          <w:rFonts w:eastAsia="Calibri"/>
          <w:lang w:eastAsia="en-US"/>
        </w:rPr>
        <w:t xml:space="preserve">Sections 1 to 4 of the </w:t>
      </w:r>
      <w:r w:rsidR="0077769D">
        <w:rPr>
          <w:rFonts w:eastAsia="Calibri"/>
          <w:lang w:eastAsia="en-US"/>
        </w:rPr>
        <w:t>l</w:t>
      </w:r>
      <w:r w:rsidRPr="00F37B04">
        <w:rPr>
          <w:rFonts w:eastAsia="Calibri"/>
          <w:lang w:eastAsia="en-US"/>
        </w:rPr>
        <w:t>egislative instrument</w:t>
      </w:r>
      <w:r w:rsidR="00F305BE" w:rsidRPr="00F37B04">
        <w:rPr>
          <w:rFonts w:eastAsia="Calibri"/>
          <w:lang w:eastAsia="en-US"/>
        </w:rPr>
        <w:t xml:space="preserve"> commenced on the day after it was registered on the Federal Register of Legislation.</w:t>
      </w:r>
      <w:r w:rsidR="004840D8" w:rsidRPr="00F37B04">
        <w:rPr>
          <w:rFonts w:eastAsia="Calibri"/>
          <w:lang w:eastAsia="en-US"/>
        </w:rPr>
        <w:t xml:space="preserve"> Schedule 1 </w:t>
      </w:r>
      <w:r w:rsidR="003E5001">
        <w:rPr>
          <w:rFonts w:eastAsia="Calibri"/>
          <w:lang w:eastAsia="en-US"/>
        </w:rPr>
        <w:t>to</w:t>
      </w:r>
      <w:r w:rsidR="004840D8" w:rsidRPr="00F37B04">
        <w:rPr>
          <w:rFonts w:eastAsia="Calibri"/>
          <w:lang w:eastAsia="en-US"/>
        </w:rPr>
        <w:t xml:space="preserve"> the legislative instrument commence</w:t>
      </w:r>
      <w:r w:rsidR="00104531">
        <w:rPr>
          <w:rFonts w:eastAsia="Calibri"/>
          <w:lang w:eastAsia="en-US"/>
        </w:rPr>
        <w:t>s</w:t>
      </w:r>
      <w:r w:rsidR="004840D8" w:rsidRPr="00F37B04">
        <w:rPr>
          <w:rFonts w:eastAsia="Calibri"/>
          <w:lang w:eastAsia="en-US"/>
        </w:rPr>
        <w:t xml:space="preserve"> immediately before the </w:t>
      </w:r>
      <w:r w:rsidR="00F51473">
        <w:rPr>
          <w:rFonts w:eastAsia="Calibri"/>
          <w:lang w:eastAsia="en-US"/>
        </w:rPr>
        <w:t>Perth Mint</w:t>
      </w:r>
      <w:r w:rsidR="0054001E" w:rsidRPr="00F37B04">
        <w:rPr>
          <w:rFonts w:eastAsia="Calibri"/>
          <w:lang w:eastAsia="en-US"/>
        </w:rPr>
        <w:t xml:space="preserve"> Determination</w:t>
      </w:r>
      <w:r w:rsidR="0054001E" w:rsidRPr="00F37B04">
        <w:rPr>
          <w:rFonts w:eastAsia="Calibri"/>
          <w:i/>
          <w:iCs/>
          <w:lang w:eastAsia="en-US"/>
        </w:rPr>
        <w:t xml:space="preserve"> </w:t>
      </w:r>
      <w:r w:rsidR="00E0666D" w:rsidRPr="00F37B04">
        <w:rPr>
          <w:rFonts w:eastAsia="Calibri"/>
          <w:lang w:eastAsia="en-US"/>
        </w:rPr>
        <w:t>commence</w:t>
      </w:r>
      <w:r w:rsidR="00104531">
        <w:rPr>
          <w:rFonts w:eastAsia="Calibri"/>
          <w:lang w:eastAsia="en-US"/>
        </w:rPr>
        <w:t>s</w:t>
      </w:r>
      <w:r w:rsidR="00F37B04" w:rsidRPr="00F37B04">
        <w:rPr>
          <w:rFonts w:eastAsia="Calibri"/>
          <w:lang w:eastAsia="en-US"/>
        </w:rPr>
        <w:t>. The P</w:t>
      </w:r>
      <w:r w:rsidR="007E021B">
        <w:rPr>
          <w:rFonts w:eastAsia="Calibri"/>
          <w:lang w:eastAsia="en-US"/>
        </w:rPr>
        <w:t>erth Mint</w:t>
      </w:r>
      <w:r w:rsidR="00F37B04" w:rsidRPr="00F37B04">
        <w:rPr>
          <w:rFonts w:eastAsia="Calibri"/>
          <w:lang w:eastAsia="en-US"/>
        </w:rPr>
        <w:t xml:space="preserve"> Determination commence</w:t>
      </w:r>
      <w:r w:rsidR="003B3262">
        <w:rPr>
          <w:rFonts w:eastAsia="Calibri"/>
          <w:lang w:eastAsia="en-US"/>
        </w:rPr>
        <w:t>s</w:t>
      </w:r>
      <w:r w:rsidR="00F37B04" w:rsidRPr="00F37B04">
        <w:rPr>
          <w:rFonts w:eastAsia="Calibri"/>
          <w:lang w:eastAsia="en-US"/>
        </w:rPr>
        <w:t xml:space="preserve"> on the day after it </w:t>
      </w:r>
      <w:r w:rsidR="003B3262">
        <w:rPr>
          <w:rFonts w:eastAsia="Calibri"/>
          <w:lang w:eastAsia="en-US"/>
        </w:rPr>
        <w:t xml:space="preserve">is </w:t>
      </w:r>
      <w:r w:rsidR="00F37B04" w:rsidRPr="00F37B04">
        <w:rPr>
          <w:rFonts w:eastAsia="Calibri"/>
          <w:lang w:eastAsia="en-US"/>
        </w:rPr>
        <w:t>registered on the Federal Register of Legislation.</w:t>
      </w:r>
    </w:p>
    <w:p w14:paraId="7497EED5" w14:textId="77777777" w:rsidR="00F305BE" w:rsidRPr="00401F72" w:rsidRDefault="00F305BE" w:rsidP="00F305BE">
      <w:pPr>
        <w:spacing w:line="259" w:lineRule="auto"/>
        <w:rPr>
          <w:rFonts w:eastAsia="Calibri"/>
          <w:lang w:eastAsia="en-US"/>
        </w:rPr>
      </w:pPr>
      <w:r w:rsidRPr="00401F72">
        <w:rPr>
          <w:rFonts w:eastAsia="Calibri"/>
          <w:lang w:eastAsia="en-US"/>
        </w:rPr>
        <w:t xml:space="preserve">The legislative instrument is subject to disallowance under section 42 of the </w:t>
      </w:r>
      <w:bookmarkStart w:id="0" w:name="OLE_LINK8"/>
      <w:r w:rsidRPr="00401F72">
        <w:rPr>
          <w:rFonts w:eastAsia="Calibri"/>
          <w:i/>
          <w:lang w:eastAsia="en-US"/>
        </w:rPr>
        <w:t>Legislation Act 2003</w:t>
      </w:r>
      <w:bookmarkEnd w:id="0"/>
      <w:r w:rsidRPr="00401F72">
        <w:rPr>
          <w:rFonts w:eastAsia="Calibri"/>
          <w:lang w:eastAsia="en-US"/>
        </w:rPr>
        <w:t>.</w:t>
      </w:r>
    </w:p>
    <w:p w14:paraId="03B245B6" w14:textId="77777777" w:rsidR="00F305BE" w:rsidRPr="00401F72" w:rsidRDefault="00F305BE" w:rsidP="00F305BE">
      <w:pPr>
        <w:spacing w:line="259" w:lineRule="auto"/>
        <w:rPr>
          <w:rFonts w:eastAsia="Calibri"/>
          <w:lang w:eastAsia="en-US"/>
        </w:rPr>
      </w:pPr>
      <w:r w:rsidRPr="00401F72">
        <w:rPr>
          <w:rFonts w:eastAsia="Calibri"/>
          <w:lang w:eastAsia="en-US"/>
        </w:rPr>
        <w:t xml:space="preserve">The Determination is a legislative instrument for the purposes of the </w:t>
      </w:r>
      <w:r w:rsidRPr="00401F72">
        <w:rPr>
          <w:rFonts w:eastAsia="Calibri"/>
          <w:i/>
          <w:iCs/>
          <w:lang w:eastAsia="en-US"/>
        </w:rPr>
        <w:t>Legislation Act 2003</w:t>
      </w:r>
      <w:r w:rsidRPr="00401F72">
        <w:rPr>
          <w:rFonts w:eastAsia="Calibri"/>
          <w:lang w:eastAsia="en-US"/>
        </w:rPr>
        <w:t xml:space="preserve">. The Determination is not subject to sunsetting under the </w:t>
      </w:r>
      <w:r w:rsidRPr="00401F72">
        <w:rPr>
          <w:rFonts w:eastAsia="Calibri"/>
          <w:i/>
          <w:iCs/>
          <w:lang w:eastAsia="en-US"/>
        </w:rPr>
        <w:t>Legislation Act 2003</w:t>
      </w:r>
      <w:r w:rsidRPr="00401F72">
        <w:rPr>
          <w:rFonts w:eastAsia="Calibri"/>
          <w:lang w:eastAsia="en-US"/>
        </w:rPr>
        <w:t xml:space="preserve"> on the grounds that the instrument ensures economic certainty (see item 20 of the table in section 12 of the </w:t>
      </w:r>
      <w:r w:rsidRPr="00401F72">
        <w:rPr>
          <w:rFonts w:eastAsia="Calibri"/>
          <w:i/>
          <w:iCs/>
          <w:lang w:eastAsia="en-US"/>
        </w:rPr>
        <w:t>Legislation (Exemptions and Other Matters) Regulation 2015</w:t>
      </w:r>
      <w:r w:rsidRPr="00401F72">
        <w:rPr>
          <w:rFonts w:eastAsia="Calibri"/>
          <w:lang w:eastAsia="en-US"/>
        </w:rPr>
        <w:t xml:space="preserve">). The instrument’s operation is integral in ensuring that the currency produced by the Mints becomes, and remains, legal tender unless or until returned to a mint to be taken out of circulation in accordance with the </w:t>
      </w:r>
      <w:r w:rsidRPr="00401F72">
        <w:rPr>
          <w:rFonts w:eastAsia="Calibri"/>
          <w:i/>
          <w:iCs/>
          <w:lang w:eastAsia="en-US"/>
        </w:rPr>
        <w:t>Currency Act 1965</w:t>
      </w:r>
      <w:r w:rsidRPr="00401F72">
        <w:rPr>
          <w:rFonts w:eastAsia="Calibri"/>
          <w:lang w:eastAsia="en-US"/>
        </w:rPr>
        <w:t>.</w:t>
      </w:r>
    </w:p>
    <w:p w14:paraId="692912FC" w14:textId="77777777" w:rsidR="00F305BE" w:rsidRPr="00401F72" w:rsidRDefault="00F305BE" w:rsidP="00943B79">
      <w:pPr>
        <w:keepNext/>
        <w:keepLines/>
        <w:spacing w:line="259" w:lineRule="auto"/>
        <w:rPr>
          <w:rFonts w:eastAsia="Calibri"/>
          <w:b/>
          <w:i/>
          <w:lang w:eastAsia="en-US"/>
        </w:rPr>
      </w:pPr>
      <w:r w:rsidRPr="00401F72">
        <w:rPr>
          <w:rFonts w:eastAsia="Calibri"/>
          <w:b/>
          <w:lang w:eastAsia="en-US"/>
        </w:rPr>
        <w:t>Consultation</w:t>
      </w:r>
    </w:p>
    <w:p w14:paraId="31C0AFBB" w14:textId="70A51269" w:rsidR="00871910" w:rsidRDefault="00871910" w:rsidP="00943B79">
      <w:pPr>
        <w:keepNext/>
        <w:keepLines/>
        <w:spacing w:line="259" w:lineRule="auto"/>
        <w:rPr>
          <w:color w:val="000000"/>
        </w:rPr>
      </w:pPr>
      <w:r>
        <w:rPr>
          <w:color w:val="000000"/>
        </w:rPr>
        <w:t xml:space="preserve">No public consultation was undertaken in relation to this legislative instrument. The effect of this instrument is to make </w:t>
      </w:r>
      <w:r w:rsidR="00B67957">
        <w:rPr>
          <w:color w:val="000000"/>
        </w:rPr>
        <w:t>technical</w:t>
      </w:r>
      <w:r>
        <w:rPr>
          <w:color w:val="000000"/>
        </w:rPr>
        <w:t xml:space="preserve"> amendments </w:t>
      </w:r>
      <w:r w:rsidR="00B67957">
        <w:rPr>
          <w:color w:val="000000"/>
        </w:rPr>
        <w:t xml:space="preserve">of a minor and machinery nature </w:t>
      </w:r>
      <w:r>
        <w:rPr>
          <w:color w:val="000000"/>
        </w:rPr>
        <w:t>to </w:t>
      </w:r>
      <w:r w:rsidR="00E64D62">
        <w:rPr>
          <w:color w:val="000000"/>
        </w:rPr>
        <w:t>ensure the Perth Mint Determination operates as intended</w:t>
      </w:r>
      <w:r w:rsidR="002703FF">
        <w:rPr>
          <w:color w:val="000000"/>
        </w:rPr>
        <w:t xml:space="preserve"> and enable the Perth Mint to begin its production of the coin</w:t>
      </w:r>
      <w:r w:rsidR="00ED7B62">
        <w:rPr>
          <w:color w:val="000000"/>
        </w:rPr>
        <w:t>s</w:t>
      </w:r>
      <w:r w:rsidR="006164AA">
        <w:rPr>
          <w:color w:val="000000"/>
        </w:rPr>
        <w:t xml:space="preserve"> determined </w:t>
      </w:r>
      <w:r w:rsidR="00FB1777">
        <w:rPr>
          <w:color w:val="000000"/>
        </w:rPr>
        <w:t>in that legislative instrument.</w:t>
      </w:r>
    </w:p>
    <w:p w14:paraId="2C73FA2C" w14:textId="19D594F8" w:rsidR="00F305BE" w:rsidRPr="00401F72" w:rsidRDefault="00F305BE" w:rsidP="00F305BE">
      <w:pPr>
        <w:keepNext/>
        <w:keepLines/>
        <w:spacing w:line="259" w:lineRule="auto"/>
        <w:jc w:val="center"/>
        <w:rPr>
          <w:rFonts w:eastAsia="Calibri"/>
          <w:b/>
          <w:lang w:eastAsia="en-US"/>
        </w:rPr>
      </w:pPr>
      <w:r w:rsidRPr="00401F72">
        <w:rPr>
          <w:rFonts w:eastAsia="Calibri"/>
          <w:b/>
          <w:lang w:eastAsia="en-US"/>
        </w:rPr>
        <w:t>Statement of Compatibility with Human Rights</w:t>
      </w:r>
    </w:p>
    <w:p w14:paraId="78513D00" w14:textId="77777777" w:rsidR="00F305BE" w:rsidRPr="00401F72" w:rsidRDefault="00F305BE" w:rsidP="00F305BE">
      <w:pPr>
        <w:keepNext/>
        <w:keepLines/>
        <w:spacing w:line="259" w:lineRule="auto"/>
        <w:jc w:val="center"/>
        <w:rPr>
          <w:rFonts w:eastAsia="Calibri"/>
          <w:i/>
          <w:lang w:eastAsia="en-US"/>
        </w:rPr>
      </w:pPr>
      <w:r w:rsidRPr="00401F72">
        <w:rPr>
          <w:rFonts w:eastAsia="Calibri"/>
          <w:i/>
          <w:lang w:eastAsia="en-US"/>
        </w:rPr>
        <w:t>Prepared in accordance with Part 3 of the Human Rights (Parliamentary Scrutiny) Act 2011</w:t>
      </w:r>
    </w:p>
    <w:p w14:paraId="5F9E3317" w14:textId="0734B59D" w:rsidR="00112CCF" w:rsidRPr="00401F72" w:rsidRDefault="00112CCF" w:rsidP="00112CCF">
      <w:pPr>
        <w:keepNext/>
        <w:keepLines/>
        <w:spacing w:line="259" w:lineRule="auto"/>
        <w:jc w:val="center"/>
        <w:rPr>
          <w:rFonts w:eastAsia="Calibri"/>
          <w:b/>
          <w:lang w:eastAsia="en-US"/>
        </w:rPr>
      </w:pPr>
      <w:r w:rsidRPr="00112CCF">
        <w:rPr>
          <w:rFonts w:eastAsia="Calibri"/>
          <w:b/>
          <w:i/>
          <w:lang w:eastAsia="en-US"/>
        </w:rPr>
        <w:t>Currency (Australian Coins) Amendment (Technical Amendments) Determination 2024</w:t>
      </w:r>
    </w:p>
    <w:p w14:paraId="1F6E9B44" w14:textId="531AF091" w:rsidR="00F305BE" w:rsidRPr="00401F72" w:rsidRDefault="00F305BE" w:rsidP="00F305BE">
      <w:pPr>
        <w:spacing w:line="259" w:lineRule="auto"/>
        <w:rPr>
          <w:rFonts w:eastAsia="Calibri"/>
          <w:lang w:eastAsia="en-US"/>
        </w:rPr>
      </w:pPr>
      <w:r w:rsidRPr="00401F72">
        <w:rPr>
          <w:rFonts w:eastAsia="Calibri"/>
          <w:lang w:eastAsia="en-US"/>
        </w:rPr>
        <w:t xml:space="preserve">This Legislative Instrument is compatible with the human rights and freedoms recognised or declared in the international instruments listed in section 3 of the </w:t>
      </w:r>
      <w:r w:rsidRPr="00401F72">
        <w:rPr>
          <w:rFonts w:eastAsia="Calibri"/>
          <w:i/>
          <w:lang w:eastAsia="en-US"/>
        </w:rPr>
        <w:t>Human Rights (Parliamentary Scrutiny) Act 2011</w:t>
      </w:r>
      <w:r w:rsidRPr="00401F72">
        <w:rPr>
          <w:rFonts w:eastAsia="Calibri"/>
          <w:lang w:eastAsia="en-US"/>
        </w:rPr>
        <w:t>.</w:t>
      </w:r>
    </w:p>
    <w:p w14:paraId="7147375F" w14:textId="77777777" w:rsidR="00F305BE" w:rsidRPr="00401F72" w:rsidRDefault="00F305BE" w:rsidP="00F305BE">
      <w:pPr>
        <w:spacing w:line="259" w:lineRule="auto"/>
        <w:rPr>
          <w:rFonts w:eastAsia="Calibri"/>
          <w:b/>
          <w:lang w:eastAsia="en-US"/>
        </w:rPr>
      </w:pPr>
      <w:r w:rsidRPr="00401F72">
        <w:rPr>
          <w:rFonts w:eastAsia="Calibri"/>
          <w:b/>
          <w:lang w:eastAsia="en-US"/>
        </w:rPr>
        <w:t>Overview of the Legislative Instrument</w:t>
      </w:r>
    </w:p>
    <w:p w14:paraId="416D338B" w14:textId="77777777" w:rsidR="001E4AF1" w:rsidRPr="00401F72" w:rsidRDefault="001E4AF1" w:rsidP="001E4AF1">
      <w:pPr>
        <w:spacing w:before="240" w:after="160" w:line="259" w:lineRule="auto"/>
        <w:rPr>
          <w:rFonts w:eastAsia="Calibri"/>
          <w:lang w:eastAsia="en-US"/>
        </w:rPr>
      </w:pPr>
      <w:r w:rsidRPr="00401F72">
        <w:rPr>
          <w:rFonts w:eastAsia="Calibri"/>
          <w:lang w:eastAsia="en-US"/>
        </w:rPr>
        <w:t xml:space="preserve">The purpose of this legislative instrument is to </w:t>
      </w:r>
      <w:r w:rsidRPr="00FE38FA">
        <w:rPr>
          <w:rFonts w:eastAsia="Calibri"/>
          <w:lang w:eastAsia="en-US"/>
        </w:rPr>
        <w:t xml:space="preserve">make technical amendments to ensure the </w:t>
      </w:r>
      <w:r w:rsidRPr="00CB0E70">
        <w:rPr>
          <w:rFonts w:eastAsia="Calibri"/>
          <w:i/>
          <w:iCs/>
          <w:lang w:eastAsia="en-US"/>
        </w:rPr>
        <w:t xml:space="preserve">Currency (Australian Coins) Amendment (2024 Perth Mint No. 7) Determination 2024 </w:t>
      </w:r>
      <w:r w:rsidRPr="00FE38FA">
        <w:rPr>
          <w:rFonts w:eastAsia="Calibri"/>
          <w:lang w:eastAsia="en-US"/>
        </w:rPr>
        <w:t>operates as intended.</w:t>
      </w:r>
    </w:p>
    <w:p w14:paraId="0C3DDC06" w14:textId="77777777" w:rsidR="00F305BE" w:rsidRPr="00401F72" w:rsidRDefault="00F305BE" w:rsidP="00F305BE">
      <w:pPr>
        <w:spacing w:line="259" w:lineRule="auto"/>
        <w:rPr>
          <w:rFonts w:eastAsia="Calibri"/>
          <w:b/>
          <w:lang w:eastAsia="en-US"/>
        </w:rPr>
      </w:pPr>
      <w:r w:rsidRPr="00401F72">
        <w:rPr>
          <w:rFonts w:eastAsia="Calibri"/>
          <w:b/>
          <w:lang w:eastAsia="en-US"/>
        </w:rPr>
        <w:t>Human rights implications</w:t>
      </w:r>
    </w:p>
    <w:p w14:paraId="3C2E7698" w14:textId="77777777" w:rsidR="00F305BE" w:rsidRPr="00401F72" w:rsidRDefault="00F305BE" w:rsidP="00F305BE">
      <w:pPr>
        <w:spacing w:line="259" w:lineRule="auto"/>
        <w:rPr>
          <w:rFonts w:eastAsia="Calibri"/>
          <w:lang w:eastAsia="en-US"/>
        </w:rPr>
      </w:pPr>
      <w:r w:rsidRPr="00401F72">
        <w:rPr>
          <w:rFonts w:eastAsia="Calibri"/>
          <w:lang w:eastAsia="en-US"/>
        </w:rPr>
        <w:t>This Legislative Instrument does not engage any of the applicable rights or freedoms.</w:t>
      </w:r>
    </w:p>
    <w:p w14:paraId="5D8889B2" w14:textId="77777777" w:rsidR="00F305BE" w:rsidRPr="00401F72" w:rsidRDefault="00F305BE" w:rsidP="00F305BE">
      <w:pPr>
        <w:spacing w:line="259" w:lineRule="auto"/>
        <w:rPr>
          <w:rFonts w:eastAsia="Calibri"/>
          <w:b/>
          <w:lang w:eastAsia="en-US"/>
        </w:rPr>
      </w:pPr>
      <w:r w:rsidRPr="00401F72">
        <w:rPr>
          <w:rFonts w:eastAsia="Calibri"/>
          <w:b/>
          <w:lang w:eastAsia="en-US"/>
        </w:rPr>
        <w:t>Conclusion</w:t>
      </w:r>
    </w:p>
    <w:p w14:paraId="5F7E0049" w14:textId="635CE66F" w:rsidR="00EB2AEF" w:rsidRPr="003C5719" w:rsidRDefault="00F305BE" w:rsidP="002E14B9">
      <w:pPr>
        <w:spacing w:line="259" w:lineRule="auto"/>
      </w:pPr>
      <w:r w:rsidRPr="00401F72">
        <w:rPr>
          <w:rFonts w:eastAsia="Calibri"/>
          <w:lang w:eastAsia="en-US"/>
        </w:rPr>
        <w:t>This Legislative Instrument is compatible with human rights as it does not raise any human rights issues.</w:t>
      </w:r>
    </w:p>
    <w:p w14:paraId="7FDDE1A8" w14:textId="1F68A464" w:rsidR="00EA4DD8" w:rsidRPr="003C5719" w:rsidRDefault="00EA4DD8" w:rsidP="004A27A8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t>ATTACHMENT</w:t>
      </w:r>
    </w:p>
    <w:p w14:paraId="7E26F4DF" w14:textId="21EF09FE" w:rsidR="00EA4DD8" w:rsidRPr="003C5719" w:rsidRDefault="00EA4DD8" w:rsidP="004A27A8">
      <w:pPr>
        <w:spacing w:before="240"/>
        <w:rPr>
          <w:b/>
          <w:bCs/>
          <w:szCs w:val="24"/>
          <w:u w:val="single"/>
        </w:rPr>
      </w:pPr>
      <w:r w:rsidRPr="003C5719">
        <w:rPr>
          <w:b/>
          <w:bCs/>
          <w:u w:val="single"/>
        </w:rPr>
        <w:t xml:space="preserve">Details of the </w:t>
      </w:r>
      <w:r w:rsidR="00F213C7">
        <w:rPr>
          <w:b/>
          <w:i/>
          <w:u w:val="single"/>
        </w:rPr>
        <w:t>Currency (Australian Coins) Amendment (Technical Amendments) Determination 2024</w:t>
      </w:r>
    </w:p>
    <w:p w14:paraId="14B22947" w14:textId="77777777" w:rsidR="00901066" w:rsidRPr="00401F72" w:rsidRDefault="00901066" w:rsidP="00901066">
      <w:pPr>
        <w:spacing w:before="240" w:line="259" w:lineRule="auto"/>
        <w:rPr>
          <w:rFonts w:eastAsia="Calibri"/>
          <w:u w:val="single"/>
          <w:lang w:eastAsia="en-US"/>
        </w:rPr>
      </w:pPr>
      <w:r w:rsidRPr="00401F72">
        <w:rPr>
          <w:rFonts w:eastAsia="Calibri"/>
          <w:u w:val="single"/>
          <w:lang w:eastAsia="en-US"/>
        </w:rPr>
        <w:t>Section 1 – Name of the Determination</w:t>
      </w:r>
    </w:p>
    <w:p w14:paraId="37265E67" w14:textId="75283BB8" w:rsidR="00EA4DD8" w:rsidRPr="003C5719" w:rsidRDefault="00EA4DD8" w:rsidP="004A27A8">
      <w:pPr>
        <w:spacing w:before="240"/>
      </w:pPr>
      <w:r w:rsidRPr="003C5719">
        <w:t xml:space="preserve">This section provides that the name of the </w:t>
      </w:r>
      <w:r w:rsidR="00626329">
        <w:t>D</w:t>
      </w:r>
      <w:r w:rsidR="00F213C7">
        <w:t>etermination</w:t>
      </w:r>
      <w:r w:rsidRPr="003C5719">
        <w:t xml:space="preserve"> is the </w:t>
      </w:r>
      <w:r w:rsidR="00F213C7">
        <w:rPr>
          <w:i/>
        </w:rPr>
        <w:t>Currency (Australian Coins) Amendment (Technical Amendments) Determination</w:t>
      </w:r>
      <w:r w:rsidR="000D1FF3">
        <w:rPr>
          <w:i/>
        </w:rPr>
        <w:t xml:space="preserve"> 2024</w:t>
      </w:r>
      <w:r w:rsidR="0042383D">
        <w:t xml:space="preserve"> (the Determination).</w:t>
      </w:r>
    </w:p>
    <w:p w14:paraId="56007553" w14:textId="77777777" w:rsidR="00EA4DD8" w:rsidRPr="003C5719" w:rsidRDefault="00EA4DD8" w:rsidP="002B7F18">
      <w:pPr>
        <w:spacing w:before="240" w:line="259" w:lineRule="auto"/>
        <w:ind w:right="91"/>
        <w:rPr>
          <w:rFonts w:eastAsia="Calibri"/>
          <w:u w:val="single"/>
        </w:rPr>
      </w:pPr>
      <w:r w:rsidRPr="003C5719">
        <w:rPr>
          <w:rFonts w:eastAsia="Calibri"/>
          <w:u w:val="single"/>
        </w:rPr>
        <w:t>Section 2 – Commencement</w:t>
      </w:r>
    </w:p>
    <w:p w14:paraId="26F97C28" w14:textId="77777777" w:rsidR="00DD5B09" w:rsidRPr="00566CCE" w:rsidRDefault="002B7F18" w:rsidP="002B7F18">
      <w:pPr>
        <w:spacing w:before="240" w:line="259" w:lineRule="auto"/>
        <w:rPr>
          <w:rFonts w:eastAsia="Calibri"/>
          <w:lang w:eastAsia="en-US"/>
        </w:rPr>
      </w:pPr>
      <w:r w:rsidRPr="00566CCE">
        <w:rPr>
          <w:rFonts w:eastAsia="Calibri"/>
          <w:lang w:eastAsia="en-US"/>
        </w:rPr>
        <w:t xml:space="preserve">This section </w:t>
      </w:r>
      <w:r w:rsidR="00DD5B09" w:rsidRPr="00566CCE">
        <w:rPr>
          <w:rFonts w:eastAsia="Calibri"/>
          <w:lang w:eastAsia="en-US"/>
        </w:rPr>
        <w:t>provides the following:</w:t>
      </w:r>
    </w:p>
    <w:p w14:paraId="76407CDA" w14:textId="4C1CD589" w:rsidR="002B7F18" w:rsidRDefault="006B363D" w:rsidP="00DD5B09">
      <w:pPr>
        <w:pStyle w:val="Bullet"/>
        <w:rPr>
          <w:rFonts w:eastAsia="Calibri"/>
          <w:lang w:eastAsia="en-US"/>
        </w:rPr>
      </w:pPr>
      <w:r w:rsidRPr="00566CCE">
        <w:rPr>
          <w:rFonts w:eastAsia="Calibri"/>
          <w:lang w:eastAsia="en-US"/>
        </w:rPr>
        <w:t>sections 1 to 4 of the</w:t>
      </w:r>
      <w:r w:rsidR="002B7F18" w:rsidRPr="00566CCE">
        <w:rPr>
          <w:rFonts w:eastAsia="Calibri"/>
          <w:lang w:eastAsia="en-US"/>
        </w:rPr>
        <w:t xml:space="preserve"> Determination commence the day after the Determination is registered on the Federal Register of Legislation.</w:t>
      </w:r>
    </w:p>
    <w:p w14:paraId="3B09354F" w14:textId="2EB0B290" w:rsidR="006B363D" w:rsidRPr="00464A98" w:rsidRDefault="00AF290B" w:rsidP="00464A98">
      <w:pPr>
        <w:pStyle w:val="Bulle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Schedule 1 </w:t>
      </w:r>
      <w:r w:rsidR="007C05CF">
        <w:rPr>
          <w:rFonts w:eastAsia="Calibri"/>
          <w:lang w:eastAsia="en-US"/>
        </w:rPr>
        <w:t>to</w:t>
      </w:r>
      <w:r w:rsidR="00DD73D8">
        <w:rPr>
          <w:rFonts w:eastAsia="Calibri"/>
          <w:lang w:eastAsia="en-US"/>
        </w:rPr>
        <w:t xml:space="preserve"> the Determination commences immediately before the </w:t>
      </w:r>
      <w:r w:rsidR="00DD73D8" w:rsidRPr="00647B88">
        <w:rPr>
          <w:i/>
        </w:rPr>
        <w:t>Currency (Australian Coins) Amendment (2024 Perth Mint No. 7) Determination 2024</w:t>
      </w:r>
      <w:r w:rsidR="00001BBE">
        <w:rPr>
          <w:iCs/>
        </w:rPr>
        <w:t xml:space="preserve"> (</w:t>
      </w:r>
      <w:r w:rsidR="00B340A3">
        <w:rPr>
          <w:rFonts w:eastAsia="Calibri"/>
        </w:rPr>
        <w:t xml:space="preserve">the Perth Mint </w:t>
      </w:r>
      <w:r w:rsidR="00001BBE">
        <w:rPr>
          <w:rFonts w:eastAsia="Calibri"/>
        </w:rPr>
        <w:t>Determination</w:t>
      </w:r>
      <w:r w:rsidR="00001BBE">
        <w:rPr>
          <w:iCs/>
        </w:rPr>
        <w:t>)</w:t>
      </w:r>
      <w:r w:rsidR="00C81DA3">
        <w:rPr>
          <w:iCs/>
        </w:rPr>
        <w:t xml:space="preserve"> commences</w:t>
      </w:r>
      <w:r w:rsidR="00001BBE">
        <w:rPr>
          <w:iCs/>
        </w:rPr>
        <w:t xml:space="preserve">. </w:t>
      </w:r>
      <w:r w:rsidR="00F37B04" w:rsidRPr="00F37B04">
        <w:rPr>
          <w:rFonts w:eastAsia="Calibri"/>
          <w:lang w:eastAsia="en-US"/>
        </w:rPr>
        <w:t>The P</w:t>
      </w:r>
      <w:r w:rsidR="00B0249F">
        <w:rPr>
          <w:rFonts w:eastAsia="Calibri"/>
          <w:lang w:eastAsia="en-US"/>
        </w:rPr>
        <w:t xml:space="preserve">erth Mint </w:t>
      </w:r>
      <w:r w:rsidR="00F37B04" w:rsidRPr="00F37B04">
        <w:rPr>
          <w:rFonts w:eastAsia="Calibri"/>
          <w:lang w:eastAsia="en-US"/>
        </w:rPr>
        <w:t>Determination commence</w:t>
      </w:r>
      <w:r w:rsidR="00361798">
        <w:rPr>
          <w:rFonts w:eastAsia="Calibri"/>
          <w:lang w:eastAsia="en-US"/>
        </w:rPr>
        <w:t>s</w:t>
      </w:r>
      <w:r w:rsidR="00F37B04" w:rsidRPr="00F37B04">
        <w:rPr>
          <w:rFonts w:eastAsia="Calibri"/>
          <w:lang w:eastAsia="en-US"/>
        </w:rPr>
        <w:t xml:space="preserve"> on the day after it </w:t>
      </w:r>
      <w:r w:rsidR="00361798">
        <w:rPr>
          <w:rFonts w:eastAsia="Calibri"/>
          <w:lang w:eastAsia="en-US"/>
        </w:rPr>
        <w:t xml:space="preserve">is </w:t>
      </w:r>
      <w:r w:rsidR="00F37B04" w:rsidRPr="00F37B04">
        <w:rPr>
          <w:rFonts w:eastAsia="Calibri"/>
          <w:lang w:eastAsia="en-US"/>
        </w:rPr>
        <w:t>registered on the Federal Register of Legislation.</w:t>
      </w:r>
    </w:p>
    <w:p w14:paraId="1697CE01" w14:textId="77777777" w:rsidR="00EA4DD8" w:rsidRPr="00401F72" w:rsidRDefault="00EA4DD8" w:rsidP="00B96975">
      <w:pPr>
        <w:spacing w:before="240" w:line="259" w:lineRule="auto"/>
        <w:ind w:right="91"/>
        <w:rPr>
          <w:rFonts w:eastAsia="Calibri"/>
          <w:u w:val="single"/>
          <w:lang w:eastAsia="en-US"/>
        </w:rPr>
      </w:pPr>
      <w:r w:rsidRPr="00401F72">
        <w:rPr>
          <w:rFonts w:eastAsia="Calibri"/>
          <w:u w:val="single"/>
          <w:lang w:eastAsia="en-US"/>
        </w:rPr>
        <w:t>Section 3 – Authority</w:t>
      </w:r>
    </w:p>
    <w:p w14:paraId="58C6AF50" w14:textId="77777777" w:rsidR="00B96975" w:rsidRPr="00401F72" w:rsidRDefault="00B96975" w:rsidP="00B96975">
      <w:pPr>
        <w:spacing w:before="240" w:line="259" w:lineRule="auto"/>
        <w:rPr>
          <w:rFonts w:eastAsia="Calibri"/>
          <w:lang w:eastAsia="en-US"/>
        </w:rPr>
      </w:pPr>
      <w:r w:rsidRPr="00401F72">
        <w:rPr>
          <w:rFonts w:eastAsia="Calibri"/>
          <w:lang w:eastAsia="en-US"/>
        </w:rPr>
        <w:t xml:space="preserve">This section provides that the Determination is made under the </w:t>
      </w:r>
      <w:r w:rsidRPr="00401F72">
        <w:rPr>
          <w:rFonts w:eastAsia="Calibri"/>
          <w:i/>
          <w:lang w:eastAsia="en-US"/>
        </w:rPr>
        <w:t>Currency Act 1965</w:t>
      </w:r>
      <w:r w:rsidRPr="00401F72">
        <w:rPr>
          <w:rFonts w:eastAsia="Calibri"/>
          <w:lang w:eastAsia="en-US"/>
        </w:rPr>
        <w:t>.</w:t>
      </w:r>
    </w:p>
    <w:p w14:paraId="59407DAE" w14:textId="77777777" w:rsidR="00EA4DD8" w:rsidRPr="00401F72" w:rsidRDefault="00EA4DD8" w:rsidP="00B96975">
      <w:pPr>
        <w:spacing w:before="240" w:line="259" w:lineRule="auto"/>
        <w:ind w:right="91"/>
        <w:rPr>
          <w:rFonts w:eastAsia="Calibri"/>
          <w:u w:val="single"/>
          <w:lang w:eastAsia="en-US"/>
        </w:rPr>
      </w:pPr>
      <w:r w:rsidRPr="00401F72">
        <w:rPr>
          <w:rFonts w:eastAsia="Calibri"/>
          <w:u w:val="single"/>
          <w:lang w:eastAsia="en-US"/>
        </w:rPr>
        <w:t>Section 4 – Schedule</w:t>
      </w:r>
    </w:p>
    <w:p w14:paraId="1A227273" w14:textId="77777777" w:rsidR="00B96975" w:rsidRPr="00401F72" w:rsidRDefault="00B96975" w:rsidP="00B96975">
      <w:pPr>
        <w:spacing w:before="240" w:line="259" w:lineRule="auto"/>
        <w:rPr>
          <w:rFonts w:eastAsia="Calibri"/>
          <w:lang w:eastAsia="en-US"/>
        </w:rPr>
      </w:pPr>
      <w:r w:rsidRPr="00401F72">
        <w:rPr>
          <w:rFonts w:eastAsia="Calibri"/>
          <w:lang w:eastAsia="en-US"/>
        </w:rPr>
        <w:t>This section provides that each instrument specified in a Schedule to the Determination is amended or repealed as set out in the Schedule.</w:t>
      </w:r>
    </w:p>
    <w:p w14:paraId="368D7162" w14:textId="77777777" w:rsidR="00B96975" w:rsidRDefault="00B96975" w:rsidP="00B96975">
      <w:pPr>
        <w:spacing w:after="0" w:line="259" w:lineRule="auto"/>
        <w:ind w:right="91"/>
        <w:rPr>
          <w:rFonts w:eastAsia="Calibri"/>
          <w:u w:val="single"/>
          <w:lang w:eastAsia="en-US"/>
        </w:rPr>
      </w:pPr>
      <w:r w:rsidRPr="00401F72">
        <w:rPr>
          <w:rFonts w:eastAsia="Calibri"/>
          <w:u w:val="single"/>
          <w:lang w:eastAsia="en-US"/>
        </w:rPr>
        <w:t>Schedule 1 – Amendments</w:t>
      </w:r>
    </w:p>
    <w:p w14:paraId="4B39FC8E" w14:textId="6887964A" w:rsidR="008F3ED2" w:rsidRDefault="00B96975" w:rsidP="00B96975">
      <w:pPr>
        <w:spacing w:after="0" w:line="259" w:lineRule="auto"/>
        <w:ind w:right="91"/>
        <w:rPr>
          <w:rFonts w:eastAsia="Calibri"/>
          <w:lang w:eastAsia="en-US"/>
        </w:rPr>
      </w:pPr>
      <w:r w:rsidRPr="00401F72">
        <w:rPr>
          <w:rFonts w:eastAsia="Calibri"/>
          <w:lang w:eastAsia="en-US"/>
        </w:rPr>
        <w:t xml:space="preserve">Schedule 1 amends the </w:t>
      </w:r>
      <w:r w:rsidR="00B0249F" w:rsidRPr="00B0249F">
        <w:rPr>
          <w:rFonts w:eastAsia="Calibri"/>
          <w:iCs/>
          <w:lang w:eastAsia="en-US"/>
        </w:rPr>
        <w:t>Perth Mint Determination</w:t>
      </w:r>
      <w:r w:rsidR="00F8551F">
        <w:rPr>
          <w:rFonts w:eastAsia="Calibri"/>
          <w:iCs/>
          <w:lang w:eastAsia="en-US"/>
        </w:rPr>
        <w:t xml:space="preserve"> </w:t>
      </w:r>
      <w:r w:rsidRPr="00401F72">
        <w:rPr>
          <w:rFonts w:eastAsia="Calibri"/>
          <w:lang w:eastAsia="en-US"/>
        </w:rPr>
        <w:t xml:space="preserve">by </w:t>
      </w:r>
      <w:r w:rsidR="008F3ED2" w:rsidRPr="008F3ED2">
        <w:rPr>
          <w:rFonts w:eastAsia="Calibri"/>
          <w:lang w:eastAsia="en-US"/>
        </w:rPr>
        <w:t xml:space="preserve">making technical amendments to ensure </w:t>
      </w:r>
      <w:r w:rsidR="000A70A0">
        <w:rPr>
          <w:rFonts w:eastAsia="Calibri"/>
          <w:lang w:eastAsia="en-US"/>
        </w:rPr>
        <w:t>it</w:t>
      </w:r>
      <w:r w:rsidR="008F3ED2" w:rsidRPr="00CB0E70">
        <w:rPr>
          <w:rFonts w:eastAsia="Calibri"/>
          <w:i/>
          <w:iCs/>
          <w:lang w:eastAsia="en-US"/>
        </w:rPr>
        <w:t xml:space="preserve"> </w:t>
      </w:r>
      <w:r w:rsidR="008F3ED2" w:rsidRPr="00FE38FA">
        <w:rPr>
          <w:rFonts w:eastAsia="Calibri"/>
          <w:lang w:eastAsia="en-US"/>
        </w:rPr>
        <w:t>operates as intended.</w:t>
      </w:r>
    </w:p>
    <w:p w14:paraId="7324E51A" w14:textId="60A329F6" w:rsidR="00B83965" w:rsidRDefault="00B6155D" w:rsidP="00466DD5">
      <w:pPr>
        <w:spacing w:before="240" w:after="200"/>
      </w:pPr>
      <w:r>
        <w:rPr>
          <w:b/>
          <w:bCs/>
        </w:rPr>
        <w:t>Item 1</w:t>
      </w:r>
      <w:r w:rsidR="001F4EEC">
        <w:rPr>
          <w:b/>
        </w:rPr>
        <w:t xml:space="preserve"> </w:t>
      </w:r>
      <w:r w:rsidR="001F4EEC" w:rsidRPr="00647B88">
        <w:t>corrects a</w:t>
      </w:r>
      <w:r w:rsidR="00F9281B">
        <w:t xml:space="preserve"> minor</w:t>
      </w:r>
      <w:r w:rsidR="001F4EEC" w:rsidRPr="00647B88">
        <w:t xml:space="preserve"> error in </w:t>
      </w:r>
      <w:r w:rsidR="00F9281B">
        <w:t>the</w:t>
      </w:r>
      <w:r w:rsidR="001F4EEC" w:rsidRPr="00647B88">
        <w:t xml:space="preserve"> </w:t>
      </w:r>
      <w:r w:rsidR="0094296E">
        <w:t xml:space="preserve">instrument name heading of </w:t>
      </w:r>
      <w:r w:rsidR="001F4EEC" w:rsidRPr="00647B88">
        <w:t xml:space="preserve">Schedule 1 </w:t>
      </w:r>
      <w:r w:rsidR="00571FC5">
        <w:t xml:space="preserve">to </w:t>
      </w:r>
      <w:r w:rsidR="001F4EEC" w:rsidRPr="00647B88">
        <w:t xml:space="preserve">the </w:t>
      </w:r>
      <w:r w:rsidR="001F4EEC">
        <w:t>Perth Mint Determination</w:t>
      </w:r>
      <w:r w:rsidR="001F4EEC" w:rsidRPr="00647B88">
        <w:t xml:space="preserve">, </w:t>
      </w:r>
      <w:r w:rsidR="00C608F0" w:rsidRPr="00647B88">
        <w:t>to ensure that it correctly amends</w:t>
      </w:r>
      <w:r w:rsidR="001F4EEC" w:rsidRPr="00647B88">
        <w:t xml:space="preserve"> the </w:t>
      </w:r>
      <w:r w:rsidR="001F4EEC" w:rsidRPr="00647B88">
        <w:rPr>
          <w:i/>
        </w:rPr>
        <w:t>Currency (Australian Coins) Determination 2019</w:t>
      </w:r>
      <w:r w:rsidR="001F4EEC" w:rsidRPr="00647B88">
        <w:t>.</w:t>
      </w:r>
    </w:p>
    <w:p w14:paraId="35BF8DCD" w14:textId="571FA55D" w:rsidR="001F4EEC" w:rsidRPr="001F4EEC" w:rsidRDefault="001B4239" w:rsidP="00466DD5">
      <w:pPr>
        <w:spacing w:before="240" w:after="200"/>
      </w:pPr>
      <w:r>
        <w:rPr>
          <w:b/>
          <w:bCs/>
        </w:rPr>
        <w:t>Items 2 and</w:t>
      </w:r>
      <w:r w:rsidRPr="00193042">
        <w:rPr>
          <w:b/>
          <w:bCs/>
        </w:rPr>
        <w:t xml:space="preserve"> 3</w:t>
      </w:r>
      <w:r w:rsidR="001F4EEC" w:rsidRPr="00647B88">
        <w:t xml:space="preserve"> </w:t>
      </w:r>
      <w:r w:rsidR="000D1FF3" w:rsidRPr="00647B88">
        <w:t>adjusts the</w:t>
      </w:r>
      <w:r w:rsidR="00792A70" w:rsidRPr="00647B88">
        <w:t xml:space="preserve"> location of the coins added by the </w:t>
      </w:r>
      <w:r w:rsidR="00792A70">
        <w:t>Perth Mint Determination</w:t>
      </w:r>
      <w:r w:rsidR="00CF7581">
        <w:t>, by making minor technical changes to the head</w:t>
      </w:r>
      <w:r w:rsidR="00530BE8">
        <w:t>ings,</w:t>
      </w:r>
      <w:r w:rsidR="00792A70" w:rsidRPr="00647B88">
        <w:t xml:space="preserve"> to ensure they are in</w:t>
      </w:r>
      <w:r w:rsidR="00232204" w:rsidRPr="00647B88">
        <w:t>serted at</w:t>
      </w:r>
      <w:r w:rsidR="00792A70" w:rsidRPr="00647B88">
        <w:t xml:space="preserve"> the correct location in the table</w:t>
      </w:r>
      <w:r w:rsidR="008647A4">
        <w:t>s</w:t>
      </w:r>
      <w:r w:rsidR="00491EA8">
        <w:t>.</w:t>
      </w:r>
    </w:p>
    <w:p w14:paraId="18C3A1A0" w14:textId="2A18966C" w:rsidR="00E37FF7" w:rsidRPr="00AF6D23" w:rsidRDefault="00E37FF7" w:rsidP="00AF6D23">
      <w:pPr>
        <w:spacing w:before="240" w:after="200"/>
        <w:rPr>
          <w:color w:val="FF0000"/>
        </w:rPr>
      </w:pPr>
    </w:p>
    <w:sectPr w:rsidR="00E37FF7" w:rsidRPr="00AF6D23" w:rsidSect="004A27A8">
      <w:footerReference w:type="default" r:id="rId12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D8A85" w14:textId="77777777" w:rsidR="00694C41" w:rsidRDefault="00694C41" w:rsidP="00954679">
      <w:pPr>
        <w:spacing w:before="0" w:after="0"/>
      </w:pPr>
      <w:r>
        <w:separator/>
      </w:r>
    </w:p>
  </w:endnote>
  <w:endnote w:type="continuationSeparator" w:id="0">
    <w:p w14:paraId="16BC32A7" w14:textId="77777777" w:rsidR="00694C41" w:rsidRDefault="00694C41" w:rsidP="00954679">
      <w:pPr>
        <w:spacing w:before="0" w:after="0"/>
      </w:pPr>
      <w:r>
        <w:continuationSeparator/>
      </w:r>
    </w:p>
  </w:endnote>
  <w:endnote w:type="continuationNotice" w:id="1">
    <w:p w14:paraId="28C87FDC" w14:textId="77777777" w:rsidR="00694C41" w:rsidRDefault="00694C4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861996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E1E587A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58170" w14:textId="77777777" w:rsidR="00694C41" w:rsidRDefault="00694C41" w:rsidP="00954679">
      <w:pPr>
        <w:spacing w:before="0" w:after="0"/>
      </w:pPr>
      <w:r>
        <w:separator/>
      </w:r>
    </w:p>
  </w:footnote>
  <w:footnote w:type="continuationSeparator" w:id="0">
    <w:p w14:paraId="68812CB9" w14:textId="77777777" w:rsidR="00694C41" w:rsidRDefault="00694C41" w:rsidP="00954679">
      <w:pPr>
        <w:spacing w:before="0" w:after="0"/>
      </w:pPr>
      <w:r>
        <w:continuationSeparator/>
      </w:r>
    </w:p>
  </w:footnote>
  <w:footnote w:type="continuationNotice" w:id="1">
    <w:p w14:paraId="3F7F7A45" w14:textId="77777777" w:rsidR="00694C41" w:rsidRDefault="00694C4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67A43C0B"/>
    <w:multiLevelType w:val="multilevel"/>
    <w:tmpl w:val="CBCAA08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2919768">
    <w:abstractNumId w:val="2"/>
  </w:num>
  <w:num w:numId="2" w16cid:durableId="92435628">
    <w:abstractNumId w:val="3"/>
  </w:num>
  <w:num w:numId="3" w16cid:durableId="102648425">
    <w:abstractNumId w:val="1"/>
  </w:num>
  <w:num w:numId="4" w16cid:durableId="1451314351">
    <w:abstractNumId w:val="0"/>
  </w:num>
  <w:num w:numId="5" w16cid:durableId="1455824937">
    <w:abstractNumId w:val="3"/>
  </w:num>
  <w:num w:numId="6" w16cid:durableId="2012178582">
    <w:abstractNumId w:val="3"/>
  </w:num>
  <w:num w:numId="7" w16cid:durableId="1173374635">
    <w:abstractNumId w:val="3"/>
  </w:num>
  <w:num w:numId="8" w16cid:durableId="1074162301">
    <w:abstractNumId w:val="3"/>
  </w:num>
  <w:num w:numId="9" w16cid:durableId="1206795025">
    <w:abstractNumId w:val="3"/>
  </w:num>
  <w:num w:numId="10" w16cid:durableId="474571849">
    <w:abstractNumId w:val="3"/>
  </w:num>
  <w:num w:numId="11" w16cid:durableId="890385033">
    <w:abstractNumId w:val="3"/>
  </w:num>
  <w:num w:numId="12" w16cid:durableId="392780191">
    <w:abstractNumId w:val="3"/>
  </w:num>
  <w:num w:numId="13" w16cid:durableId="1793669345">
    <w:abstractNumId w:val="3"/>
  </w:num>
  <w:num w:numId="14" w16cid:durableId="2085832638">
    <w:abstractNumId w:val="3"/>
  </w:num>
  <w:num w:numId="15" w16cid:durableId="724838217">
    <w:abstractNumId w:val="3"/>
  </w:num>
  <w:num w:numId="16" w16cid:durableId="951398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C7"/>
    <w:rsid w:val="00001BBE"/>
    <w:rsid w:val="000026BE"/>
    <w:rsid w:val="00003189"/>
    <w:rsid w:val="000035F2"/>
    <w:rsid w:val="00005B51"/>
    <w:rsid w:val="0000628C"/>
    <w:rsid w:val="00010094"/>
    <w:rsid w:val="000106A5"/>
    <w:rsid w:val="00012892"/>
    <w:rsid w:val="00013390"/>
    <w:rsid w:val="00016EA2"/>
    <w:rsid w:val="0002546A"/>
    <w:rsid w:val="00025993"/>
    <w:rsid w:val="00026713"/>
    <w:rsid w:val="00027573"/>
    <w:rsid w:val="000305C1"/>
    <w:rsid w:val="00031AE1"/>
    <w:rsid w:val="00035046"/>
    <w:rsid w:val="00036D27"/>
    <w:rsid w:val="000379BF"/>
    <w:rsid w:val="00041C87"/>
    <w:rsid w:val="000455BA"/>
    <w:rsid w:val="000515B2"/>
    <w:rsid w:val="00051648"/>
    <w:rsid w:val="00052325"/>
    <w:rsid w:val="000524A9"/>
    <w:rsid w:val="0005316A"/>
    <w:rsid w:val="000541F7"/>
    <w:rsid w:val="000547DB"/>
    <w:rsid w:val="00056D28"/>
    <w:rsid w:val="00073FA5"/>
    <w:rsid w:val="00075A77"/>
    <w:rsid w:val="00076178"/>
    <w:rsid w:val="00076E15"/>
    <w:rsid w:val="00076FF9"/>
    <w:rsid w:val="00080673"/>
    <w:rsid w:val="00080809"/>
    <w:rsid w:val="000854E0"/>
    <w:rsid w:val="0008741E"/>
    <w:rsid w:val="00093E1E"/>
    <w:rsid w:val="00095211"/>
    <w:rsid w:val="00095A2D"/>
    <w:rsid w:val="00096798"/>
    <w:rsid w:val="000A6624"/>
    <w:rsid w:val="000A69C5"/>
    <w:rsid w:val="000A70A0"/>
    <w:rsid w:val="000B39A1"/>
    <w:rsid w:val="000B5EE2"/>
    <w:rsid w:val="000B7D16"/>
    <w:rsid w:val="000C10DF"/>
    <w:rsid w:val="000C2722"/>
    <w:rsid w:val="000C2E12"/>
    <w:rsid w:val="000C3ECC"/>
    <w:rsid w:val="000C4B61"/>
    <w:rsid w:val="000C5C40"/>
    <w:rsid w:val="000C6935"/>
    <w:rsid w:val="000D11E5"/>
    <w:rsid w:val="000D1FF3"/>
    <w:rsid w:val="000D2234"/>
    <w:rsid w:val="000D5827"/>
    <w:rsid w:val="000D59B4"/>
    <w:rsid w:val="000D78F6"/>
    <w:rsid w:val="000E32E3"/>
    <w:rsid w:val="000E34D8"/>
    <w:rsid w:val="000E538A"/>
    <w:rsid w:val="000E6328"/>
    <w:rsid w:val="000F16BC"/>
    <w:rsid w:val="000F1F12"/>
    <w:rsid w:val="000F3A05"/>
    <w:rsid w:val="000F53D9"/>
    <w:rsid w:val="000F5F96"/>
    <w:rsid w:val="000F675A"/>
    <w:rsid w:val="001012C2"/>
    <w:rsid w:val="001018B7"/>
    <w:rsid w:val="00104531"/>
    <w:rsid w:val="00107D46"/>
    <w:rsid w:val="00112C95"/>
    <w:rsid w:val="00112CCF"/>
    <w:rsid w:val="00113B45"/>
    <w:rsid w:val="00114003"/>
    <w:rsid w:val="001141C2"/>
    <w:rsid w:val="0011527C"/>
    <w:rsid w:val="00115A04"/>
    <w:rsid w:val="00117C02"/>
    <w:rsid w:val="00122E8E"/>
    <w:rsid w:val="001276B4"/>
    <w:rsid w:val="00127F71"/>
    <w:rsid w:val="001319C8"/>
    <w:rsid w:val="001331B7"/>
    <w:rsid w:val="00133D7A"/>
    <w:rsid w:val="00142BCF"/>
    <w:rsid w:val="00143C57"/>
    <w:rsid w:val="0014608E"/>
    <w:rsid w:val="00146109"/>
    <w:rsid w:val="00146339"/>
    <w:rsid w:val="00156EB4"/>
    <w:rsid w:val="00160885"/>
    <w:rsid w:val="001611E0"/>
    <w:rsid w:val="00172B5A"/>
    <w:rsid w:val="00172CEF"/>
    <w:rsid w:val="00182548"/>
    <w:rsid w:val="00187857"/>
    <w:rsid w:val="00193042"/>
    <w:rsid w:val="001939DB"/>
    <w:rsid w:val="00195A29"/>
    <w:rsid w:val="001A6FB5"/>
    <w:rsid w:val="001B3C14"/>
    <w:rsid w:val="001B3D77"/>
    <w:rsid w:val="001B4239"/>
    <w:rsid w:val="001B4919"/>
    <w:rsid w:val="001B74D9"/>
    <w:rsid w:val="001B7535"/>
    <w:rsid w:val="001B7EC2"/>
    <w:rsid w:val="001C0477"/>
    <w:rsid w:val="001D1AD7"/>
    <w:rsid w:val="001E1ACD"/>
    <w:rsid w:val="001E2CFF"/>
    <w:rsid w:val="001E4AF1"/>
    <w:rsid w:val="001E5D48"/>
    <w:rsid w:val="001E6A74"/>
    <w:rsid w:val="001F0491"/>
    <w:rsid w:val="001F41D0"/>
    <w:rsid w:val="001F462C"/>
    <w:rsid w:val="001F4EEC"/>
    <w:rsid w:val="001F51AE"/>
    <w:rsid w:val="00220F16"/>
    <w:rsid w:val="00221082"/>
    <w:rsid w:val="0022550C"/>
    <w:rsid w:val="00231837"/>
    <w:rsid w:val="002321CB"/>
    <w:rsid w:val="00232204"/>
    <w:rsid w:val="002349A0"/>
    <w:rsid w:val="0024002A"/>
    <w:rsid w:val="00240D31"/>
    <w:rsid w:val="0024245F"/>
    <w:rsid w:val="00242CDB"/>
    <w:rsid w:val="002439CC"/>
    <w:rsid w:val="00245289"/>
    <w:rsid w:val="00247D16"/>
    <w:rsid w:val="00247FA0"/>
    <w:rsid w:val="00251965"/>
    <w:rsid w:val="00252464"/>
    <w:rsid w:val="00254C5B"/>
    <w:rsid w:val="002567C5"/>
    <w:rsid w:val="00260102"/>
    <w:rsid w:val="002614A6"/>
    <w:rsid w:val="00262167"/>
    <w:rsid w:val="00265201"/>
    <w:rsid w:val="002703FF"/>
    <w:rsid w:val="0027096E"/>
    <w:rsid w:val="0027118E"/>
    <w:rsid w:val="002725F4"/>
    <w:rsid w:val="002771E5"/>
    <w:rsid w:val="00277840"/>
    <w:rsid w:val="0028101D"/>
    <w:rsid w:val="002828E1"/>
    <w:rsid w:val="002856B6"/>
    <w:rsid w:val="00286FED"/>
    <w:rsid w:val="00287C5A"/>
    <w:rsid w:val="00291107"/>
    <w:rsid w:val="00293839"/>
    <w:rsid w:val="002957BC"/>
    <w:rsid w:val="002A1236"/>
    <w:rsid w:val="002A3C80"/>
    <w:rsid w:val="002A6DA4"/>
    <w:rsid w:val="002A7B74"/>
    <w:rsid w:val="002A7E1F"/>
    <w:rsid w:val="002B5C3F"/>
    <w:rsid w:val="002B656C"/>
    <w:rsid w:val="002B7F18"/>
    <w:rsid w:val="002C0792"/>
    <w:rsid w:val="002C0A5A"/>
    <w:rsid w:val="002C226C"/>
    <w:rsid w:val="002C295D"/>
    <w:rsid w:val="002C3EE2"/>
    <w:rsid w:val="002C7A8B"/>
    <w:rsid w:val="002D4B55"/>
    <w:rsid w:val="002E14B9"/>
    <w:rsid w:val="002E73BB"/>
    <w:rsid w:val="002F022D"/>
    <w:rsid w:val="002F6477"/>
    <w:rsid w:val="002F6BB1"/>
    <w:rsid w:val="00301CD0"/>
    <w:rsid w:val="003037F8"/>
    <w:rsid w:val="003041CA"/>
    <w:rsid w:val="003041FA"/>
    <w:rsid w:val="003059C8"/>
    <w:rsid w:val="00311AE0"/>
    <w:rsid w:val="00312A68"/>
    <w:rsid w:val="00317B6B"/>
    <w:rsid w:val="0032378B"/>
    <w:rsid w:val="00325CB9"/>
    <w:rsid w:val="00326E4E"/>
    <w:rsid w:val="00327EF7"/>
    <w:rsid w:val="00330F94"/>
    <w:rsid w:val="0033299B"/>
    <w:rsid w:val="003342CD"/>
    <w:rsid w:val="0033477F"/>
    <w:rsid w:val="00335042"/>
    <w:rsid w:val="00341642"/>
    <w:rsid w:val="00342B77"/>
    <w:rsid w:val="00345DA4"/>
    <w:rsid w:val="00354488"/>
    <w:rsid w:val="00355872"/>
    <w:rsid w:val="00357733"/>
    <w:rsid w:val="00360C0A"/>
    <w:rsid w:val="00361798"/>
    <w:rsid w:val="00362863"/>
    <w:rsid w:val="00362B70"/>
    <w:rsid w:val="00364DEE"/>
    <w:rsid w:val="00370395"/>
    <w:rsid w:val="0037180D"/>
    <w:rsid w:val="00373853"/>
    <w:rsid w:val="003850EC"/>
    <w:rsid w:val="00390769"/>
    <w:rsid w:val="00392BBA"/>
    <w:rsid w:val="00392C0C"/>
    <w:rsid w:val="0039486D"/>
    <w:rsid w:val="00394F87"/>
    <w:rsid w:val="003953F8"/>
    <w:rsid w:val="003954FD"/>
    <w:rsid w:val="00397BFD"/>
    <w:rsid w:val="003A1D07"/>
    <w:rsid w:val="003A6A44"/>
    <w:rsid w:val="003B19DD"/>
    <w:rsid w:val="003B31F4"/>
    <w:rsid w:val="003B3262"/>
    <w:rsid w:val="003B4356"/>
    <w:rsid w:val="003B6570"/>
    <w:rsid w:val="003B6DDD"/>
    <w:rsid w:val="003C445C"/>
    <w:rsid w:val="003C5719"/>
    <w:rsid w:val="003C7907"/>
    <w:rsid w:val="003C7B82"/>
    <w:rsid w:val="003D0B99"/>
    <w:rsid w:val="003D131C"/>
    <w:rsid w:val="003D37CA"/>
    <w:rsid w:val="003D392B"/>
    <w:rsid w:val="003D40E4"/>
    <w:rsid w:val="003D60D7"/>
    <w:rsid w:val="003E0411"/>
    <w:rsid w:val="003E0A51"/>
    <w:rsid w:val="003E1C8F"/>
    <w:rsid w:val="003E1CE3"/>
    <w:rsid w:val="003E4978"/>
    <w:rsid w:val="003E5001"/>
    <w:rsid w:val="003E55F6"/>
    <w:rsid w:val="003E5968"/>
    <w:rsid w:val="003E5E67"/>
    <w:rsid w:val="003E77BC"/>
    <w:rsid w:val="003F17A4"/>
    <w:rsid w:val="003F3B86"/>
    <w:rsid w:val="003F3C0F"/>
    <w:rsid w:val="003F79D9"/>
    <w:rsid w:val="004000AE"/>
    <w:rsid w:val="004049A9"/>
    <w:rsid w:val="00405282"/>
    <w:rsid w:val="00412BB6"/>
    <w:rsid w:val="0041598D"/>
    <w:rsid w:val="004224CC"/>
    <w:rsid w:val="0042383D"/>
    <w:rsid w:val="00427749"/>
    <w:rsid w:val="00435958"/>
    <w:rsid w:val="00436952"/>
    <w:rsid w:val="0044069F"/>
    <w:rsid w:val="00450B7A"/>
    <w:rsid w:val="0045270F"/>
    <w:rsid w:val="00454E2D"/>
    <w:rsid w:val="004577E7"/>
    <w:rsid w:val="00462095"/>
    <w:rsid w:val="00464356"/>
    <w:rsid w:val="00464A98"/>
    <w:rsid w:val="00466731"/>
    <w:rsid w:val="00466DD5"/>
    <w:rsid w:val="00467E83"/>
    <w:rsid w:val="0047265F"/>
    <w:rsid w:val="00473B71"/>
    <w:rsid w:val="004755FE"/>
    <w:rsid w:val="004810AD"/>
    <w:rsid w:val="00482617"/>
    <w:rsid w:val="00482B81"/>
    <w:rsid w:val="00482D4C"/>
    <w:rsid w:val="00483475"/>
    <w:rsid w:val="004838E4"/>
    <w:rsid w:val="004840D8"/>
    <w:rsid w:val="0048463A"/>
    <w:rsid w:val="004858E0"/>
    <w:rsid w:val="00491EA8"/>
    <w:rsid w:val="00492BF6"/>
    <w:rsid w:val="00494C7D"/>
    <w:rsid w:val="004A10CE"/>
    <w:rsid w:val="004A1638"/>
    <w:rsid w:val="004A24D4"/>
    <w:rsid w:val="004A27A8"/>
    <w:rsid w:val="004A3018"/>
    <w:rsid w:val="004A4499"/>
    <w:rsid w:val="004A50DB"/>
    <w:rsid w:val="004B3A1F"/>
    <w:rsid w:val="004B3C0F"/>
    <w:rsid w:val="004B4A3C"/>
    <w:rsid w:val="004C05E4"/>
    <w:rsid w:val="004C1C77"/>
    <w:rsid w:val="004C28DF"/>
    <w:rsid w:val="004D42EC"/>
    <w:rsid w:val="004D4823"/>
    <w:rsid w:val="004D4AE5"/>
    <w:rsid w:val="004E1293"/>
    <w:rsid w:val="004E2EE7"/>
    <w:rsid w:val="004E3410"/>
    <w:rsid w:val="004E3590"/>
    <w:rsid w:val="004E39E1"/>
    <w:rsid w:val="004F00BA"/>
    <w:rsid w:val="004F011F"/>
    <w:rsid w:val="004F03F4"/>
    <w:rsid w:val="004F4C00"/>
    <w:rsid w:val="004F56D0"/>
    <w:rsid w:val="004F5D96"/>
    <w:rsid w:val="004F632E"/>
    <w:rsid w:val="0050235E"/>
    <w:rsid w:val="0050354C"/>
    <w:rsid w:val="00503A99"/>
    <w:rsid w:val="00503E44"/>
    <w:rsid w:val="00505B34"/>
    <w:rsid w:val="0050777E"/>
    <w:rsid w:val="00511F32"/>
    <w:rsid w:val="00513FE8"/>
    <w:rsid w:val="0051429B"/>
    <w:rsid w:val="00515283"/>
    <w:rsid w:val="005156DA"/>
    <w:rsid w:val="0051676A"/>
    <w:rsid w:val="005169F2"/>
    <w:rsid w:val="0052080F"/>
    <w:rsid w:val="005227CE"/>
    <w:rsid w:val="005231C5"/>
    <w:rsid w:val="00523D9B"/>
    <w:rsid w:val="00530BE8"/>
    <w:rsid w:val="00530CC5"/>
    <w:rsid w:val="0053249E"/>
    <w:rsid w:val="005331AB"/>
    <w:rsid w:val="00533926"/>
    <w:rsid w:val="00535AB3"/>
    <w:rsid w:val="00537FB7"/>
    <w:rsid w:val="0054001E"/>
    <w:rsid w:val="005411D1"/>
    <w:rsid w:val="00542873"/>
    <w:rsid w:val="00542967"/>
    <w:rsid w:val="00546CCE"/>
    <w:rsid w:val="0055675D"/>
    <w:rsid w:val="005573C4"/>
    <w:rsid w:val="00562567"/>
    <w:rsid w:val="00563E42"/>
    <w:rsid w:val="0056648E"/>
    <w:rsid w:val="00566CCE"/>
    <w:rsid w:val="00566E8F"/>
    <w:rsid w:val="005709DE"/>
    <w:rsid w:val="0057137C"/>
    <w:rsid w:val="00571FC5"/>
    <w:rsid w:val="005726BA"/>
    <w:rsid w:val="005735F7"/>
    <w:rsid w:val="00573FFC"/>
    <w:rsid w:val="0057422E"/>
    <w:rsid w:val="005754BD"/>
    <w:rsid w:val="005769AC"/>
    <w:rsid w:val="00577569"/>
    <w:rsid w:val="005833BE"/>
    <w:rsid w:val="005841E4"/>
    <w:rsid w:val="005858FB"/>
    <w:rsid w:val="0059302A"/>
    <w:rsid w:val="00595F69"/>
    <w:rsid w:val="005A2572"/>
    <w:rsid w:val="005A508C"/>
    <w:rsid w:val="005A7D22"/>
    <w:rsid w:val="005B0130"/>
    <w:rsid w:val="005B1151"/>
    <w:rsid w:val="005B3AF1"/>
    <w:rsid w:val="005B67E9"/>
    <w:rsid w:val="005B689C"/>
    <w:rsid w:val="005C032C"/>
    <w:rsid w:val="005C73D6"/>
    <w:rsid w:val="005D0BB1"/>
    <w:rsid w:val="005D2168"/>
    <w:rsid w:val="005D7D5A"/>
    <w:rsid w:val="005D7E35"/>
    <w:rsid w:val="005E05F7"/>
    <w:rsid w:val="005E145C"/>
    <w:rsid w:val="005E30AB"/>
    <w:rsid w:val="005E4792"/>
    <w:rsid w:val="005E4BAC"/>
    <w:rsid w:val="005E5202"/>
    <w:rsid w:val="005E580A"/>
    <w:rsid w:val="005F0ABE"/>
    <w:rsid w:val="005F1BC2"/>
    <w:rsid w:val="005F31EE"/>
    <w:rsid w:val="005F4516"/>
    <w:rsid w:val="005F4562"/>
    <w:rsid w:val="00600685"/>
    <w:rsid w:val="0060130D"/>
    <w:rsid w:val="006037B0"/>
    <w:rsid w:val="00604F08"/>
    <w:rsid w:val="00605A7F"/>
    <w:rsid w:val="00606671"/>
    <w:rsid w:val="006100E5"/>
    <w:rsid w:val="006104FB"/>
    <w:rsid w:val="00612329"/>
    <w:rsid w:val="006137A6"/>
    <w:rsid w:val="00613B16"/>
    <w:rsid w:val="00615574"/>
    <w:rsid w:val="006164AA"/>
    <w:rsid w:val="00623F9C"/>
    <w:rsid w:val="006243C6"/>
    <w:rsid w:val="006243F4"/>
    <w:rsid w:val="0062547C"/>
    <w:rsid w:val="00626329"/>
    <w:rsid w:val="00630893"/>
    <w:rsid w:val="0064129F"/>
    <w:rsid w:val="0064309D"/>
    <w:rsid w:val="00647B88"/>
    <w:rsid w:val="00647BB7"/>
    <w:rsid w:val="00660F56"/>
    <w:rsid w:val="00663305"/>
    <w:rsid w:val="006711DF"/>
    <w:rsid w:val="00675874"/>
    <w:rsid w:val="006764FE"/>
    <w:rsid w:val="00680297"/>
    <w:rsid w:val="0068046D"/>
    <w:rsid w:val="00680871"/>
    <w:rsid w:val="00683956"/>
    <w:rsid w:val="006873CE"/>
    <w:rsid w:val="0069205F"/>
    <w:rsid w:val="00694C41"/>
    <w:rsid w:val="0069610E"/>
    <w:rsid w:val="00697A4D"/>
    <w:rsid w:val="006A0786"/>
    <w:rsid w:val="006A0B95"/>
    <w:rsid w:val="006A11D6"/>
    <w:rsid w:val="006A251D"/>
    <w:rsid w:val="006A5F72"/>
    <w:rsid w:val="006B363D"/>
    <w:rsid w:val="006B520A"/>
    <w:rsid w:val="006B523A"/>
    <w:rsid w:val="006C170A"/>
    <w:rsid w:val="006C72FE"/>
    <w:rsid w:val="006D0A44"/>
    <w:rsid w:val="006D0EB0"/>
    <w:rsid w:val="006D10EC"/>
    <w:rsid w:val="006D478B"/>
    <w:rsid w:val="006D4DAA"/>
    <w:rsid w:val="006D60D0"/>
    <w:rsid w:val="006D672B"/>
    <w:rsid w:val="006E04DB"/>
    <w:rsid w:val="006E05CD"/>
    <w:rsid w:val="006E0800"/>
    <w:rsid w:val="006E0852"/>
    <w:rsid w:val="006E0CBA"/>
    <w:rsid w:val="006E1FFA"/>
    <w:rsid w:val="006E3AB4"/>
    <w:rsid w:val="006E6321"/>
    <w:rsid w:val="006F06C1"/>
    <w:rsid w:val="006F31F8"/>
    <w:rsid w:val="006F3985"/>
    <w:rsid w:val="006F4B42"/>
    <w:rsid w:val="006F4EDE"/>
    <w:rsid w:val="006F683C"/>
    <w:rsid w:val="006F6C2A"/>
    <w:rsid w:val="006F74AB"/>
    <w:rsid w:val="0070169C"/>
    <w:rsid w:val="00701F57"/>
    <w:rsid w:val="00702096"/>
    <w:rsid w:val="00704CCA"/>
    <w:rsid w:val="00705171"/>
    <w:rsid w:val="007053B0"/>
    <w:rsid w:val="00710E94"/>
    <w:rsid w:val="0071542A"/>
    <w:rsid w:val="00726D57"/>
    <w:rsid w:val="00726D6F"/>
    <w:rsid w:val="00727D8A"/>
    <w:rsid w:val="00730DA8"/>
    <w:rsid w:val="00731FEA"/>
    <w:rsid w:val="007323F4"/>
    <w:rsid w:val="007333F3"/>
    <w:rsid w:val="00735921"/>
    <w:rsid w:val="0073599B"/>
    <w:rsid w:val="00736D16"/>
    <w:rsid w:val="00736F61"/>
    <w:rsid w:val="0074185E"/>
    <w:rsid w:val="00742253"/>
    <w:rsid w:val="007436F0"/>
    <w:rsid w:val="0074422A"/>
    <w:rsid w:val="007456A0"/>
    <w:rsid w:val="0074728E"/>
    <w:rsid w:val="007519E5"/>
    <w:rsid w:val="00755696"/>
    <w:rsid w:val="00755B00"/>
    <w:rsid w:val="00757B95"/>
    <w:rsid w:val="007649C4"/>
    <w:rsid w:val="00764E8E"/>
    <w:rsid w:val="007662C7"/>
    <w:rsid w:val="00772FAF"/>
    <w:rsid w:val="00776306"/>
    <w:rsid w:val="0077769D"/>
    <w:rsid w:val="007816E2"/>
    <w:rsid w:val="00784B61"/>
    <w:rsid w:val="00786832"/>
    <w:rsid w:val="00790D9B"/>
    <w:rsid w:val="00792A70"/>
    <w:rsid w:val="007970FC"/>
    <w:rsid w:val="007A074C"/>
    <w:rsid w:val="007A1887"/>
    <w:rsid w:val="007A33F8"/>
    <w:rsid w:val="007A55A7"/>
    <w:rsid w:val="007A57BC"/>
    <w:rsid w:val="007B1F10"/>
    <w:rsid w:val="007B2143"/>
    <w:rsid w:val="007B283C"/>
    <w:rsid w:val="007B335E"/>
    <w:rsid w:val="007B4A9D"/>
    <w:rsid w:val="007C05CF"/>
    <w:rsid w:val="007C137D"/>
    <w:rsid w:val="007C7D64"/>
    <w:rsid w:val="007D4A43"/>
    <w:rsid w:val="007D4E1D"/>
    <w:rsid w:val="007D4F7A"/>
    <w:rsid w:val="007D6771"/>
    <w:rsid w:val="007D7E49"/>
    <w:rsid w:val="007E018D"/>
    <w:rsid w:val="007E021B"/>
    <w:rsid w:val="007E0A66"/>
    <w:rsid w:val="007E0E82"/>
    <w:rsid w:val="007E16C4"/>
    <w:rsid w:val="007E2ABA"/>
    <w:rsid w:val="007E4E3F"/>
    <w:rsid w:val="007E6A45"/>
    <w:rsid w:val="007F0110"/>
    <w:rsid w:val="007F0250"/>
    <w:rsid w:val="007F1B71"/>
    <w:rsid w:val="007F2C75"/>
    <w:rsid w:val="0080320B"/>
    <w:rsid w:val="00807E7D"/>
    <w:rsid w:val="008145BA"/>
    <w:rsid w:val="008174DE"/>
    <w:rsid w:val="00821ABD"/>
    <w:rsid w:val="00823A77"/>
    <w:rsid w:val="00824739"/>
    <w:rsid w:val="008249BE"/>
    <w:rsid w:val="00826285"/>
    <w:rsid w:val="00831675"/>
    <w:rsid w:val="00833654"/>
    <w:rsid w:val="00837D30"/>
    <w:rsid w:val="008404AD"/>
    <w:rsid w:val="00840B7B"/>
    <w:rsid w:val="00841B01"/>
    <w:rsid w:val="00844849"/>
    <w:rsid w:val="00845A80"/>
    <w:rsid w:val="008552D6"/>
    <w:rsid w:val="008559B0"/>
    <w:rsid w:val="00855DA3"/>
    <w:rsid w:val="00860BB5"/>
    <w:rsid w:val="00862443"/>
    <w:rsid w:val="008647A4"/>
    <w:rsid w:val="00864B7D"/>
    <w:rsid w:val="00871910"/>
    <w:rsid w:val="00877071"/>
    <w:rsid w:val="008779B4"/>
    <w:rsid w:val="00877A2F"/>
    <w:rsid w:val="00880588"/>
    <w:rsid w:val="0088138D"/>
    <w:rsid w:val="008834D2"/>
    <w:rsid w:val="00883863"/>
    <w:rsid w:val="0088467C"/>
    <w:rsid w:val="008853B9"/>
    <w:rsid w:val="00885AA3"/>
    <w:rsid w:val="00890730"/>
    <w:rsid w:val="00891F21"/>
    <w:rsid w:val="00892D3B"/>
    <w:rsid w:val="00894579"/>
    <w:rsid w:val="008970AD"/>
    <w:rsid w:val="008A20CD"/>
    <w:rsid w:val="008A2108"/>
    <w:rsid w:val="008A2BDB"/>
    <w:rsid w:val="008A399B"/>
    <w:rsid w:val="008A5B67"/>
    <w:rsid w:val="008A5CCD"/>
    <w:rsid w:val="008A6A6D"/>
    <w:rsid w:val="008B29E7"/>
    <w:rsid w:val="008B2C4E"/>
    <w:rsid w:val="008B33DF"/>
    <w:rsid w:val="008B44DE"/>
    <w:rsid w:val="008B5C0B"/>
    <w:rsid w:val="008C2216"/>
    <w:rsid w:val="008C31A6"/>
    <w:rsid w:val="008C75F6"/>
    <w:rsid w:val="008D07E2"/>
    <w:rsid w:val="008D16F7"/>
    <w:rsid w:val="008D40FA"/>
    <w:rsid w:val="008D4835"/>
    <w:rsid w:val="008D6302"/>
    <w:rsid w:val="008E0DC1"/>
    <w:rsid w:val="008E1427"/>
    <w:rsid w:val="008E52C7"/>
    <w:rsid w:val="008E5A1D"/>
    <w:rsid w:val="008F0C50"/>
    <w:rsid w:val="008F1ED0"/>
    <w:rsid w:val="008F2529"/>
    <w:rsid w:val="008F33E7"/>
    <w:rsid w:val="008F3ED2"/>
    <w:rsid w:val="008F778A"/>
    <w:rsid w:val="00900255"/>
    <w:rsid w:val="00901066"/>
    <w:rsid w:val="00902ED6"/>
    <w:rsid w:val="0090320B"/>
    <w:rsid w:val="00903EB6"/>
    <w:rsid w:val="0090504B"/>
    <w:rsid w:val="00906037"/>
    <w:rsid w:val="00910812"/>
    <w:rsid w:val="0091280A"/>
    <w:rsid w:val="009143A0"/>
    <w:rsid w:val="00917FC2"/>
    <w:rsid w:val="00921B5A"/>
    <w:rsid w:val="00923CFF"/>
    <w:rsid w:val="00925124"/>
    <w:rsid w:val="00925635"/>
    <w:rsid w:val="00927C59"/>
    <w:rsid w:val="00931881"/>
    <w:rsid w:val="0093421F"/>
    <w:rsid w:val="00936785"/>
    <w:rsid w:val="00936902"/>
    <w:rsid w:val="00942170"/>
    <w:rsid w:val="0094296E"/>
    <w:rsid w:val="0094322E"/>
    <w:rsid w:val="00943B79"/>
    <w:rsid w:val="0094486D"/>
    <w:rsid w:val="00950E58"/>
    <w:rsid w:val="00952A0A"/>
    <w:rsid w:val="00952DF0"/>
    <w:rsid w:val="009531E2"/>
    <w:rsid w:val="00953ABF"/>
    <w:rsid w:val="00954679"/>
    <w:rsid w:val="009552FE"/>
    <w:rsid w:val="00955673"/>
    <w:rsid w:val="009562E9"/>
    <w:rsid w:val="009655DA"/>
    <w:rsid w:val="00965BBC"/>
    <w:rsid w:val="009673D0"/>
    <w:rsid w:val="00967D7C"/>
    <w:rsid w:val="00972823"/>
    <w:rsid w:val="00972CC0"/>
    <w:rsid w:val="00974996"/>
    <w:rsid w:val="0098737D"/>
    <w:rsid w:val="009873E6"/>
    <w:rsid w:val="00990BE6"/>
    <w:rsid w:val="0099708F"/>
    <w:rsid w:val="009A00DA"/>
    <w:rsid w:val="009A1211"/>
    <w:rsid w:val="009A1CF9"/>
    <w:rsid w:val="009A2167"/>
    <w:rsid w:val="009A49F0"/>
    <w:rsid w:val="009A5307"/>
    <w:rsid w:val="009A7B2C"/>
    <w:rsid w:val="009B38A5"/>
    <w:rsid w:val="009B7A38"/>
    <w:rsid w:val="009C0051"/>
    <w:rsid w:val="009C63F0"/>
    <w:rsid w:val="009C6A1E"/>
    <w:rsid w:val="009C772B"/>
    <w:rsid w:val="009D10E7"/>
    <w:rsid w:val="009D13C9"/>
    <w:rsid w:val="009D2F0C"/>
    <w:rsid w:val="009D44B9"/>
    <w:rsid w:val="009D477C"/>
    <w:rsid w:val="009E0694"/>
    <w:rsid w:val="009E27A5"/>
    <w:rsid w:val="009E2F86"/>
    <w:rsid w:val="009F2429"/>
    <w:rsid w:val="009F3EEF"/>
    <w:rsid w:val="00A03BCE"/>
    <w:rsid w:val="00A12209"/>
    <w:rsid w:val="00A13763"/>
    <w:rsid w:val="00A200EC"/>
    <w:rsid w:val="00A20F7D"/>
    <w:rsid w:val="00A220A2"/>
    <w:rsid w:val="00A22691"/>
    <w:rsid w:val="00A31484"/>
    <w:rsid w:val="00A31681"/>
    <w:rsid w:val="00A34CA4"/>
    <w:rsid w:val="00A36DF3"/>
    <w:rsid w:val="00A37991"/>
    <w:rsid w:val="00A43410"/>
    <w:rsid w:val="00A4441D"/>
    <w:rsid w:val="00A50055"/>
    <w:rsid w:val="00A532DD"/>
    <w:rsid w:val="00A5522E"/>
    <w:rsid w:val="00A5536B"/>
    <w:rsid w:val="00A649B6"/>
    <w:rsid w:val="00A71F84"/>
    <w:rsid w:val="00A74B90"/>
    <w:rsid w:val="00A760F0"/>
    <w:rsid w:val="00A80BCF"/>
    <w:rsid w:val="00A825D1"/>
    <w:rsid w:val="00A8369C"/>
    <w:rsid w:val="00A83C27"/>
    <w:rsid w:val="00A86579"/>
    <w:rsid w:val="00A873F3"/>
    <w:rsid w:val="00A90212"/>
    <w:rsid w:val="00A90CC4"/>
    <w:rsid w:val="00A9401D"/>
    <w:rsid w:val="00A94EE3"/>
    <w:rsid w:val="00A95C1D"/>
    <w:rsid w:val="00A96C67"/>
    <w:rsid w:val="00AA010E"/>
    <w:rsid w:val="00AA1689"/>
    <w:rsid w:val="00AA2390"/>
    <w:rsid w:val="00AA496F"/>
    <w:rsid w:val="00AA5770"/>
    <w:rsid w:val="00AA65D7"/>
    <w:rsid w:val="00AA70DB"/>
    <w:rsid w:val="00AB0000"/>
    <w:rsid w:val="00AB2E70"/>
    <w:rsid w:val="00AB33C1"/>
    <w:rsid w:val="00AB3A76"/>
    <w:rsid w:val="00AB3E03"/>
    <w:rsid w:val="00AC14DF"/>
    <w:rsid w:val="00AC1D15"/>
    <w:rsid w:val="00AD44C6"/>
    <w:rsid w:val="00AE2CAB"/>
    <w:rsid w:val="00AE460D"/>
    <w:rsid w:val="00AE7F82"/>
    <w:rsid w:val="00AF290B"/>
    <w:rsid w:val="00AF6D23"/>
    <w:rsid w:val="00AF7AEF"/>
    <w:rsid w:val="00B0249F"/>
    <w:rsid w:val="00B07B0C"/>
    <w:rsid w:val="00B120F9"/>
    <w:rsid w:val="00B14089"/>
    <w:rsid w:val="00B1565D"/>
    <w:rsid w:val="00B22444"/>
    <w:rsid w:val="00B235B0"/>
    <w:rsid w:val="00B23CDB"/>
    <w:rsid w:val="00B25563"/>
    <w:rsid w:val="00B26D48"/>
    <w:rsid w:val="00B2789F"/>
    <w:rsid w:val="00B30959"/>
    <w:rsid w:val="00B32DBA"/>
    <w:rsid w:val="00B33106"/>
    <w:rsid w:val="00B340A3"/>
    <w:rsid w:val="00B40949"/>
    <w:rsid w:val="00B40D80"/>
    <w:rsid w:val="00B41F7B"/>
    <w:rsid w:val="00B42EE1"/>
    <w:rsid w:val="00B43AFF"/>
    <w:rsid w:val="00B47067"/>
    <w:rsid w:val="00B47A59"/>
    <w:rsid w:val="00B5250B"/>
    <w:rsid w:val="00B5349B"/>
    <w:rsid w:val="00B5461C"/>
    <w:rsid w:val="00B5649C"/>
    <w:rsid w:val="00B6155D"/>
    <w:rsid w:val="00B67957"/>
    <w:rsid w:val="00B7138A"/>
    <w:rsid w:val="00B8293D"/>
    <w:rsid w:val="00B83965"/>
    <w:rsid w:val="00B87A49"/>
    <w:rsid w:val="00B91ECE"/>
    <w:rsid w:val="00B92478"/>
    <w:rsid w:val="00B943FB"/>
    <w:rsid w:val="00B96975"/>
    <w:rsid w:val="00B97152"/>
    <w:rsid w:val="00B97463"/>
    <w:rsid w:val="00BA0122"/>
    <w:rsid w:val="00BA13A1"/>
    <w:rsid w:val="00BA25B4"/>
    <w:rsid w:val="00BA6188"/>
    <w:rsid w:val="00BA645A"/>
    <w:rsid w:val="00BB07AA"/>
    <w:rsid w:val="00BB10D6"/>
    <w:rsid w:val="00BB2455"/>
    <w:rsid w:val="00BB342D"/>
    <w:rsid w:val="00BB608E"/>
    <w:rsid w:val="00BB7567"/>
    <w:rsid w:val="00BC361A"/>
    <w:rsid w:val="00BC4282"/>
    <w:rsid w:val="00BC5924"/>
    <w:rsid w:val="00BC68C2"/>
    <w:rsid w:val="00BD2045"/>
    <w:rsid w:val="00BD3450"/>
    <w:rsid w:val="00BD3D7D"/>
    <w:rsid w:val="00BD49F7"/>
    <w:rsid w:val="00BD61A2"/>
    <w:rsid w:val="00BD7832"/>
    <w:rsid w:val="00BE2C59"/>
    <w:rsid w:val="00BE484D"/>
    <w:rsid w:val="00BE520C"/>
    <w:rsid w:val="00BE5E9F"/>
    <w:rsid w:val="00BF2596"/>
    <w:rsid w:val="00C00B11"/>
    <w:rsid w:val="00C111B8"/>
    <w:rsid w:val="00C1120D"/>
    <w:rsid w:val="00C11953"/>
    <w:rsid w:val="00C12A63"/>
    <w:rsid w:val="00C20B2A"/>
    <w:rsid w:val="00C23D47"/>
    <w:rsid w:val="00C24EDE"/>
    <w:rsid w:val="00C35003"/>
    <w:rsid w:val="00C355FF"/>
    <w:rsid w:val="00C3796F"/>
    <w:rsid w:val="00C37E05"/>
    <w:rsid w:val="00C40A28"/>
    <w:rsid w:val="00C4270A"/>
    <w:rsid w:val="00C47789"/>
    <w:rsid w:val="00C47A68"/>
    <w:rsid w:val="00C52172"/>
    <w:rsid w:val="00C52667"/>
    <w:rsid w:val="00C53F83"/>
    <w:rsid w:val="00C55D29"/>
    <w:rsid w:val="00C56F2E"/>
    <w:rsid w:val="00C608F0"/>
    <w:rsid w:val="00C62B3A"/>
    <w:rsid w:val="00C67C37"/>
    <w:rsid w:val="00C67FBD"/>
    <w:rsid w:val="00C80D82"/>
    <w:rsid w:val="00C81DA3"/>
    <w:rsid w:val="00C83DB6"/>
    <w:rsid w:val="00C84FA0"/>
    <w:rsid w:val="00C86F6D"/>
    <w:rsid w:val="00C94040"/>
    <w:rsid w:val="00C948D8"/>
    <w:rsid w:val="00CA0BE9"/>
    <w:rsid w:val="00CA138D"/>
    <w:rsid w:val="00CA424F"/>
    <w:rsid w:val="00CA57D9"/>
    <w:rsid w:val="00CA5D67"/>
    <w:rsid w:val="00CB0E70"/>
    <w:rsid w:val="00CB5E72"/>
    <w:rsid w:val="00CB684F"/>
    <w:rsid w:val="00CB7CD7"/>
    <w:rsid w:val="00CC220F"/>
    <w:rsid w:val="00CC2AFE"/>
    <w:rsid w:val="00CC7641"/>
    <w:rsid w:val="00CD11E1"/>
    <w:rsid w:val="00CD31FD"/>
    <w:rsid w:val="00CD3BFF"/>
    <w:rsid w:val="00CE0B46"/>
    <w:rsid w:val="00CE2DD2"/>
    <w:rsid w:val="00CE4EFB"/>
    <w:rsid w:val="00CE6807"/>
    <w:rsid w:val="00CE7D19"/>
    <w:rsid w:val="00CF0681"/>
    <w:rsid w:val="00CF0D5B"/>
    <w:rsid w:val="00CF1959"/>
    <w:rsid w:val="00CF2515"/>
    <w:rsid w:val="00CF3E79"/>
    <w:rsid w:val="00CF4D8D"/>
    <w:rsid w:val="00CF7581"/>
    <w:rsid w:val="00D00BBE"/>
    <w:rsid w:val="00D074A2"/>
    <w:rsid w:val="00D12D6C"/>
    <w:rsid w:val="00D13794"/>
    <w:rsid w:val="00D15E17"/>
    <w:rsid w:val="00D218E7"/>
    <w:rsid w:val="00D24052"/>
    <w:rsid w:val="00D24386"/>
    <w:rsid w:val="00D31575"/>
    <w:rsid w:val="00D31A5E"/>
    <w:rsid w:val="00D31A89"/>
    <w:rsid w:val="00D335F1"/>
    <w:rsid w:val="00D34209"/>
    <w:rsid w:val="00D34626"/>
    <w:rsid w:val="00D34FB4"/>
    <w:rsid w:val="00D359BA"/>
    <w:rsid w:val="00D3646D"/>
    <w:rsid w:val="00D4257A"/>
    <w:rsid w:val="00D456A9"/>
    <w:rsid w:val="00D45841"/>
    <w:rsid w:val="00D5134C"/>
    <w:rsid w:val="00D52798"/>
    <w:rsid w:val="00D5468A"/>
    <w:rsid w:val="00D5759F"/>
    <w:rsid w:val="00D61745"/>
    <w:rsid w:val="00D62665"/>
    <w:rsid w:val="00D645AC"/>
    <w:rsid w:val="00D656D8"/>
    <w:rsid w:val="00D65C32"/>
    <w:rsid w:val="00D66C71"/>
    <w:rsid w:val="00D66D7C"/>
    <w:rsid w:val="00D70205"/>
    <w:rsid w:val="00D735EF"/>
    <w:rsid w:val="00D74551"/>
    <w:rsid w:val="00D7609F"/>
    <w:rsid w:val="00D76C9B"/>
    <w:rsid w:val="00D81039"/>
    <w:rsid w:val="00D81AA7"/>
    <w:rsid w:val="00D82E47"/>
    <w:rsid w:val="00D84A01"/>
    <w:rsid w:val="00D931D2"/>
    <w:rsid w:val="00D977EA"/>
    <w:rsid w:val="00DA37E0"/>
    <w:rsid w:val="00DA6BDC"/>
    <w:rsid w:val="00DB148C"/>
    <w:rsid w:val="00DB1A31"/>
    <w:rsid w:val="00DB202E"/>
    <w:rsid w:val="00DB4F78"/>
    <w:rsid w:val="00DC027B"/>
    <w:rsid w:val="00DC0CDE"/>
    <w:rsid w:val="00DC1A85"/>
    <w:rsid w:val="00DC498E"/>
    <w:rsid w:val="00DC4D72"/>
    <w:rsid w:val="00DC5DF6"/>
    <w:rsid w:val="00DC6525"/>
    <w:rsid w:val="00DC7018"/>
    <w:rsid w:val="00DD12B0"/>
    <w:rsid w:val="00DD2AA0"/>
    <w:rsid w:val="00DD5610"/>
    <w:rsid w:val="00DD5B09"/>
    <w:rsid w:val="00DD73D8"/>
    <w:rsid w:val="00DE2B08"/>
    <w:rsid w:val="00DE4856"/>
    <w:rsid w:val="00DE641A"/>
    <w:rsid w:val="00DF0650"/>
    <w:rsid w:val="00DF0CB3"/>
    <w:rsid w:val="00DF3A91"/>
    <w:rsid w:val="00DF494C"/>
    <w:rsid w:val="00DF5831"/>
    <w:rsid w:val="00DF6D0B"/>
    <w:rsid w:val="00DF7E0D"/>
    <w:rsid w:val="00E05C5B"/>
    <w:rsid w:val="00E0624D"/>
    <w:rsid w:val="00E0666D"/>
    <w:rsid w:val="00E07EA6"/>
    <w:rsid w:val="00E1209D"/>
    <w:rsid w:val="00E179D4"/>
    <w:rsid w:val="00E20023"/>
    <w:rsid w:val="00E24682"/>
    <w:rsid w:val="00E25CAC"/>
    <w:rsid w:val="00E31374"/>
    <w:rsid w:val="00E33C28"/>
    <w:rsid w:val="00E3409D"/>
    <w:rsid w:val="00E353A3"/>
    <w:rsid w:val="00E35C9D"/>
    <w:rsid w:val="00E37FF7"/>
    <w:rsid w:val="00E44159"/>
    <w:rsid w:val="00E4438C"/>
    <w:rsid w:val="00E457F3"/>
    <w:rsid w:val="00E4588E"/>
    <w:rsid w:val="00E50663"/>
    <w:rsid w:val="00E540BE"/>
    <w:rsid w:val="00E54561"/>
    <w:rsid w:val="00E55F9B"/>
    <w:rsid w:val="00E576F5"/>
    <w:rsid w:val="00E57A6A"/>
    <w:rsid w:val="00E61B17"/>
    <w:rsid w:val="00E64D62"/>
    <w:rsid w:val="00E7113E"/>
    <w:rsid w:val="00E73CC1"/>
    <w:rsid w:val="00E8374F"/>
    <w:rsid w:val="00E85011"/>
    <w:rsid w:val="00E855B2"/>
    <w:rsid w:val="00E86357"/>
    <w:rsid w:val="00E87284"/>
    <w:rsid w:val="00E9254B"/>
    <w:rsid w:val="00E97664"/>
    <w:rsid w:val="00EA0654"/>
    <w:rsid w:val="00EA1464"/>
    <w:rsid w:val="00EA4630"/>
    <w:rsid w:val="00EA4DD8"/>
    <w:rsid w:val="00EA7959"/>
    <w:rsid w:val="00EB2AEF"/>
    <w:rsid w:val="00EB2BED"/>
    <w:rsid w:val="00EB6AE3"/>
    <w:rsid w:val="00EB7E71"/>
    <w:rsid w:val="00EC48B0"/>
    <w:rsid w:val="00ED123E"/>
    <w:rsid w:val="00ED1F15"/>
    <w:rsid w:val="00ED216B"/>
    <w:rsid w:val="00ED258E"/>
    <w:rsid w:val="00ED4F46"/>
    <w:rsid w:val="00ED7B62"/>
    <w:rsid w:val="00EF0E4B"/>
    <w:rsid w:val="00EF2788"/>
    <w:rsid w:val="00EF3103"/>
    <w:rsid w:val="00EF55CB"/>
    <w:rsid w:val="00EF6586"/>
    <w:rsid w:val="00EF6C81"/>
    <w:rsid w:val="00EF6E9B"/>
    <w:rsid w:val="00EF7714"/>
    <w:rsid w:val="00F023DB"/>
    <w:rsid w:val="00F057C2"/>
    <w:rsid w:val="00F070F5"/>
    <w:rsid w:val="00F109D4"/>
    <w:rsid w:val="00F10A6F"/>
    <w:rsid w:val="00F13D7F"/>
    <w:rsid w:val="00F1400D"/>
    <w:rsid w:val="00F15EE9"/>
    <w:rsid w:val="00F1775E"/>
    <w:rsid w:val="00F20A7E"/>
    <w:rsid w:val="00F213C7"/>
    <w:rsid w:val="00F24736"/>
    <w:rsid w:val="00F25FE5"/>
    <w:rsid w:val="00F27344"/>
    <w:rsid w:val="00F2744D"/>
    <w:rsid w:val="00F276BC"/>
    <w:rsid w:val="00F27DA6"/>
    <w:rsid w:val="00F305BE"/>
    <w:rsid w:val="00F3365E"/>
    <w:rsid w:val="00F343AA"/>
    <w:rsid w:val="00F3553A"/>
    <w:rsid w:val="00F35672"/>
    <w:rsid w:val="00F37B04"/>
    <w:rsid w:val="00F4241B"/>
    <w:rsid w:val="00F46704"/>
    <w:rsid w:val="00F46C17"/>
    <w:rsid w:val="00F47585"/>
    <w:rsid w:val="00F50469"/>
    <w:rsid w:val="00F51473"/>
    <w:rsid w:val="00F534B7"/>
    <w:rsid w:val="00F5575E"/>
    <w:rsid w:val="00F55997"/>
    <w:rsid w:val="00F608F9"/>
    <w:rsid w:val="00F6249C"/>
    <w:rsid w:val="00F66A3A"/>
    <w:rsid w:val="00F678B8"/>
    <w:rsid w:val="00F7078E"/>
    <w:rsid w:val="00F73882"/>
    <w:rsid w:val="00F75BDB"/>
    <w:rsid w:val="00F81232"/>
    <w:rsid w:val="00F81ECF"/>
    <w:rsid w:val="00F8291C"/>
    <w:rsid w:val="00F8551F"/>
    <w:rsid w:val="00F85E6F"/>
    <w:rsid w:val="00F9281B"/>
    <w:rsid w:val="00F940B3"/>
    <w:rsid w:val="00F95449"/>
    <w:rsid w:val="00F9696E"/>
    <w:rsid w:val="00FA1942"/>
    <w:rsid w:val="00FA3407"/>
    <w:rsid w:val="00FA380A"/>
    <w:rsid w:val="00FA3ED4"/>
    <w:rsid w:val="00FA5864"/>
    <w:rsid w:val="00FB1777"/>
    <w:rsid w:val="00FB32CC"/>
    <w:rsid w:val="00FC2CB5"/>
    <w:rsid w:val="00FC38D9"/>
    <w:rsid w:val="00FC3A8F"/>
    <w:rsid w:val="00FC595E"/>
    <w:rsid w:val="00FC5F13"/>
    <w:rsid w:val="00FD19F7"/>
    <w:rsid w:val="00FD6A86"/>
    <w:rsid w:val="00FD7402"/>
    <w:rsid w:val="00FE04E4"/>
    <w:rsid w:val="00FE2DD7"/>
    <w:rsid w:val="00FE38FA"/>
    <w:rsid w:val="00FE73F9"/>
    <w:rsid w:val="00FF1057"/>
    <w:rsid w:val="00FF3782"/>
    <w:rsid w:val="00FF3E25"/>
    <w:rsid w:val="00FF5FD8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93E7"/>
  <w15:docId w15:val="{2D64AF36-698B-442C-AE9C-31A2ACC7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B166B8DC7B4D0FA8E4C28E1733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A2E5-B88C-48A3-9AAC-6A1908CB1701}"/>
      </w:docPartPr>
      <w:docPartBody>
        <w:p w:rsidR="00CC139F" w:rsidRDefault="00CC139F">
          <w:pPr>
            <w:pStyle w:val="5BB166B8DC7B4D0FA8E4C28E1733052E"/>
          </w:pPr>
          <w:r w:rsidRPr="003C5719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9F"/>
    <w:rsid w:val="00227FF9"/>
    <w:rsid w:val="003B6DDD"/>
    <w:rsid w:val="00C753BA"/>
    <w:rsid w:val="00CC139F"/>
    <w:rsid w:val="00D20E5F"/>
    <w:rsid w:val="00D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BB166B8DC7B4D0FA8E4C28E1733052E">
    <w:name w:val="5BB166B8DC7B4D0FA8E4C28E17330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S574FYTY5PW6-969949929-2166</_dlc_DocId>
    <_dlc_DocIdUrl xmlns="fe39d773-a83d-4623-ae74-f25711a76616">
      <Url>https://austreasury.sharepoint.com/sites/leg-cord-function/_layouts/15/DocIdRedir.aspx?ID=S574FYTY5PW6-969949929-2166</Url>
      <Description>S574FYTY5PW6-969949929-2166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MailIn-Reply-To xmlns="fe39d773-a83d-4623-ae74-f25711a76616" xsi:nil="true"/>
    <Cc xmlns="fe39d773-a83d-4623-ae74-f25711a76616" xsi:nil="true"/>
    <From1 xmlns="fe39d773-a83d-4623-ae74-f25711a76616" xsi:nil="true"/>
    <MailSubject xmlns="fe39d773-a83d-4623-ae74-f25711a76616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EmailAttachments xmlns="fe39d773-a83d-4623-ae74-f25711a76616">false</EmailAttachments>
    <MailTo xmlns="fe39d773-a83d-4623-ae74-f25711a76616" xsi:nil="true"/>
    <lcf76f155ced4ddcb4097134ff3c332f xmlns="30b813c2-29e2-43aa-bac2-1ed67b791ce7" xsi:nil="true"/>
    <k5702ebc2d804f54815653409837d9c5 xmlns="30b813c2-29e2-43aa-bac2-1ed67b791ce7">Legislation Coordination|58c6712e-e847-48f4-81ab-b25e2bbd3986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1dadd02a21796adf5f95e981a54a9446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7333c75b25f4fe63b9948aa3c7ec179b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8533-3486-40E5-9013-DD26FD164D39}">
  <ds:schemaRefs>
    <ds:schemaRef ds:uri="http://schemas.microsoft.com/office/infopath/2007/PartnerControls"/>
    <ds:schemaRef ds:uri="fe39d773-a83d-4623-ae74-f25711a76616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ff38c824-6e29-4496-8487-69f397e7ed29"/>
    <ds:schemaRef ds:uri="http://schemas.microsoft.com/office/2006/documentManagement/types"/>
    <ds:schemaRef ds:uri="http://www.w3.org/XML/1998/namespace"/>
    <ds:schemaRef ds:uri="9d5f6961-f429-4f6b-9e54-06d12bad4599"/>
    <ds:schemaRef ds:uri="http://purl.org/dc/elements/1.1/"/>
    <ds:schemaRef ds:uri="a289cb20-8bb9-401f-8d7b-706fb1a2988d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AEC2BA-AE17-4950-B3EF-899968B638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E01C28-40D2-4393-BCA1-E38BF919C999}"/>
</file>

<file path=customXml/itemProps5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91</TotalTime>
  <Pages>1</Pages>
  <Words>793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Treasury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O'Hanlon, Matthew</dc:creator>
  <cp:keywords/>
  <dc:description/>
  <cp:lastModifiedBy>O'Hanlon, Matthew</cp:lastModifiedBy>
  <cp:revision>116</cp:revision>
  <cp:lastPrinted>2019-02-21T03:23:00Z</cp:lastPrinted>
  <dcterms:created xsi:type="dcterms:W3CDTF">2024-12-19T02:11:00Z</dcterms:created>
  <dcterms:modified xsi:type="dcterms:W3CDTF">2024-12-16T00:25:00Z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0x0101003ECC5A3B3DB5EC46B1D76B9A37FC826900E969BE2F7B1AE24D9EF5D8700B1FECCB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_dlc_DocIdItemGuid">
    <vt:lpwstr>84dd77e8-3656-421d-81ce-0bab100c1ac8</vt:lpwstr>
  </property>
  <property fmtid="{D5CDD505-2E9C-101B-9397-08002B2CF9AE}" pid="6" name="TSYTopic">
    <vt:lpwstr/>
  </property>
  <property fmtid="{D5CDD505-2E9C-101B-9397-08002B2CF9AE}" pid="7" name="eTheme">
    <vt:lpwstr>1;#Law Design|318dd2d2-18da-4b8e-a458-14db2c1af95f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153;#Explanatory Materials|ac61e78e-992e-40fd-ae93-2c9522960b05</vt:lpwstr>
  </property>
  <property fmtid="{D5CDD505-2E9C-101B-9397-08002B2CF9AE}" pid="11" name="TSYOffice">
    <vt:lpwstr/>
  </property>
  <property fmtid="{D5CDD505-2E9C-101B-9397-08002B2CF9AE}" pid="12" name="eTopic">
    <vt:lpwstr>36;#Legislation Coordination|58c6712e-e847-48f4-81ab-b25e2bbd3986</vt:lpwstr>
  </property>
  <property fmtid="{D5CDD505-2E9C-101B-9397-08002B2CF9AE}" pid="13" name="MSIP_Label_4f932d64-9ab1-4d9b-81d2-a3a8b82dd47d_Enabled">
    <vt:lpwstr>true</vt:lpwstr>
  </property>
  <property fmtid="{D5CDD505-2E9C-101B-9397-08002B2CF9AE}" pid="14" name="MSIP_Label_4f932d64-9ab1-4d9b-81d2-a3a8b82dd47d_SetDate">
    <vt:lpwstr>2024-08-27T04:29:20Z</vt:lpwstr>
  </property>
  <property fmtid="{D5CDD505-2E9C-101B-9397-08002B2CF9AE}" pid="15" name="MSIP_Label_4f932d64-9ab1-4d9b-81d2-a3a8b82dd47d_Method">
    <vt:lpwstr>Privileged</vt:lpwstr>
  </property>
  <property fmtid="{D5CDD505-2E9C-101B-9397-08002B2CF9AE}" pid="16" name="MSIP_Label_4f932d64-9ab1-4d9b-81d2-a3a8b82dd47d_Name">
    <vt:lpwstr>OFFICIAL No Visual Marking</vt:lpwstr>
  </property>
  <property fmtid="{D5CDD505-2E9C-101B-9397-08002B2CF9AE}" pid="17" name="MSIP_Label_4f932d64-9ab1-4d9b-81d2-a3a8b82dd47d_SiteId">
    <vt:lpwstr>214f1646-2021-47cc-8397-e3d3a7ba7d9d</vt:lpwstr>
  </property>
  <property fmtid="{D5CDD505-2E9C-101B-9397-08002B2CF9AE}" pid="18" name="MSIP_Label_4f932d64-9ab1-4d9b-81d2-a3a8b82dd47d_ActionId">
    <vt:lpwstr>52709621-0d49-48a8-89fe-0a6f3807d1b5</vt:lpwstr>
  </property>
  <property fmtid="{D5CDD505-2E9C-101B-9397-08002B2CF9AE}" pid="19" name="MSIP_Label_4f932d64-9ab1-4d9b-81d2-a3a8b82dd47d_ContentBits">
    <vt:lpwstr>0</vt:lpwstr>
  </property>
  <property fmtid="{D5CDD505-2E9C-101B-9397-08002B2CF9AE}" pid="20" name="eActivity">
    <vt:lpwstr>35;#Legislation management|cb630f2f-9155-496b-ad0f-d960eb1bf90c</vt:lpwstr>
  </property>
  <property fmtid="{D5CDD505-2E9C-101B-9397-08002B2CF9AE}" pid="21" name="LMDivision">
    <vt:lpwstr/>
  </property>
  <property fmtid="{D5CDD505-2E9C-101B-9397-08002B2CF9AE}" pid="22" name="k8424359e03846678cc4a99dd97e9705">
    <vt:lpwstr/>
  </property>
  <property fmtid="{D5CDD505-2E9C-101B-9397-08002B2CF9AE}" pid="23" name="e4fe7dcdd1c0411bbf19a4de3665191f">
    <vt:lpwstr>Legislation management|cb630f2f-9155-496b-ad0f-d960eb1bf90c</vt:lpwstr>
  </property>
  <property fmtid="{D5CDD505-2E9C-101B-9397-08002B2CF9AE}" pid="24" name="gfba5f33532c49208d2320ce38cc3c2b">
    <vt:lpwstr>Legislation Coordination|58c6712e-e847-48f4-81ab-b25e2bbd3986</vt:lpwstr>
  </property>
  <property fmtid="{D5CDD505-2E9C-101B-9397-08002B2CF9AE}" pid="25" name="Activity">
    <vt:lpwstr>35;#Legislation management|cb630f2f-9155-496b-ad0f-d960eb1bf90c</vt:lpwstr>
  </property>
  <property fmtid="{D5CDD505-2E9C-101B-9397-08002B2CF9AE}" pid="26" name="Topic">
    <vt:lpwstr>36;#Legislation Coordination|58c6712e-e847-48f4-81ab-b25e2bbd3986</vt:lpwstr>
  </property>
  <property fmtid="{D5CDD505-2E9C-101B-9397-08002B2CF9AE}" pid="27" name="Document_x0020_Type">
    <vt:lpwstr>42</vt:lpwstr>
  </property>
  <property fmtid="{D5CDD505-2E9C-101B-9397-08002B2CF9AE}" pid="28" name="Document Type">
    <vt:lpwstr>42;#Legislation|25c35cca-98fe-4d3e-a63c-3dda1c39f3ec</vt:lpwstr>
  </property>
</Properties>
</file>