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FF33" w14:textId="77777777" w:rsidR="00FA06CA" w:rsidRPr="001652FC" w:rsidRDefault="00FA06CA" w:rsidP="00FA06CA">
      <w:pPr>
        <w:rPr>
          <w:sz w:val="28"/>
        </w:rPr>
      </w:pPr>
      <w:r w:rsidRPr="001652FC">
        <w:rPr>
          <w:noProof/>
          <w:lang w:eastAsia="en-AU"/>
        </w:rPr>
        <w:drawing>
          <wp:inline distT="0" distB="0" distL="0" distR="0" wp14:anchorId="4A832B6D" wp14:editId="3035542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BFAB4" w14:textId="77777777" w:rsidR="00FA06CA" w:rsidRPr="001652FC" w:rsidRDefault="00FA06CA" w:rsidP="00FA06CA">
      <w:pPr>
        <w:rPr>
          <w:sz w:val="19"/>
        </w:rPr>
      </w:pPr>
    </w:p>
    <w:p w14:paraId="20BDA78E" w14:textId="4C9FC2EB" w:rsidR="00FA06CA" w:rsidRPr="001652FC" w:rsidRDefault="0058118A" w:rsidP="00FA06CA">
      <w:pPr>
        <w:pStyle w:val="ShortT"/>
      </w:pPr>
      <w:r w:rsidRPr="001652FC">
        <w:t>Income Tax Assessment (Build to Rent Developments) Determination</w:t>
      </w:r>
      <w:r w:rsidR="001652FC" w:rsidRPr="001652FC">
        <w:t> </w:t>
      </w:r>
      <w:r w:rsidRPr="001652FC">
        <w:t>2024</w:t>
      </w:r>
    </w:p>
    <w:p w14:paraId="26D1B619" w14:textId="31ACE9A9" w:rsidR="00FA06CA" w:rsidRPr="001652FC" w:rsidRDefault="0058118A" w:rsidP="00FA06CA">
      <w:pPr>
        <w:pStyle w:val="SignCoverPageStart"/>
        <w:spacing w:before="240"/>
        <w:rPr>
          <w:szCs w:val="22"/>
        </w:rPr>
      </w:pPr>
      <w:r w:rsidRPr="001652FC">
        <w:rPr>
          <w:szCs w:val="22"/>
        </w:rPr>
        <w:t xml:space="preserve">I, </w:t>
      </w:r>
      <w:r w:rsidR="00850FBF">
        <w:rPr>
          <w:szCs w:val="22"/>
        </w:rPr>
        <w:t xml:space="preserve">Jim Chalmers, Treasurer, </w:t>
      </w:r>
      <w:r w:rsidRPr="001652FC">
        <w:rPr>
          <w:szCs w:val="22"/>
        </w:rPr>
        <w:t>make the following determination.</w:t>
      </w:r>
    </w:p>
    <w:p w14:paraId="5643A9CF" w14:textId="488A60E6" w:rsidR="00FA06CA" w:rsidRPr="001652FC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1652FC">
        <w:rPr>
          <w:szCs w:val="22"/>
        </w:rPr>
        <w:t xml:space="preserve">Dated </w:t>
      </w:r>
      <w:r w:rsidRPr="001652FC">
        <w:rPr>
          <w:szCs w:val="22"/>
        </w:rPr>
        <w:tab/>
      </w:r>
      <w:r w:rsidRPr="001652FC">
        <w:rPr>
          <w:szCs w:val="22"/>
        </w:rPr>
        <w:tab/>
      </w:r>
      <w:r w:rsidR="006F50E2">
        <w:rPr>
          <w:szCs w:val="22"/>
        </w:rPr>
        <w:t xml:space="preserve">18 December </w:t>
      </w:r>
      <w:r w:rsidR="0058118A" w:rsidRPr="001652FC">
        <w:rPr>
          <w:szCs w:val="22"/>
        </w:rPr>
        <w:t>2024</w:t>
      </w:r>
    </w:p>
    <w:p w14:paraId="7FC15ADF" w14:textId="59236D08" w:rsidR="00FA06CA" w:rsidRPr="001652FC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37C81F8A" w14:textId="2A5B4414" w:rsidR="00FA06CA" w:rsidRPr="001652FC" w:rsidRDefault="0039754C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Jim Chalmers</w:t>
      </w:r>
    </w:p>
    <w:p w14:paraId="136EB4CC" w14:textId="3AED18EF" w:rsidR="00FA06CA" w:rsidRPr="001652FC" w:rsidRDefault="0039754C" w:rsidP="00FA06CA">
      <w:pPr>
        <w:pStyle w:val="SignCoverPageEnd"/>
        <w:rPr>
          <w:szCs w:val="22"/>
        </w:rPr>
      </w:pPr>
      <w:r>
        <w:rPr>
          <w:szCs w:val="22"/>
        </w:rPr>
        <w:t>Treasurer</w:t>
      </w:r>
    </w:p>
    <w:p w14:paraId="191AAA69" w14:textId="77777777" w:rsidR="00FA06CA" w:rsidRPr="001652FC" w:rsidRDefault="00FA06CA" w:rsidP="00FA06CA">
      <w:pPr>
        <w:rPr>
          <w:rStyle w:val="CharAmSchNo"/>
        </w:rPr>
      </w:pPr>
    </w:p>
    <w:p w14:paraId="2F084FBE" w14:textId="77777777" w:rsidR="00FA06CA" w:rsidRPr="001652FC" w:rsidRDefault="00FA06CA" w:rsidP="00FA06CA">
      <w:pPr>
        <w:pStyle w:val="Header"/>
        <w:tabs>
          <w:tab w:val="clear" w:pos="4150"/>
          <w:tab w:val="clear" w:pos="8307"/>
        </w:tabs>
      </w:pPr>
      <w:r w:rsidRPr="001652FC">
        <w:rPr>
          <w:rStyle w:val="CharChapNo"/>
        </w:rPr>
        <w:t xml:space="preserve"> </w:t>
      </w:r>
      <w:r w:rsidRPr="001652FC">
        <w:rPr>
          <w:rStyle w:val="CharChapText"/>
        </w:rPr>
        <w:t xml:space="preserve"> </w:t>
      </w:r>
    </w:p>
    <w:p w14:paraId="6CE7FE71" w14:textId="77777777" w:rsidR="00FA06CA" w:rsidRPr="001652FC" w:rsidRDefault="00FA06CA" w:rsidP="00FA06CA">
      <w:pPr>
        <w:pStyle w:val="Header"/>
        <w:tabs>
          <w:tab w:val="clear" w:pos="4150"/>
          <w:tab w:val="clear" w:pos="8307"/>
        </w:tabs>
      </w:pPr>
      <w:r w:rsidRPr="001652FC">
        <w:rPr>
          <w:rStyle w:val="CharPartNo"/>
        </w:rPr>
        <w:t xml:space="preserve"> </w:t>
      </w:r>
      <w:r w:rsidRPr="001652FC">
        <w:rPr>
          <w:rStyle w:val="CharPartText"/>
        </w:rPr>
        <w:t xml:space="preserve"> </w:t>
      </w:r>
    </w:p>
    <w:p w14:paraId="1B192DC3" w14:textId="77777777" w:rsidR="00FA06CA" w:rsidRPr="001652FC" w:rsidRDefault="00FA06CA" w:rsidP="00FA06CA">
      <w:pPr>
        <w:pStyle w:val="Header"/>
        <w:tabs>
          <w:tab w:val="clear" w:pos="4150"/>
          <w:tab w:val="clear" w:pos="8307"/>
        </w:tabs>
      </w:pPr>
      <w:r w:rsidRPr="001652FC">
        <w:rPr>
          <w:rStyle w:val="CharDivNo"/>
        </w:rPr>
        <w:t xml:space="preserve"> </w:t>
      </w:r>
      <w:r w:rsidRPr="001652FC">
        <w:rPr>
          <w:rStyle w:val="CharDivText"/>
        </w:rPr>
        <w:t xml:space="preserve"> </w:t>
      </w:r>
    </w:p>
    <w:p w14:paraId="2FFD5D4B" w14:textId="77777777" w:rsidR="00FA06CA" w:rsidRPr="001652FC" w:rsidRDefault="00FA06CA" w:rsidP="00FA06CA">
      <w:pPr>
        <w:sectPr w:rsidR="00FA06CA" w:rsidRPr="001652FC" w:rsidSect="001652FC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5F0DCB7" w14:textId="77777777" w:rsidR="00FA06CA" w:rsidRPr="001652FC" w:rsidRDefault="00FA06CA" w:rsidP="001652FC">
      <w:pPr>
        <w:rPr>
          <w:sz w:val="36"/>
        </w:rPr>
      </w:pPr>
      <w:r w:rsidRPr="001652FC">
        <w:rPr>
          <w:sz w:val="36"/>
        </w:rPr>
        <w:lastRenderedPageBreak/>
        <w:t>Contents</w:t>
      </w:r>
    </w:p>
    <w:p w14:paraId="0840E293" w14:textId="23E7C431" w:rsidR="00F57BCA" w:rsidRDefault="00695F8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F57BCA">
        <w:fldChar w:fldCharType="begin"/>
      </w:r>
      <w:r w:rsidRPr="001652FC">
        <w:instrText xml:space="preserve"> TOC \o "1-9" </w:instrText>
      </w:r>
      <w:r w:rsidRPr="00F57BCA">
        <w:fldChar w:fldCharType="separate"/>
      </w:r>
      <w:r w:rsidR="00F57BCA">
        <w:rPr>
          <w:noProof/>
        </w:rPr>
        <w:t>Part 1—Preliminary</w:t>
      </w:r>
      <w:r w:rsidR="00F57BCA">
        <w:rPr>
          <w:noProof/>
        </w:rPr>
        <w:tab/>
      </w:r>
      <w:r w:rsidR="00F57BCA" w:rsidRPr="00F57BCA">
        <w:rPr>
          <w:b w:val="0"/>
          <w:noProof/>
          <w:sz w:val="18"/>
        </w:rPr>
        <w:fldChar w:fldCharType="begin"/>
      </w:r>
      <w:r w:rsidR="00F57BCA" w:rsidRPr="00F57BCA">
        <w:rPr>
          <w:b w:val="0"/>
          <w:noProof/>
          <w:sz w:val="18"/>
        </w:rPr>
        <w:instrText xml:space="preserve"> PAGEREF _Toc184225405 \h </w:instrText>
      </w:r>
      <w:r w:rsidR="00F57BCA" w:rsidRPr="00F57BCA">
        <w:rPr>
          <w:b w:val="0"/>
          <w:noProof/>
          <w:sz w:val="18"/>
        </w:rPr>
      </w:r>
      <w:r w:rsidR="00F57BCA" w:rsidRPr="00F57BCA">
        <w:rPr>
          <w:b w:val="0"/>
          <w:noProof/>
          <w:sz w:val="18"/>
        </w:rPr>
        <w:fldChar w:fldCharType="separate"/>
      </w:r>
      <w:r w:rsidR="00C47148">
        <w:rPr>
          <w:b w:val="0"/>
          <w:noProof/>
          <w:sz w:val="18"/>
        </w:rPr>
        <w:t>1</w:t>
      </w:r>
      <w:r w:rsidR="00F57BCA" w:rsidRPr="00F57BCA">
        <w:rPr>
          <w:b w:val="0"/>
          <w:noProof/>
          <w:sz w:val="18"/>
        </w:rPr>
        <w:fldChar w:fldCharType="end"/>
      </w:r>
    </w:p>
    <w:p w14:paraId="3C40D840" w14:textId="741E736B" w:rsidR="00F57BCA" w:rsidRDefault="00F57BC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F57BCA">
        <w:rPr>
          <w:noProof/>
        </w:rPr>
        <w:fldChar w:fldCharType="begin"/>
      </w:r>
      <w:r w:rsidRPr="00F57BCA">
        <w:rPr>
          <w:noProof/>
        </w:rPr>
        <w:instrText xml:space="preserve"> PAGEREF _Toc184225406 \h </w:instrText>
      </w:r>
      <w:r w:rsidRPr="00F57BCA">
        <w:rPr>
          <w:noProof/>
        </w:rPr>
      </w:r>
      <w:r w:rsidRPr="00F57BCA">
        <w:rPr>
          <w:noProof/>
        </w:rPr>
        <w:fldChar w:fldCharType="separate"/>
      </w:r>
      <w:r w:rsidR="00C47148">
        <w:rPr>
          <w:noProof/>
        </w:rPr>
        <w:t>1</w:t>
      </w:r>
      <w:r w:rsidRPr="00F57BCA">
        <w:rPr>
          <w:noProof/>
        </w:rPr>
        <w:fldChar w:fldCharType="end"/>
      </w:r>
    </w:p>
    <w:p w14:paraId="1EB4E798" w14:textId="369927E5" w:rsidR="00F57BCA" w:rsidRDefault="00F57BC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 w:rsidRPr="00F57BCA">
        <w:rPr>
          <w:noProof/>
        </w:rPr>
        <w:fldChar w:fldCharType="begin"/>
      </w:r>
      <w:r w:rsidRPr="00F57BCA">
        <w:rPr>
          <w:noProof/>
        </w:rPr>
        <w:instrText xml:space="preserve"> PAGEREF _Toc184225407 \h </w:instrText>
      </w:r>
      <w:r w:rsidRPr="00F57BCA">
        <w:rPr>
          <w:noProof/>
        </w:rPr>
      </w:r>
      <w:r w:rsidRPr="00F57BCA">
        <w:rPr>
          <w:noProof/>
        </w:rPr>
        <w:fldChar w:fldCharType="separate"/>
      </w:r>
      <w:r w:rsidR="00C47148">
        <w:rPr>
          <w:noProof/>
        </w:rPr>
        <w:t>1</w:t>
      </w:r>
      <w:r w:rsidRPr="00F57BCA">
        <w:rPr>
          <w:noProof/>
        </w:rPr>
        <w:fldChar w:fldCharType="end"/>
      </w:r>
    </w:p>
    <w:p w14:paraId="1D256B9E" w14:textId="04EADF17" w:rsidR="00F57BCA" w:rsidRDefault="00F57BC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 w:rsidRPr="00F57BCA">
        <w:rPr>
          <w:noProof/>
        </w:rPr>
        <w:fldChar w:fldCharType="begin"/>
      </w:r>
      <w:r w:rsidRPr="00F57BCA">
        <w:rPr>
          <w:noProof/>
        </w:rPr>
        <w:instrText xml:space="preserve"> PAGEREF _Toc184225408 \h </w:instrText>
      </w:r>
      <w:r w:rsidRPr="00F57BCA">
        <w:rPr>
          <w:noProof/>
        </w:rPr>
      </w:r>
      <w:r w:rsidRPr="00F57BCA">
        <w:rPr>
          <w:noProof/>
        </w:rPr>
        <w:fldChar w:fldCharType="separate"/>
      </w:r>
      <w:r w:rsidR="00C47148">
        <w:rPr>
          <w:noProof/>
        </w:rPr>
        <w:t>1</w:t>
      </w:r>
      <w:r w:rsidRPr="00F57BCA">
        <w:rPr>
          <w:noProof/>
        </w:rPr>
        <w:fldChar w:fldCharType="end"/>
      </w:r>
    </w:p>
    <w:p w14:paraId="3F9E451F" w14:textId="7A159F3A" w:rsidR="00F57BCA" w:rsidRDefault="00F57BC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 w:rsidRPr="00F57BCA">
        <w:rPr>
          <w:noProof/>
        </w:rPr>
        <w:fldChar w:fldCharType="begin"/>
      </w:r>
      <w:r w:rsidRPr="00F57BCA">
        <w:rPr>
          <w:noProof/>
        </w:rPr>
        <w:instrText xml:space="preserve"> PAGEREF _Toc184225409 \h </w:instrText>
      </w:r>
      <w:r w:rsidRPr="00F57BCA">
        <w:rPr>
          <w:noProof/>
        </w:rPr>
      </w:r>
      <w:r w:rsidRPr="00F57BCA">
        <w:rPr>
          <w:noProof/>
        </w:rPr>
        <w:fldChar w:fldCharType="separate"/>
      </w:r>
      <w:r w:rsidR="00C47148">
        <w:rPr>
          <w:noProof/>
        </w:rPr>
        <w:t>1</w:t>
      </w:r>
      <w:r w:rsidRPr="00F57BCA">
        <w:rPr>
          <w:noProof/>
        </w:rPr>
        <w:fldChar w:fldCharType="end"/>
      </w:r>
    </w:p>
    <w:p w14:paraId="35CE7CFF" w14:textId="1D7E8909" w:rsidR="00F57BCA" w:rsidRDefault="00F57BCA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Part 2—Build to rent developments</w:t>
      </w:r>
      <w:r>
        <w:rPr>
          <w:noProof/>
        </w:rPr>
        <w:tab/>
      </w:r>
      <w:r w:rsidRPr="00F57BCA">
        <w:rPr>
          <w:b w:val="0"/>
          <w:noProof/>
          <w:sz w:val="18"/>
        </w:rPr>
        <w:fldChar w:fldCharType="begin"/>
      </w:r>
      <w:r w:rsidRPr="00F57BCA">
        <w:rPr>
          <w:b w:val="0"/>
          <w:noProof/>
          <w:sz w:val="18"/>
        </w:rPr>
        <w:instrText xml:space="preserve"> PAGEREF _Toc184225410 \h </w:instrText>
      </w:r>
      <w:r w:rsidRPr="00F57BCA">
        <w:rPr>
          <w:b w:val="0"/>
          <w:noProof/>
          <w:sz w:val="18"/>
        </w:rPr>
      </w:r>
      <w:r w:rsidRPr="00F57BCA">
        <w:rPr>
          <w:b w:val="0"/>
          <w:noProof/>
          <w:sz w:val="18"/>
        </w:rPr>
        <w:fldChar w:fldCharType="separate"/>
      </w:r>
      <w:r w:rsidR="00C47148">
        <w:rPr>
          <w:b w:val="0"/>
          <w:noProof/>
          <w:sz w:val="18"/>
        </w:rPr>
        <w:t>3</w:t>
      </w:r>
      <w:r w:rsidRPr="00F57BCA">
        <w:rPr>
          <w:b w:val="0"/>
          <w:noProof/>
          <w:sz w:val="18"/>
        </w:rPr>
        <w:fldChar w:fldCharType="end"/>
      </w:r>
    </w:p>
    <w:p w14:paraId="4D9E0818" w14:textId="5483C4C4" w:rsidR="00F57BCA" w:rsidRPr="00F57BCA" w:rsidRDefault="00F57BCA">
      <w:pPr>
        <w:pStyle w:val="TOC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r>
        <w:rPr>
          <w:noProof/>
        </w:rPr>
        <w:t>5  Requirements for affordable dwellings</w:t>
      </w:r>
      <w:r>
        <w:rPr>
          <w:noProof/>
        </w:rPr>
        <w:tab/>
      </w:r>
      <w:r w:rsidRPr="00F57BCA">
        <w:rPr>
          <w:noProof/>
        </w:rPr>
        <w:fldChar w:fldCharType="begin"/>
      </w:r>
      <w:r w:rsidRPr="00F57BCA">
        <w:rPr>
          <w:noProof/>
        </w:rPr>
        <w:instrText xml:space="preserve"> PAGEREF _Toc184225411 \h </w:instrText>
      </w:r>
      <w:r w:rsidRPr="00F57BCA">
        <w:rPr>
          <w:noProof/>
        </w:rPr>
      </w:r>
      <w:r w:rsidRPr="00F57BCA">
        <w:rPr>
          <w:noProof/>
        </w:rPr>
        <w:fldChar w:fldCharType="separate"/>
      </w:r>
      <w:r w:rsidR="00C47148">
        <w:rPr>
          <w:noProof/>
        </w:rPr>
        <w:t>3</w:t>
      </w:r>
      <w:r w:rsidRPr="00F57BCA">
        <w:rPr>
          <w:noProof/>
        </w:rPr>
        <w:fldChar w:fldCharType="end"/>
      </w:r>
    </w:p>
    <w:p w14:paraId="67330384" w14:textId="42A9692B" w:rsidR="00FA06CA" w:rsidRPr="001652FC" w:rsidRDefault="00695F82" w:rsidP="00FA06CA">
      <w:r w:rsidRPr="00F57BCA">
        <w:rPr>
          <w:sz w:val="18"/>
        </w:rPr>
        <w:fldChar w:fldCharType="end"/>
      </w:r>
    </w:p>
    <w:p w14:paraId="2B1AD38B" w14:textId="77777777" w:rsidR="00FA06CA" w:rsidRPr="001652FC" w:rsidRDefault="00FA06CA" w:rsidP="00FA06CA">
      <w:pPr>
        <w:sectPr w:rsidR="00FA06CA" w:rsidRPr="001652FC" w:rsidSect="001652F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4F976D5" w14:textId="782C7DD9" w:rsidR="00944646" w:rsidRPr="00944646" w:rsidRDefault="00944646" w:rsidP="00944646">
      <w:pPr>
        <w:pStyle w:val="ActHead2"/>
        <w:pageBreakBefore/>
        <w:rPr>
          <w:lang w:eastAsia="en-US"/>
        </w:rPr>
      </w:pPr>
      <w:bookmarkStart w:id="8" w:name="_Toc184225405"/>
      <w:r w:rsidRPr="00944646">
        <w:rPr>
          <w:rStyle w:val="CharPartNo"/>
        </w:rPr>
        <w:lastRenderedPageBreak/>
        <w:t>Part 1</w:t>
      </w:r>
      <w:r>
        <w:t>—</w:t>
      </w:r>
      <w:r w:rsidRPr="00944646">
        <w:rPr>
          <w:rStyle w:val="CharPartText"/>
        </w:rPr>
        <w:t>Preliminary</w:t>
      </w:r>
      <w:bookmarkEnd w:id="8"/>
    </w:p>
    <w:p w14:paraId="06E42E3B" w14:textId="77777777" w:rsidR="00FA06CA" w:rsidRPr="001652FC" w:rsidRDefault="00FA06CA" w:rsidP="00FA06CA">
      <w:pPr>
        <w:pStyle w:val="Header"/>
      </w:pPr>
      <w:r w:rsidRPr="001652FC">
        <w:t xml:space="preserve">  </w:t>
      </w:r>
    </w:p>
    <w:p w14:paraId="7ACE47F3" w14:textId="77777777" w:rsidR="00FA06CA" w:rsidRPr="001652FC" w:rsidRDefault="00FA06CA" w:rsidP="00FA06CA">
      <w:pPr>
        <w:pStyle w:val="ActHead5"/>
      </w:pPr>
      <w:bookmarkStart w:id="9" w:name="_Toc184225406"/>
      <w:proofErr w:type="gramStart"/>
      <w:r w:rsidRPr="001652FC">
        <w:rPr>
          <w:rStyle w:val="CharSectno"/>
        </w:rPr>
        <w:t>1</w:t>
      </w:r>
      <w:r w:rsidRPr="001652FC">
        <w:t xml:space="preserve">  Name</w:t>
      </w:r>
      <w:bookmarkEnd w:id="9"/>
      <w:proofErr w:type="gramEnd"/>
    </w:p>
    <w:p w14:paraId="56AB3029" w14:textId="0BBE6F0D" w:rsidR="00FA06CA" w:rsidRPr="001652FC" w:rsidRDefault="00FA06CA" w:rsidP="00FA06CA">
      <w:pPr>
        <w:pStyle w:val="subsection"/>
      </w:pPr>
      <w:r w:rsidRPr="001652FC">
        <w:tab/>
      </w:r>
      <w:r w:rsidRPr="001652FC">
        <w:tab/>
        <w:t xml:space="preserve">This instrument is the </w:t>
      </w:r>
      <w:r w:rsidR="00900875" w:rsidRPr="001652FC">
        <w:rPr>
          <w:i/>
          <w:iCs/>
        </w:rPr>
        <w:t>Income Tax Assessment (Build to Rent Developments) Determination</w:t>
      </w:r>
      <w:r w:rsidR="001652FC" w:rsidRPr="001652FC">
        <w:rPr>
          <w:i/>
          <w:iCs/>
        </w:rPr>
        <w:t> </w:t>
      </w:r>
      <w:r w:rsidR="00900875" w:rsidRPr="001652FC">
        <w:rPr>
          <w:i/>
          <w:iCs/>
        </w:rPr>
        <w:t>2024</w:t>
      </w:r>
      <w:r w:rsidRPr="001652FC">
        <w:t>.</w:t>
      </w:r>
    </w:p>
    <w:p w14:paraId="00636A8B" w14:textId="77777777" w:rsidR="00FA06CA" w:rsidRPr="001652FC" w:rsidRDefault="00FA06CA" w:rsidP="00FA06CA">
      <w:pPr>
        <w:pStyle w:val="ActHead5"/>
      </w:pPr>
      <w:bookmarkStart w:id="10" w:name="_Toc184225407"/>
      <w:proofErr w:type="gramStart"/>
      <w:r w:rsidRPr="001652FC">
        <w:rPr>
          <w:rStyle w:val="CharSectno"/>
        </w:rPr>
        <w:t>2</w:t>
      </w:r>
      <w:r w:rsidRPr="001652FC">
        <w:t xml:space="preserve">  Commencement</w:t>
      </w:r>
      <w:bookmarkEnd w:id="10"/>
      <w:proofErr w:type="gramEnd"/>
    </w:p>
    <w:p w14:paraId="00FAFB37" w14:textId="1FF1B824" w:rsidR="00FA06CA" w:rsidRPr="001652FC" w:rsidRDefault="00FA06CA" w:rsidP="00FA06CA">
      <w:pPr>
        <w:pStyle w:val="subsection"/>
      </w:pPr>
      <w:r w:rsidRPr="001652FC">
        <w:tab/>
        <w:t>(1)</w:t>
      </w:r>
      <w:r w:rsidRPr="001652FC">
        <w:tab/>
        <w:t xml:space="preserve">Each provision of </w:t>
      </w:r>
      <w:r w:rsidR="00944646">
        <w:t xml:space="preserve">this </w:t>
      </w:r>
      <w:r w:rsidRPr="001652FC">
        <w:t>instrument specified in column 1 of the table commences, or is taken to have commenced, in accordance with column 2 of the table. Any other statement in column 2 has effect according to its terms.</w:t>
      </w:r>
    </w:p>
    <w:p w14:paraId="3784209C" w14:textId="77777777" w:rsidR="00FA06CA" w:rsidRPr="001652FC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:rsidRPr="001652FC" w14:paraId="5787A635" w14:textId="77777777" w:rsidTr="00900875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2E3C84A" w14:textId="77777777" w:rsidR="00FA06CA" w:rsidRPr="001652FC" w:rsidRDefault="00FA06CA" w:rsidP="001914EC">
            <w:pPr>
              <w:pStyle w:val="TableHeading"/>
            </w:pPr>
            <w:r w:rsidRPr="001652FC">
              <w:t>Commencement information</w:t>
            </w:r>
          </w:p>
        </w:tc>
      </w:tr>
      <w:tr w:rsidR="00FA06CA" w:rsidRPr="001652FC" w14:paraId="1931DB28" w14:textId="77777777" w:rsidTr="00900875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A002B9B" w14:textId="77777777" w:rsidR="00FA06CA" w:rsidRPr="001652FC" w:rsidRDefault="00FA06CA" w:rsidP="001914EC">
            <w:pPr>
              <w:pStyle w:val="TableHeading"/>
            </w:pPr>
            <w:r w:rsidRPr="001652F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3957F72" w14:textId="77777777" w:rsidR="00FA06CA" w:rsidRPr="001652FC" w:rsidRDefault="00FA06CA" w:rsidP="001914EC">
            <w:pPr>
              <w:pStyle w:val="TableHeading"/>
            </w:pPr>
            <w:r w:rsidRPr="001652F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94723B6" w14:textId="77777777" w:rsidR="00FA06CA" w:rsidRPr="001652FC" w:rsidRDefault="00FA06CA" w:rsidP="001914EC">
            <w:pPr>
              <w:pStyle w:val="TableHeading"/>
            </w:pPr>
            <w:r w:rsidRPr="001652FC">
              <w:t>Column 3</w:t>
            </w:r>
          </w:p>
        </w:tc>
      </w:tr>
      <w:tr w:rsidR="00FA06CA" w:rsidRPr="001652FC" w14:paraId="03D07C63" w14:textId="77777777" w:rsidTr="00900875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8B13F6F" w14:textId="77777777" w:rsidR="00FA06CA" w:rsidRPr="001652FC" w:rsidRDefault="00FA06CA" w:rsidP="001914EC">
            <w:pPr>
              <w:pStyle w:val="TableHeading"/>
            </w:pPr>
            <w:r w:rsidRPr="001652F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2DB5E1E" w14:textId="77777777" w:rsidR="00FA06CA" w:rsidRPr="001652FC" w:rsidRDefault="00FA06CA" w:rsidP="001914EC">
            <w:pPr>
              <w:pStyle w:val="TableHeading"/>
            </w:pPr>
            <w:r w:rsidRPr="001652F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4B661BE" w14:textId="77777777" w:rsidR="00FA06CA" w:rsidRPr="001652FC" w:rsidRDefault="00FA06CA" w:rsidP="001914EC">
            <w:pPr>
              <w:pStyle w:val="TableHeading"/>
            </w:pPr>
            <w:r w:rsidRPr="001652FC">
              <w:t>Date/Details</w:t>
            </w:r>
          </w:p>
        </w:tc>
      </w:tr>
      <w:tr w:rsidR="00FA06CA" w:rsidRPr="001652FC" w14:paraId="0E43D122" w14:textId="77777777" w:rsidTr="00900875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0408494" w14:textId="697961F0" w:rsidR="00FA06CA" w:rsidRPr="001652FC" w:rsidRDefault="00FA06CA" w:rsidP="001914EC">
            <w:pPr>
              <w:pStyle w:val="Tabletext"/>
            </w:pPr>
            <w:r w:rsidRPr="001652FC">
              <w:t xml:space="preserve">1.  </w:t>
            </w:r>
            <w:r w:rsidR="00900875" w:rsidRPr="001652FC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5838E6A" w14:textId="77777777" w:rsidR="00900875" w:rsidRPr="001652FC" w:rsidRDefault="00900875" w:rsidP="00900875">
            <w:pPr>
              <w:pStyle w:val="Tabletext"/>
              <w:spacing w:line="240" w:lineRule="auto"/>
            </w:pPr>
            <w:r w:rsidRPr="001652FC">
              <w:t>The later of:</w:t>
            </w:r>
          </w:p>
          <w:p w14:paraId="52FB636E" w14:textId="77777777" w:rsidR="00900875" w:rsidRPr="001652FC" w:rsidRDefault="00900875" w:rsidP="00900875">
            <w:pPr>
              <w:pStyle w:val="Tablea"/>
            </w:pPr>
            <w:r w:rsidRPr="001652FC">
              <w:t>(a) the day after this instrument is registered; and</w:t>
            </w:r>
          </w:p>
          <w:p w14:paraId="762B1ED1" w14:textId="336F2F3B" w:rsidR="00FA06CA" w:rsidRPr="001652FC" w:rsidRDefault="00900875" w:rsidP="00BC1B1E">
            <w:pPr>
              <w:pStyle w:val="Tablea"/>
            </w:pPr>
            <w:r w:rsidRPr="001652FC">
              <w:t xml:space="preserve">(b) </w:t>
            </w:r>
            <w:r w:rsidR="00E00932">
              <w:t>1 January 2025</w:t>
            </w:r>
            <w:r w:rsidRPr="001652F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F4A3E45" w14:textId="77777777" w:rsidR="00FA06CA" w:rsidRPr="001652FC" w:rsidRDefault="00FA06CA" w:rsidP="001914EC">
            <w:pPr>
              <w:pStyle w:val="Tabletext"/>
            </w:pPr>
          </w:p>
        </w:tc>
      </w:tr>
    </w:tbl>
    <w:p w14:paraId="3B95CE59" w14:textId="77777777" w:rsidR="00FA06CA" w:rsidRPr="001652FC" w:rsidRDefault="00FA06CA" w:rsidP="00FA06CA">
      <w:pPr>
        <w:pStyle w:val="notetext"/>
      </w:pPr>
      <w:r w:rsidRPr="001652FC">
        <w:rPr>
          <w:snapToGrid w:val="0"/>
          <w:lang w:eastAsia="en-US"/>
        </w:rPr>
        <w:t>Note:</w:t>
      </w:r>
      <w:r w:rsidRPr="001652FC">
        <w:rPr>
          <w:snapToGrid w:val="0"/>
          <w:lang w:eastAsia="en-US"/>
        </w:rPr>
        <w:tab/>
        <w:t xml:space="preserve">This table relates only to the provisions of this </w:t>
      </w:r>
      <w:r w:rsidRPr="001652FC">
        <w:t xml:space="preserve">instrument </w:t>
      </w:r>
      <w:r w:rsidRPr="001652FC">
        <w:rPr>
          <w:snapToGrid w:val="0"/>
          <w:lang w:eastAsia="en-US"/>
        </w:rPr>
        <w:t>as originally made. It will not be amended to deal with any later amendments of this instrument.</w:t>
      </w:r>
    </w:p>
    <w:p w14:paraId="7D1A0E8F" w14:textId="77777777" w:rsidR="00FA06CA" w:rsidRPr="001652FC" w:rsidRDefault="00FA06CA" w:rsidP="00FA06CA">
      <w:pPr>
        <w:pStyle w:val="subsection"/>
      </w:pPr>
      <w:r w:rsidRPr="001652FC">
        <w:tab/>
        <w:t>(2)</w:t>
      </w:r>
      <w:r w:rsidRPr="001652FC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AD892B" w14:textId="77777777" w:rsidR="00FA06CA" w:rsidRPr="001652FC" w:rsidRDefault="00FA06CA" w:rsidP="00FA06CA">
      <w:pPr>
        <w:pStyle w:val="ActHead5"/>
      </w:pPr>
      <w:bookmarkStart w:id="11" w:name="_Toc184225408"/>
      <w:proofErr w:type="gramStart"/>
      <w:r w:rsidRPr="001652FC">
        <w:rPr>
          <w:rStyle w:val="CharSectno"/>
        </w:rPr>
        <w:t>3</w:t>
      </w:r>
      <w:r w:rsidRPr="001652FC">
        <w:t xml:space="preserve">  Authority</w:t>
      </w:r>
      <w:bookmarkEnd w:id="11"/>
      <w:proofErr w:type="gramEnd"/>
    </w:p>
    <w:p w14:paraId="7B743552" w14:textId="0636AB56" w:rsidR="00FA06CA" w:rsidRPr="001652FC" w:rsidRDefault="00FA06CA" w:rsidP="00FA06CA">
      <w:pPr>
        <w:pStyle w:val="subsection"/>
      </w:pPr>
      <w:r w:rsidRPr="001652FC">
        <w:tab/>
      </w:r>
      <w:r w:rsidRPr="001652FC">
        <w:tab/>
        <w:t xml:space="preserve">This instrument is made under the </w:t>
      </w:r>
      <w:r w:rsidR="00900875" w:rsidRPr="001652FC">
        <w:rPr>
          <w:i/>
        </w:rPr>
        <w:t>Income Tax Assessment Act 1997</w:t>
      </w:r>
      <w:r w:rsidRPr="001652FC">
        <w:t>.</w:t>
      </w:r>
    </w:p>
    <w:p w14:paraId="342E90FD" w14:textId="5B4A822F" w:rsidR="00FA06CA" w:rsidRPr="001652FC" w:rsidRDefault="00FA06CA" w:rsidP="00FA06CA">
      <w:pPr>
        <w:pStyle w:val="ActHead5"/>
      </w:pPr>
      <w:bookmarkStart w:id="12" w:name="_Toc184225409"/>
      <w:proofErr w:type="gramStart"/>
      <w:r w:rsidRPr="001652FC">
        <w:rPr>
          <w:rStyle w:val="CharSectno"/>
        </w:rPr>
        <w:t>4</w:t>
      </w:r>
      <w:r w:rsidRPr="001652FC">
        <w:t xml:space="preserve">  </w:t>
      </w:r>
      <w:r w:rsidR="00900875" w:rsidRPr="001652FC">
        <w:t>Definitions</w:t>
      </w:r>
      <w:bookmarkEnd w:id="12"/>
      <w:proofErr w:type="gramEnd"/>
    </w:p>
    <w:p w14:paraId="1A687B96" w14:textId="3E8AE4C1" w:rsidR="00900875" w:rsidRPr="001652FC" w:rsidRDefault="00900875" w:rsidP="00900875">
      <w:pPr>
        <w:pStyle w:val="notemargin"/>
      </w:pPr>
      <w:r w:rsidRPr="001652FC">
        <w:t>Note:</w:t>
      </w:r>
      <w:r w:rsidRPr="001652FC">
        <w:tab/>
        <w:t xml:space="preserve">Expressions have the same meaning in this instrument as in the </w:t>
      </w:r>
      <w:r w:rsidRPr="001652FC">
        <w:rPr>
          <w:i/>
          <w:iCs/>
        </w:rPr>
        <w:t>Income Tax Assessment Act 1997</w:t>
      </w:r>
      <w:r w:rsidRPr="001652FC">
        <w:t xml:space="preserve"> as in force from time to time—see paragraph</w:t>
      </w:r>
      <w:r w:rsidR="001652FC" w:rsidRPr="001652FC">
        <w:t> </w:t>
      </w:r>
      <w:r w:rsidRPr="001652FC">
        <w:t xml:space="preserve">13(1)(b) of the </w:t>
      </w:r>
      <w:r w:rsidRPr="001652FC">
        <w:rPr>
          <w:i/>
          <w:iCs/>
        </w:rPr>
        <w:t>Legislation Act 2003</w:t>
      </w:r>
      <w:r w:rsidRPr="001652FC">
        <w:t>.</w:t>
      </w:r>
    </w:p>
    <w:p w14:paraId="3AE2364D" w14:textId="6D77B0BF" w:rsidR="00A44708" w:rsidRDefault="00690B83" w:rsidP="00900875">
      <w:pPr>
        <w:pStyle w:val="Definition"/>
      </w:pPr>
      <w:r>
        <w:rPr>
          <w:b/>
          <w:bCs/>
          <w:i/>
          <w:iCs/>
        </w:rPr>
        <w:t>assess</w:t>
      </w:r>
      <w:r w:rsidR="00A9519C">
        <w:rPr>
          <w:b/>
          <w:bCs/>
          <w:i/>
          <w:iCs/>
        </w:rPr>
        <w:t>ing</w:t>
      </w:r>
      <w:r>
        <w:rPr>
          <w:b/>
          <w:bCs/>
          <w:i/>
          <w:iCs/>
        </w:rPr>
        <w:t xml:space="preserve"> event</w:t>
      </w:r>
      <w:r w:rsidRPr="00690B83">
        <w:t xml:space="preserve">, for </w:t>
      </w:r>
      <w:r>
        <w:t xml:space="preserve">a dwelling, means </w:t>
      </w:r>
      <w:r w:rsidR="00F27EB7">
        <w:t>any</w:t>
      </w:r>
      <w:r>
        <w:t xml:space="preserve"> of the following:</w:t>
      </w:r>
    </w:p>
    <w:p w14:paraId="3B161FDC" w14:textId="23D5CE7D" w:rsidR="00690B83" w:rsidRDefault="00690B83" w:rsidP="00690B83">
      <w:pPr>
        <w:pStyle w:val="paragraph"/>
      </w:pPr>
      <w:r>
        <w:tab/>
        <w:t>(a)</w:t>
      </w:r>
      <w:r>
        <w:tab/>
        <w:t xml:space="preserve">a lease being entered into for the </w:t>
      </w:r>
      <w:proofErr w:type="gramStart"/>
      <w:r>
        <w:t>dwelling;</w:t>
      </w:r>
      <w:proofErr w:type="gramEnd"/>
    </w:p>
    <w:p w14:paraId="1D92496E" w14:textId="7CC29D67" w:rsidR="00690B83" w:rsidRDefault="00690B83" w:rsidP="00690B83">
      <w:pPr>
        <w:pStyle w:val="paragraph"/>
      </w:pPr>
      <w:r>
        <w:tab/>
        <w:t>(b)</w:t>
      </w:r>
      <w:r>
        <w:tab/>
        <w:t xml:space="preserve">the lease for the dwelling being </w:t>
      </w:r>
      <w:proofErr w:type="gramStart"/>
      <w:r>
        <w:t>renewed;</w:t>
      </w:r>
      <w:proofErr w:type="gramEnd"/>
    </w:p>
    <w:p w14:paraId="2D576BF6" w14:textId="0F1CFCD4" w:rsidR="00690B83" w:rsidRDefault="00690B83" w:rsidP="00690B83">
      <w:pPr>
        <w:pStyle w:val="paragraph"/>
      </w:pPr>
      <w:r>
        <w:tab/>
        <w:t>(c)</w:t>
      </w:r>
      <w:r>
        <w:tab/>
      </w:r>
      <w:r w:rsidR="00D40D96" w:rsidRPr="00690B83">
        <w:t xml:space="preserve">after </w:t>
      </w:r>
      <w:r w:rsidR="00112145">
        <w:t>a</w:t>
      </w:r>
      <w:r w:rsidR="00D40D96" w:rsidRPr="00690B83">
        <w:t xml:space="preserve"> lease </w:t>
      </w:r>
      <w:r w:rsidR="00D86939">
        <w:t xml:space="preserve">is </w:t>
      </w:r>
      <w:r w:rsidR="00D40D96" w:rsidRPr="00690B83">
        <w:t>entered into or renewed</w:t>
      </w:r>
      <w:r w:rsidR="00D40D96">
        <w:t>,</w:t>
      </w:r>
      <w:r w:rsidR="00D40D96" w:rsidRPr="00690B83">
        <w:t xml:space="preserve"> </w:t>
      </w:r>
      <w:r w:rsidR="00744EA7">
        <w:t xml:space="preserve">one of more of the following </w:t>
      </w:r>
      <w:r w:rsidR="005A223A">
        <w:t>occurring</w:t>
      </w:r>
      <w:r w:rsidRPr="00690B83">
        <w:t>:</w:t>
      </w:r>
    </w:p>
    <w:p w14:paraId="74EB0AB7" w14:textId="02ACA1F9" w:rsidR="00690B83" w:rsidRDefault="00690B83" w:rsidP="00690B83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1652FC">
        <w:t>a</w:t>
      </w:r>
      <w:r w:rsidR="0043694A">
        <w:t>n adult individual</w:t>
      </w:r>
      <w:r w:rsidR="00DE366E">
        <w:t xml:space="preserve"> </w:t>
      </w:r>
      <w:r w:rsidR="005A223A">
        <w:t>moving</w:t>
      </w:r>
      <w:r w:rsidRPr="001652FC">
        <w:t xml:space="preserve"> </w:t>
      </w:r>
      <w:r w:rsidR="0043694A">
        <w:t xml:space="preserve">in or </w:t>
      </w:r>
      <w:r w:rsidRPr="001652FC">
        <w:t xml:space="preserve">out of the </w:t>
      </w:r>
      <w:proofErr w:type="gramStart"/>
      <w:r w:rsidRPr="001652FC">
        <w:t>dwelling;</w:t>
      </w:r>
      <w:proofErr w:type="gramEnd"/>
    </w:p>
    <w:p w14:paraId="58836094" w14:textId="4CB509D3" w:rsidR="00690B83" w:rsidRDefault="00690B83" w:rsidP="00690B83">
      <w:pPr>
        <w:pStyle w:val="paragraphsub"/>
      </w:pPr>
      <w:r>
        <w:tab/>
        <w:t>(ii)</w:t>
      </w:r>
      <w:r>
        <w:tab/>
      </w:r>
      <w:r w:rsidR="00581DC2">
        <w:t xml:space="preserve">a </w:t>
      </w:r>
      <w:r w:rsidR="003F14C9" w:rsidRPr="001652FC">
        <w:t xml:space="preserve">dependent child </w:t>
      </w:r>
      <w:r w:rsidR="00A7274F">
        <w:t xml:space="preserve">of </w:t>
      </w:r>
      <w:r w:rsidR="000C3B95">
        <w:t>a</w:t>
      </w:r>
      <w:r w:rsidR="002B4A91">
        <w:t>n adult</w:t>
      </w:r>
      <w:r w:rsidR="000C3B95">
        <w:t xml:space="preserve"> </w:t>
      </w:r>
      <w:r w:rsidR="002B4A91">
        <w:t xml:space="preserve">individual </w:t>
      </w:r>
      <w:r w:rsidR="00650A63">
        <w:t>occup</w:t>
      </w:r>
      <w:r w:rsidR="007F5E5F">
        <w:t>ying</w:t>
      </w:r>
      <w:r w:rsidR="00650A63">
        <w:t xml:space="preserve"> </w:t>
      </w:r>
      <w:r w:rsidR="004F07CE">
        <w:t>the dwelling</w:t>
      </w:r>
      <w:r w:rsidR="00581DC2">
        <w:t xml:space="preserve"> </w:t>
      </w:r>
      <w:r w:rsidR="00EF0D45">
        <w:t>mo</w:t>
      </w:r>
      <w:r w:rsidR="00102EB6">
        <w:t>ving</w:t>
      </w:r>
      <w:r w:rsidR="007F5E5F">
        <w:t xml:space="preserve"> out of the dwelling</w:t>
      </w:r>
      <w:r w:rsidR="005267A9">
        <w:t>,</w:t>
      </w:r>
      <w:r w:rsidR="0049078E">
        <w:t xml:space="preserve"> </w:t>
      </w:r>
      <w:r w:rsidR="007300B6">
        <w:t xml:space="preserve">resulting in </w:t>
      </w:r>
      <w:r w:rsidRPr="001652FC">
        <w:t>no dependent</w:t>
      </w:r>
      <w:r w:rsidR="00581DC2">
        <w:t xml:space="preserve"> children</w:t>
      </w:r>
      <w:r w:rsidR="001A38B0">
        <w:t xml:space="preserve"> of an adult individual occupying the dwelling</w:t>
      </w:r>
      <w:r w:rsidRPr="001652FC">
        <w:t xml:space="preserve"> </w:t>
      </w:r>
      <w:r w:rsidR="008B1E20">
        <w:t xml:space="preserve">continuing to </w:t>
      </w:r>
      <w:r w:rsidR="00962F4E">
        <w:t>occup</w:t>
      </w:r>
      <w:r w:rsidR="00845A06">
        <w:t>y</w:t>
      </w:r>
      <w:r w:rsidR="008B1E20">
        <w:t xml:space="preserve"> </w:t>
      </w:r>
      <w:r w:rsidR="00962F4E">
        <w:t xml:space="preserve">the </w:t>
      </w:r>
      <w:r w:rsidRPr="001652FC">
        <w:t>dwelling</w:t>
      </w:r>
      <w:r w:rsidR="0043694A">
        <w:t>.</w:t>
      </w:r>
    </w:p>
    <w:p w14:paraId="67979D4F" w14:textId="427A3329" w:rsidR="00690B83" w:rsidRPr="001652FC" w:rsidRDefault="00690B83" w:rsidP="00690B83">
      <w:pPr>
        <w:pStyle w:val="Definition"/>
      </w:pPr>
      <w:r w:rsidRPr="001652FC">
        <w:rPr>
          <w:b/>
          <w:bCs/>
          <w:i/>
          <w:iCs/>
        </w:rPr>
        <w:lastRenderedPageBreak/>
        <w:t>average annual earnings</w:t>
      </w:r>
      <w:r w:rsidRPr="00BF179B">
        <w:t xml:space="preserve"> </w:t>
      </w:r>
      <w:proofErr w:type="gramStart"/>
      <w:r w:rsidRPr="001652FC">
        <w:t>means</w:t>
      </w:r>
      <w:proofErr w:type="gramEnd"/>
      <w:r w:rsidRPr="001652FC">
        <w:t xml:space="preserve"> the </w:t>
      </w:r>
      <w:r w:rsidR="00173BE6">
        <w:t xml:space="preserve">amount of the </w:t>
      </w:r>
      <w:r w:rsidRPr="001652FC">
        <w:t>full</w:t>
      </w:r>
      <w:r>
        <w:noBreakHyphen/>
      </w:r>
      <w:r w:rsidRPr="001652FC">
        <w:t>time adult average weekly ordinary time earnings</w:t>
      </w:r>
      <w:r w:rsidR="00173BE6">
        <w:t xml:space="preserve"> (</w:t>
      </w:r>
      <w:r w:rsidRPr="001652FC">
        <w:t>original</w:t>
      </w:r>
      <w:r w:rsidR="00173BE6">
        <w:t>)</w:t>
      </w:r>
      <w:r w:rsidR="00A375AE">
        <w:t>,</w:t>
      </w:r>
      <w:r w:rsidRPr="001652FC">
        <w:t xml:space="preserve"> </w:t>
      </w:r>
      <w:r w:rsidR="000F3BDD">
        <w:t>for the most</w:t>
      </w:r>
      <w:r w:rsidR="00CD7CEC">
        <w:t xml:space="preserve"> recent</w:t>
      </w:r>
      <w:r w:rsidR="008E28FF">
        <w:t xml:space="preserve"> </w:t>
      </w:r>
      <w:r w:rsidR="000F3BDD">
        <w:t>period</w:t>
      </w:r>
      <w:r w:rsidR="00BF0374">
        <w:t xml:space="preserve"> for which an amount has been </w:t>
      </w:r>
      <w:r w:rsidRPr="001652FC">
        <w:t>published by the Australian Statistician, multiplied by 52.</w:t>
      </w:r>
    </w:p>
    <w:p w14:paraId="3E7AC886" w14:textId="4A2236EA" w:rsidR="00690B83" w:rsidRPr="001652FC" w:rsidRDefault="00690B83" w:rsidP="00690B83">
      <w:pPr>
        <w:pStyle w:val="notetext"/>
      </w:pPr>
      <w:r w:rsidRPr="001652FC">
        <w:t>Note:</w:t>
      </w:r>
      <w:r w:rsidRPr="001652FC">
        <w:tab/>
      </w:r>
      <w:r w:rsidR="00F85BB2">
        <w:t xml:space="preserve">In 2024, statistics published by the </w:t>
      </w:r>
      <w:r w:rsidR="000B556F">
        <w:t>Australian</w:t>
      </w:r>
      <w:r w:rsidR="00F85BB2">
        <w:t xml:space="preserve"> </w:t>
      </w:r>
      <w:r w:rsidR="000B556F">
        <w:t>Statistician</w:t>
      </w:r>
      <w:r w:rsidRPr="001652FC">
        <w:t xml:space="preserve"> </w:t>
      </w:r>
      <w:r w:rsidR="000B556F">
        <w:t xml:space="preserve">could </w:t>
      </w:r>
      <w:r w:rsidRPr="001652FC">
        <w:t>be viewed on the Australian Bureau of Statistics website (http://www.abs.gov.au).</w:t>
      </w:r>
    </w:p>
    <w:p w14:paraId="6453F73D" w14:textId="3E8CC994" w:rsidR="00690B83" w:rsidRDefault="00690B83" w:rsidP="00690B83">
      <w:pPr>
        <w:pStyle w:val="Definition"/>
      </w:pPr>
      <w:r w:rsidRPr="00F27EB7">
        <w:rPr>
          <w:b/>
          <w:bCs/>
          <w:i/>
          <w:iCs/>
        </w:rPr>
        <w:t>dependent child</w:t>
      </w:r>
      <w:r w:rsidR="00F27EB7">
        <w:t>: a</w:t>
      </w:r>
      <w:r w:rsidR="00926D0D">
        <w:t>n</w:t>
      </w:r>
      <w:r w:rsidR="00F27EB7">
        <w:t xml:space="preserve"> </w:t>
      </w:r>
      <w:r w:rsidR="00926D0D">
        <w:t>individual</w:t>
      </w:r>
      <w:r w:rsidR="00F27EB7">
        <w:t xml:space="preserve"> is a </w:t>
      </w:r>
      <w:r w:rsidR="00F27EB7" w:rsidRPr="00F27EB7">
        <w:rPr>
          <w:b/>
          <w:bCs/>
          <w:i/>
          <w:iCs/>
        </w:rPr>
        <w:t>dependent child</w:t>
      </w:r>
      <w:r w:rsidR="00F27EB7">
        <w:t xml:space="preserve"> of another </w:t>
      </w:r>
      <w:r w:rsidR="00926D0D">
        <w:t>individual</w:t>
      </w:r>
      <w:r w:rsidR="00F27EB7">
        <w:t xml:space="preserve"> if:</w:t>
      </w:r>
    </w:p>
    <w:p w14:paraId="17F6F754" w14:textId="276001E3" w:rsidR="00F27EB7" w:rsidRDefault="00F27EB7" w:rsidP="00F27EB7">
      <w:pPr>
        <w:pStyle w:val="paragraph"/>
      </w:pPr>
      <w:r>
        <w:tab/>
        <w:t>(a)</w:t>
      </w:r>
      <w:r>
        <w:tab/>
        <w:t xml:space="preserve">the </w:t>
      </w:r>
      <w:r w:rsidR="00256BBC">
        <w:t>second</w:t>
      </w:r>
      <w:r>
        <w:t xml:space="preserve"> </w:t>
      </w:r>
      <w:r w:rsidR="00926D0D">
        <w:t>individual</w:t>
      </w:r>
      <w:r>
        <w:t xml:space="preserve"> is </w:t>
      </w:r>
      <w:r w:rsidRPr="001652FC">
        <w:t xml:space="preserve">a parent of the </w:t>
      </w:r>
      <w:r w:rsidR="00256BBC">
        <w:t>first individual</w:t>
      </w:r>
      <w:r w:rsidRPr="001652FC">
        <w:t>; and</w:t>
      </w:r>
    </w:p>
    <w:p w14:paraId="5DCE7128" w14:textId="6FB96744" w:rsidR="00F27EB7" w:rsidRDefault="00F27EB7" w:rsidP="00F27EB7">
      <w:pPr>
        <w:pStyle w:val="paragraph"/>
      </w:pPr>
      <w:r>
        <w:tab/>
        <w:t>(b)</w:t>
      </w:r>
      <w:r>
        <w:tab/>
        <w:t>either:</w:t>
      </w:r>
    </w:p>
    <w:p w14:paraId="18A05EF8" w14:textId="61C1FA34" w:rsidR="00F27EB7" w:rsidRDefault="00F27EB7" w:rsidP="00F27EB7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1652FC">
        <w:t xml:space="preserve">the </w:t>
      </w:r>
      <w:r w:rsidR="00256BBC">
        <w:t>first individual</w:t>
      </w:r>
      <w:r w:rsidRPr="001652FC">
        <w:t xml:space="preserve"> is a dependent child of the </w:t>
      </w:r>
      <w:r w:rsidR="00256BBC">
        <w:t>second individual</w:t>
      </w:r>
      <w:r w:rsidRPr="001652FC">
        <w:t xml:space="preserve"> within the meaning of subsection </w:t>
      </w:r>
      <w:r w:rsidR="00427886">
        <w:t>5</w:t>
      </w:r>
      <w:r w:rsidRPr="001652FC">
        <w:t>(2)</w:t>
      </w:r>
      <w:r w:rsidR="00515E73">
        <w:t xml:space="preserve"> or </w:t>
      </w:r>
      <w:r w:rsidRPr="001652FC">
        <w:t>(4)</w:t>
      </w:r>
      <w:r w:rsidR="0060268F">
        <w:t xml:space="preserve"> </w:t>
      </w:r>
      <w:r w:rsidRPr="001652FC">
        <w:t xml:space="preserve">of the </w:t>
      </w:r>
      <w:r w:rsidRPr="001652FC">
        <w:rPr>
          <w:i/>
          <w:iCs/>
        </w:rPr>
        <w:t>Social Security Act</w:t>
      </w:r>
      <w:r w:rsidR="0060268F">
        <w:rPr>
          <w:i/>
          <w:iCs/>
        </w:rPr>
        <w:t> </w:t>
      </w:r>
      <w:r w:rsidRPr="001652FC">
        <w:rPr>
          <w:i/>
          <w:iCs/>
        </w:rPr>
        <w:t>1991</w:t>
      </w:r>
      <w:r w:rsidRPr="001652FC">
        <w:t>; or</w:t>
      </w:r>
    </w:p>
    <w:p w14:paraId="406E9B40" w14:textId="116E7389" w:rsidR="00F27EB7" w:rsidRDefault="00F27EB7" w:rsidP="00F27EB7">
      <w:pPr>
        <w:pStyle w:val="paragraphsub"/>
      </w:pPr>
      <w:r>
        <w:tab/>
        <w:t>(ii)</w:t>
      </w:r>
      <w:r>
        <w:tab/>
      </w:r>
      <w:r w:rsidRPr="001652FC">
        <w:t xml:space="preserve">the </w:t>
      </w:r>
      <w:r w:rsidR="0060268F">
        <w:t>first individual</w:t>
      </w:r>
      <w:r w:rsidRPr="001652FC">
        <w:t xml:space="preserve"> </w:t>
      </w:r>
      <w:r w:rsidR="0060268F">
        <w:t>is receiving</w:t>
      </w:r>
      <w:r w:rsidRPr="001652FC">
        <w:t xml:space="preserve"> a disability support pension </w:t>
      </w:r>
      <w:r w:rsidR="00656600">
        <w:t>(</w:t>
      </w:r>
      <w:r w:rsidRPr="001652FC">
        <w:t xml:space="preserve">within the meaning of the </w:t>
      </w:r>
      <w:r w:rsidRPr="001652FC">
        <w:rPr>
          <w:i/>
          <w:iCs/>
        </w:rPr>
        <w:t>Social Security Act 1991</w:t>
      </w:r>
      <w:r w:rsidR="00656600">
        <w:t>)</w:t>
      </w:r>
      <w:r w:rsidRPr="001652FC">
        <w:t xml:space="preserve">, and lives with the </w:t>
      </w:r>
      <w:r w:rsidR="00656600">
        <w:t>second individual</w:t>
      </w:r>
      <w:r w:rsidRPr="001652FC">
        <w:t>.</w:t>
      </w:r>
    </w:p>
    <w:p w14:paraId="797CF9AC" w14:textId="2FB45DDF" w:rsidR="00FA06CA" w:rsidRPr="001652FC" w:rsidRDefault="00900875" w:rsidP="00900875">
      <w:pPr>
        <w:pStyle w:val="Definition"/>
      </w:pPr>
      <w:r w:rsidRPr="001652FC">
        <w:rPr>
          <w:b/>
          <w:bCs/>
          <w:i/>
          <w:iCs/>
        </w:rPr>
        <w:t>the Act</w:t>
      </w:r>
      <w:r w:rsidRPr="001652FC">
        <w:t xml:space="preserve"> means the </w:t>
      </w:r>
      <w:r w:rsidRPr="001652FC">
        <w:rPr>
          <w:i/>
          <w:iCs/>
        </w:rPr>
        <w:t>Income Tax Assessment Act 1997</w:t>
      </w:r>
      <w:r w:rsidRPr="001652FC">
        <w:t>.</w:t>
      </w:r>
    </w:p>
    <w:p w14:paraId="688CAE18" w14:textId="6CC0C589" w:rsidR="00900875" w:rsidRPr="001652FC" w:rsidRDefault="00900875" w:rsidP="00900875">
      <w:pPr>
        <w:pStyle w:val="ActHead2"/>
        <w:pageBreakBefore/>
        <w:rPr>
          <w:lang w:eastAsia="en-US"/>
        </w:rPr>
      </w:pPr>
      <w:bookmarkStart w:id="13" w:name="_Toc184225410"/>
      <w:r w:rsidRPr="001652FC">
        <w:rPr>
          <w:rStyle w:val="CharPartNo"/>
        </w:rPr>
        <w:lastRenderedPageBreak/>
        <w:t>Part</w:t>
      </w:r>
      <w:r w:rsidR="001652FC" w:rsidRPr="001652FC">
        <w:rPr>
          <w:rStyle w:val="CharPartNo"/>
        </w:rPr>
        <w:t> </w:t>
      </w:r>
      <w:r w:rsidRPr="001652FC">
        <w:rPr>
          <w:rStyle w:val="CharPartNo"/>
        </w:rPr>
        <w:t>2</w:t>
      </w:r>
      <w:r w:rsidRPr="001652FC">
        <w:t>—</w:t>
      </w:r>
      <w:r w:rsidRPr="001652FC">
        <w:rPr>
          <w:rStyle w:val="CharPartText"/>
        </w:rPr>
        <w:t xml:space="preserve">Build to rent </w:t>
      </w:r>
      <w:proofErr w:type="gramStart"/>
      <w:r w:rsidRPr="001652FC">
        <w:rPr>
          <w:rStyle w:val="CharPartText"/>
        </w:rPr>
        <w:t>developments</w:t>
      </w:r>
      <w:bookmarkEnd w:id="13"/>
      <w:proofErr w:type="gramEnd"/>
    </w:p>
    <w:p w14:paraId="750F5F19" w14:textId="77777777" w:rsidR="00900875" w:rsidRPr="001652FC" w:rsidRDefault="00900875" w:rsidP="00900875">
      <w:pPr>
        <w:pStyle w:val="Header"/>
      </w:pPr>
      <w:r w:rsidRPr="001652FC">
        <w:t xml:space="preserve">  </w:t>
      </w:r>
    </w:p>
    <w:p w14:paraId="4D92F1AF" w14:textId="24F785AF" w:rsidR="00900875" w:rsidRPr="001652FC" w:rsidRDefault="00900875" w:rsidP="00900875">
      <w:pPr>
        <w:pStyle w:val="ActHead5"/>
      </w:pPr>
      <w:bookmarkStart w:id="14" w:name="_Toc184225411"/>
      <w:proofErr w:type="gramStart"/>
      <w:r w:rsidRPr="001652FC">
        <w:rPr>
          <w:rStyle w:val="CharSectno"/>
        </w:rPr>
        <w:t>5</w:t>
      </w:r>
      <w:r w:rsidRPr="001652FC">
        <w:t xml:space="preserve">  Requirements</w:t>
      </w:r>
      <w:proofErr w:type="gramEnd"/>
      <w:r w:rsidRPr="001652FC">
        <w:t xml:space="preserve"> for affordable dwelling</w:t>
      </w:r>
      <w:r w:rsidR="00BC1685">
        <w:t>s</w:t>
      </w:r>
      <w:bookmarkEnd w:id="14"/>
    </w:p>
    <w:p w14:paraId="451DD908" w14:textId="6BAC8B71" w:rsidR="00900875" w:rsidRPr="001652FC" w:rsidRDefault="00A9519C" w:rsidP="00A9519C">
      <w:pPr>
        <w:pStyle w:val="subsection"/>
      </w:pPr>
      <w:r>
        <w:rPr>
          <w:rFonts w:eastAsiaTheme="minorHAnsi"/>
        </w:rPr>
        <w:tab/>
      </w:r>
      <w:r>
        <w:rPr>
          <w:rFonts w:eastAsiaTheme="minorHAnsi"/>
        </w:rPr>
        <w:tab/>
        <w:t>Under</w:t>
      </w:r>
      <w:r w:rsidR="00053CF6" w:rsidRPr="00053CF6">
        <w:rPr>
          <w:rFonts w:eastAsiaTheme="minorHAnsi"/>
        </w:rPr>
        <w:t xml:space="preserve"> </w:t>
      </w:r>
      <w:r w:rsidR="00900875" w:rsidRPr="001652FC">
        <w:rPr>
          <w:rFonts w:eastAsiaTheme="minorHAnsi"/>
        </w:rPr>
        <w:t>subsection</w:t>
      </w:r>
      <w:r w:rsidR="001652FC" w:rsidRPr="001652FC">
        <w:rPr>
          <w:rFonts w:eastAsiaTheme="minorHAnsi"/>
        </w:rPr>
        <w:t> </w:t>
      </w:r>
      <w:r w:rsidR="00900875" w:rsidRPr="001652FC">
        <w:rPr>
          <w:rFonts w:eastAsiaTheme="minorHAnsi"/>
        </w:rPr>
        <w:t>45</w:t>
      </w:r>
      <w:r w:rsidR="001652FC">
        <w:rPr>
          <w:rFonts w:eastAsiaTheme="minorHAnsi"/>
        </w:rPr>
        <w:noBreakHyphen/>
      </w:r>
      <w:r w:rsidR="00900875" w:rsidRPr="001652FC">
        <w:rPr>
          <w:rFonts w:eastAsiaTheme="minorHAnsi"/>
        </w:rPr>
        <w:t xml:space="preserve">153(3) of the Act, </w:t>
      </w:r>
      <w:r w:rsidR="00F62D61">
        <w:rPr>
          <w:rFonts w:eastAsiaTheme="minorHAnsi"/>
        </w:rPr>
        <w:t xml:space="preserve">each of </w:t>
      </w:r>
      <w:r w:rsidR="00900875" w:rsidRPr="001652FC">
        <w:rPr>
          <w:rFonts w:eastAsiaTheme="minorHAnsi"/>
        </w:rPr>
        <w:t xml:space="preserve">the </w:t>
      </w:r>
      <w:r w:rsidR="00D1302F">
        <w:rPr>
          <w:rFonts w:eastAsiaTheme="minorHAnsi"/>
        </w:rPr>
        <w:t xml:space="preserve">following </w:t>
      </w:r>
      <w:r w:rsidR="00900875" w:rsidRPr="001652FC">
        <w:rPr>
          <w:rFonts w:eastAsiaTheme="minorHAnsi"/>
        </w:rPr>
        <w:t xml:space="preserve">requirements </w:t>
      </w:r>
      <w:r w:rsidR="00D1302F">
        <w:rPr>
          <w:rFonts w:eastAsiaTheme="minorHAnsi"/>
        </w:rPr>
        <w:t xml:space="preserve">for </w:t>
      </w:r>
      <w:r w:rsidR="00F62D61">
        <w:rPr>
          <w:rFonts w:eastAsiaTheme="minorHAnsi"/>
        </w:rPr>
        <w:t xml:space="preserve">a </w:t>
      </w:r>
      <w:r w:rsidR="00D1302F">
        <w:rPr>
          <w:rFonts w:eastAsiaTheme="minorHAnsi"/>
        </w:rPr>
        <w:t xml:space="preserve">dwelling to </w:t>
      </w:r>
      <w:r w:rsidR="00BC10EF">
        <w:rPr>
          <w:rFonts w:eastAsiaTheme="minorHAnsi"/>
        </w:rPr>
        <w:t>be an affordable dwelling are determined</w:t>
      </w:r>
      <w:r w:rsidR="00223272" w:rsidRPr="001652FC">
        <w:t>:</w:t>
      </w:r>
    </w:p>
    <w:p w14:paraId="74E12A5C" w14:textId="5BA52AAB" w:rsidR="00683C3E" w:rsidRDefault="00900875" w:rsidP="00900875">
      <w:pPr>
        <w:pStyle w:val="paragraph"/>
      </w:pPr>
      <w:r w:rsidRPr="001652FC">
        <w:tab/>
        <w:t>(a)</w:t>
      </w:r>
      <w:r w:rsidRPr="001652FC">
        <w:tab/>
        <w:t xml:space="preserve">the rent payable under </w:t>
      </w:r>
      <w:r w:rsidR="002748C8">
        <w:t>a</w:t>
      </w:r>
      <w:r w:rsidRPr="001652FC">
        <w:t xml:space="preserve"> lease for the dwelling </w:t>
      </w:r>
      <w:r w:rsidR="00E06015">
        <w:t xml:space="preserve">must be </w:t>
      </w:r>
      <w:r w:rsidRPr="001652FC">
        <w:t xml:space="preserve">74.9% or less of the market value of the right to occupy the dwelling under the </w:t>
      </w:r>
      <w:proofErr w:type="gramStart"/>
      <w:r w:rsidRPr="001652FC">
        <w:t>lease;</w:t>
      </w:r>
      <w:proofErr w:type="gramEnd"/>
    </w:p>
    <w:p w14:paraId="3B0EDE48" w14:textId="7018DA96" w:rsidR="00900875" w:rsidRPr="001652FC" w:rsidRDefault="00900875" w:rsidP="00900875">
      <w:pPr>
        <w:pStyle w:val="paragraph"/>
      </w:pPr>
      <w:r w:rsidRPr="001652FC">
        <w:t xml:space="preserve"> </w:t>
      </w:r>
      <w:r w:rsidRPr="001652FC">
        <w:tab/>
        <w:t>(b)</w:t>
      </w:r>
      <w:r w:rsidRPr="001652FC">
        <w:tab/>
        <w:t xml:space="preserve">the dwelling </w:t>
      </w:r>
      <w:r w:rsidR="00F04ED3">
        <w:t xml:space="preserve">must be </w:t>
      </w:r>
      <w:r w:rsidRPr="001652FC">
        <w:t xml:space="preserve">tenanted, or available to be tenanted, only </w:t>
      </w:r>
      <w:r w:rsidR="00053CF6">
        <w:t>by</w:t>
      </w:r>
      <w:r w:rsidR="00791EF8">
        <w:t xml:space="preserve"> one or more of the following</w:t>
      </w:r>
      <w:r w:rsidRPr="001652FC">
        <w:t>:</w:t>
      </w:r>
    </w:p>
    <w:p w14:paraId="44724580" w14:textId="12F4E140" w:rsidR="00900875" w:rsidRPr="001652FC" w:rsidRDefault="00900875" w:rsidP="00900875">
      <w:pPr>
        <w:pStyle w:val="paragraphsub"/>
      </w:pPr>
      <w:r w:rsidRPr="001652FC">
        <w:tab/>
        <w:t>(</w:t>
      </w:r>
      <w:proofErr w:type="spellStart"/>
      <w:r w:rsidRPr="001652FC">
        <w:t>i</w:t>
      </w:r>
      <w:proofErr w:type="spellEnd"/>
      <w:r w:rsidRPr="001652FC">
        <w:t>)</w:t>
      </w:r>
      <w:r w:rsidRPr="001652FC">
        <w:tab/>
        <w:t>an adult living alone whose taxable income</w:t>
      </w:r>
      <w:r w:rsidR="00604BA8">
        <w:t>,</w:t>
      </w:r>
      <w:r w:rsidR="00D52276">
        <w:t xml:space="preserve"> for</w:t>
      </w:r>
      <w:r w:rsidR="007F5C73">
        <w:t xml:space="preserve"> </w:t>
      </w:r>
      <w:r w:rsidR="00604BA8">
        <w:t xml:space="preserve">the </w:t>
      </w:r>
      <w:r w:rsidR="00227759" w:rsidRPr="00677013">
        <w:t>most recent income year</w:t>
      </w:r>
      <w:r w:rsidR="00DC4873">
        <w:t>,</w:t>
      </w:r>
      <w:r w:rsidR="00227759" w:rsidRPr="00677013">
        <w:t xml:space="preserve"> for which the Commissioner has given the </w:t>
      </w:r>
      <w:r w:rsidR="009479F6">
        <w:t>adult</w:t>
      </w:r>
      <w:r w:rsidR="00227759" w:rsidRPr="00677013">
        <w:t xml:space="preserve"> a notice of assessment</w:t>
      </w:r>
      <w:r w:rsidR="00DC4873">
        <w:t>,</w:t>
      </w:r>
      <w:r w:rsidRPr="001652FC">
        <w:t xml:space="preserve"> ending before the dwelling’s most recent </w:t>
      </w:r>
      <w:r w:rsidR="007F5C73">
        <w:t>assessing</w:t>
      </w:r>
      <w:r w:rsidRPr="001652FC">
        <w:t xml:space="preserve"> event</w:t>
      </w:r>
      <w:r w:rsidR="00DC4873">
        <w:t>,</w:t>
      </w:r>
      <w:r w:rsidRPr="001652FC">
        <w:t xml:space="preserve"> </w:t>
      </w:r>
      <w:r w:rsidR="00B158C8">
        <w:t>was less than</w:t>
      </w:r>
      <w:r w:rsidRPr="001652FC">
        <w:t xml:space="preserve"> 120% of average annual </w:t>
      </w:r>
      <w:proofErr w:type="gramStart"/>
      <w:r w:rsidRPr="001652FC">
        <w:t>earnings;</w:t>
      </w:r>
      <w:proofErr w:type="gramEnd"/>
    </w:p>
    <w:p w14:paraId="6EE11511" w14:textId="7B2DF389" w:rsidR="00900875" w:rsidRPr="001652FC" w:rsidRDefault="00900875" w:rsidP="00900875">
      <w:pPr>
        <w:pStyle w:val="paragraphsub"/>
      </w:pPr>
      <w:r w:rsidRPr="001652FC">
        <w:tab/>
        <w:t>(ii)</w:t>
      </w:r>
      <w:r w:rsidRPr="001652FC">
        <w:tab/>
      </w:r>
      <w:r w:rsidR="000B23F3">
        <w:t>2</w:t>
      </w:r>
      <w:r w:rsidRPr="001652FC">
        <w:t xml:space="preserve"> or more adults living together whose combined taxable incomes</w:t>
      </w:r>
      <w:r w:rsidR="001743A8">
        <w:t>,</w:t>
      </w:r>
      <w:r w:rsidRPr="001652FC">
        <w:t xml:space="preserve"> </w:t>
      </w:r>
      <w:r w:rsidR="001743A8">
        <w:t xml:space="preserve">for the </w:t>
      </w:r>
      <w:r w:rsidR="001743A8" w:rsidRPr="00677013">
        <w:t>most recent income year</w:t>
      </w:r>
      <w:r w:rsidR="001743A8">
        <w:t>,</w:t>
      </w:r>
      <w:r w:rsidR="001743A8" w:rsidRPr="00677013">
        <w:t xml:space="preserve"> for which the Commissioner has given </w:t>
      </w:r>
      <w:r w:rsidR="001743A8">
        <w:t>each</w:t>
      </w:r>
      <w:r w:rsidR="001743A8" w:rsidRPr="00677013">
        <w:t xml:space="preserve"> </w:t>
      </w:r>
      <w:r w:rsidR="001743A8">
        <w:t>adult</w:t>
      </w:r>
      <w:r w:rsidR="001743A8" w:rsidRPr="00677013">
        <w:t xml:space="preserve"> a notice of assessment</w:t>
      </w:r>
      <w:r w:rsidR="001743A8">
        <w:t>,</w:t>
      </w:r>
      <w:r w:rsidR="001743A8" w:rsidRPr="001652FC">
        <w:t xml:space="preserve"> ending before the dwelling’s most recent </w:t>
      </w:r>
      <w:r w:rsidR="001743A8">
        <w:t>assessing</w:t>
      </w:r>
      <w:r w:rsidR="001743A8" w:rsidRPr="001652FC">
        <w:t xml:space="preserve"> event</w:t>
      </w:r>
      <w:r w:rsidR="001743A8">
        <w:t>,</w:t>
      </w:r>
      <w:r w:rsidR="00BE13ED">
        <w:t xml:space="preserve"> was less than</w:t>
      </w:r>
      <w:r w:rsidRPr="001652FC">
        <w:t xml:space="preserve"> 130% of average annual </w:t>
      </w:r>
      <w:proofErr w:type="gramStart"/>
      <w:r w:rsidRPr="001652FC">
        <w:t>earnings;</w:t>
      </w:r>
      <w:proofErr w:type="gramEnd"/>
    </w:p>
    <w:p w14:paraId="4BF217A6" w14:textId="0BFE55A0" w:rsidR="00900875" w:rsidRPr="001652FC" w:rsidRDefault="00900875" w:rsidP="00900875">
      <w:pPr>
        <w:pStyle w:val="paragraphsub"/>
      </w:pPr>
      <w:r w:rsidRPr="001652FC">
        <w:tab/>
        <w:t>(iii)</w:t>
      </w:r>
      <w:r w:rsidRPr="001652FC">
        <w:tab/>
        <w:t>one adult living with one or more dependent children of the adult, where the adult’s taxable income</w:t>
      </w:r>
      <w:r w:rsidR="00CD5A93">
        <w:t>,</w:t>
      </w:r>
      <w:r w:rsidRPr="001652FC">
        <w:t xml:space="preserve"> </w:t>
      </w:r>
      <w:r w:rsidR="00CD5A93">
        <w:t xml:space="preserve">for the </w:t>
      </w:r>
      <w:r w:rsidR="00CD5A93" w:rsidRPr="00677013">
        <w:t>most recent income year</w:t>
      </w:r>
      <w:r w:rsidR="00CD5A93">
        <w:t>,</w:t>
      </w:r>
      <w:r w:rsidR="00CD5A93" w:rsidRPr="00677013">
        <w:t xml:space="preserve"> for which the Commissioner has given the </w:t>
      </w:r>
      <w:r w:rsidR="00CD5A93">
        <w:t>adult</w:t>
      </w:r>
      <w:r w:rsidR="00CD5A93" w:rsidRPr="00677013">
        <w:t xml:space="preserve"> a notice of assessment</w:t>
      </w:r>
      <w:r w:rsidR="00CD5A93">
        <w:t>,</w:t>
      </w:r>
      <w:r w:rsidR="00CD5A93" w:rsidRPr="001652FC">
        <w:t xml:space="preserve"> ending before the dwelling’s most recent </w:t>
      </w:r>
      <w:r w:rsidR="00CD5A93">
        <w:t>assessing</w:t>
      </w:r>
      <w:r w:rsidR="00CD5A93" w:rsidRPr="001652FC">
        <w:t xml:space="preserve"> event</w:t>
      </w:r>
      <w:r w:rsidR="00CD5A93">
        <w:t>,</w:t>
      </w:r>
      <w:r w:rsidRPr="001652FC">
        <w:t xml:space="preserve"> </w:t>
      </w:r>
      <w:r w:rsidR="00CD5A93">
        <w:t>was less than</w:t>
      </w:r>
      <w:r w:rsidRPr="001652FC">
        <w:t xml:space="preserve"> 140% of average annual </w:t>
      </w:r>
      <w:proofErr w:type="gramStart"/>
      <w:r w:rsidRPr="001652FC">
        <w:t>earnings;</w:t>
      </w:r>
      <w:proofErr w:type="gramEnd"/>
    </w:p>
    <w:p w14:paraId="2182197E" w14:textId="7C4B90CD" w:rsidR="00900875" w:rsidRPr="001652FC" w:rsidRDefault="00900875" w:rsidP="00900875">
      <w:pPr>
        <w:pStyle w:val="paragraphsub"/>
      </w:pPr>
      <w:r w:rsidRPr="001652FC">
        <w:tab/>
        <w:t>(iv)</w:t>
      </w:r>
      <w:r w:rsidRPr="001652FC">
        <w:tab/>
      </w:r>
      <w:r w:rsidR="00D872D6">
        <w:t>2</w:t>
      </w:r>
      <w:r w:rsidRPr="001652FC">
        <w:t xml:space="preserve"> or more adults living with one or more dependent children of any of the adults, where the adults’ combined taxable incomes </w:t>
      </w:r>
      <w:r w:rsidR="00D872D6">
        <w:t xml:space="preserve">for the </w:t>
      </w:r>
      <w:r w:rsidR="00D872D6" w:rsidRPr="00677013">
        <w:t>most recent income year</w:t>
      </w:r>
      <w:r w:rsidR="00D872D6">
        <w:t>,</w:t>
      </w:r>
      <w:r w:rsidR="00D872D6" w:rsidRPr="00677013">
        <w:t xml:space="preserve"> for which the Commissioner has given </w:t>
      </w:r>
      <w:r w:rsidR="00D872D6">
        <w:t>each</w:t>
      </w:r>
      <w:r w:rsidR="00D872D6" w:rsidRPr="00677013">
        <w:t xml:space="preserve"> </w:t>
      </w:r>
      <w:r w:rsidR="00D872D6">
        <w:t>adult</w:t>
      </w:r>
      <w:r w:rsidR="00D872D6" w:rsidRPr="00677013">
        <w:t xml:space="preserve"> a notice of assessment</w:t>
      </w:r>
      <w:r w:rsidR="00D872D6">
        <w:t>,</w:t>
      </w:r>
      <w:r w:rsidR="00D872D6" w:rsidRPr="001652FC">
        <w:t xml:space="preserve"> ending before the dwelling’s most recent </w:t>
      </w:r>
      <w:r w:rsidR="00D872D6">
        <w:t>assessing</w:t>
      </w:r>
      <w:r w:rsidR="00D872D6" w:rsidRPr="001652FC">
        <w:t xml:space="preserve"> event</w:t>
      </w:r>
      <w:r w:rsidR="00D872D6">
        <w:t>, was less than</w:t>
      </w:r>
      <w:r w:rsidRPr="001652FC">
        <w:t xml:space="preserve"> 140% of average annual earnings.</w:t>
      </w:r>
    </w:p>
    <w:sectPr w:rsidR="00900875" w:rsidRPr="001652FC" w:rsidSect="001652F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387FA" w14:textId="77777777" w:rsidR="00137F8D" w:rsidRDefault="00137F8D" w:rsidP="00FA06CA">
      <w:pPr>
        <w:spacing w:line="240" w:lineRule="auto"/>
      </w:pPr>
      <w:r>
        <w:separator/>
      </w:r>
    </w:p>
  </w:endnote>
  <w:endnote w:type="continuationSeparator" w:id="0">
    <w:p w14:paraId="6A70AB45" w14:textId="77777777" w:rsidR="00137F8D" w:rsidRDefault="00137F8D" w:rsidP="00FA06CA">
      <w:pPr>
        <w:spacing w:line="240" w:lineRule="auto"/>
      </w:pPr>
      <w:r>
        <w:continuationSeparator/>
      </w:r>
    </w:p>
  </w:endnote>
  <w:endnote w:type="continuationNotice" w:id="1">
    <w:p w14:paraId="3D651B6E" w14:textId="77777777" w:rsidR="00137F8D" w:rsidRDefault="00137F8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048A" w14:textId="500C19B4" w:rsidR="00FA06CA" w:rsidRDefault="00FA06CA" w:rsidP="001914EC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76B935CF" w14:textId="77777777" w:rsidR="00FA06CA" w:rsidRPr="007500C8" w:rsidRDefault="00FA06CA" w:rsidP="001914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6D49" w14:textId="22938023" w:rsidR="00FA06CA" w:rsidRPr="00ED79B6" w:rsidRDefault="00FA06CA" w:rsidP="001914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DDAE" w14:textId="703BD912" w:rsidR="00FA06CA" w:rsidRPr="00E33C1C" w:rsidRDefault="00FA06CA" w:rsidP="001914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5A2931C1" w14:textId="77777777" w:rsidTr="0094464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4161A9" w14:textId="77777777" w:rsidR="00FA06CA" w:rsidRDefault="00FA06CA" w:rsidP="001914E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4C5734" w14:textId="14BEBDBF" w:rsidR="00FA06CA" w:rsidRDefault="00FA06CA" w:rsidP="001914E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47148">
            <w:rPr>
              <w:i/>
              <w:noProof/>
              <w:sz w:val="18"/>
            </w:rPr>
            <w:t>Income Tax Assessment (Build to Rent Developments)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BA3251" w14:textId="77777777" w:rsidR="00FA06CA" w:rsidRDefault="00FA06CA" w:rsidP="001914EC">
          <w:pPr>
            <w:spacing w:line="0" w:lineRule="atLeast"/>
            <w:jc w:val="right"/>
            <w:rPr>
              <w:sz w:val="18"/>
            </w:rPr>
          </w:pPr>
        </w:p>
      </w:tc>
    </w:tr>
  </w:tbl>
  <w:p w14:paraId="1A6FFC65" w14:textId="77777777" w:rsidR="00FA06CA" w:rsidRPr="00ED79B6" w:rsidRDefault="00FA06CA" w:rsidP="001914EC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1FA0" w14:textId="1B1A7AF1" w:rsidR="00FA06CA" w:rsidRPr="00E33C1C" w:rsidRDefault="00FA06CA" w:rsidP="001914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4" w:name="_Hlk26286441"/>
    <w:bookmarkStart w:id="5" w:name="_Hlk26286442"/>
    <w:bookmarkStart w:id="6" w:name="_Hlk26286445"/>
    <w:bookmarkStart w:id="7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4A21B67F" w14:textId="77777777" w:rsidTr="001914E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0FEED9B" w14:textId="77777777" w:rsidR="00FA06CA" w:rsidRDefault="00FA06CA" w:rsidP="001914EC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EEE1ACB" w14:textId="20C49282" w:rsidR="00FA06CA" w:rsidRDefault="00FA06CA" w:rsidP="001914E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9177A">
            <w:rPr>
              <w:i/>
              <w:noProof/>
              <w:sz w:val="18"/>
            </w:rPr>
            <w:t>Income Tax Assessment (Build to Rent Developments)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869C29" w14:textId="77777777" w:rsidR="00FA06CA" w:rsidRDefault="00FA06CA" w:rsidP="001914E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4"/>
    <w:bookmarkEnd w:id="5"/>
    <w:bookmarkEnd w:id="6"/>
    <w:bookmarkEnd w:id="7"/>
  </w:tbl>
  <w:p w14:paraId="24F9A11C" w14:textId="77777777" w:rsidR="00FA06CA" w:rsidRPr="00ED79B6" w:rsidRDefault="00FA06CA" w:rsidP="001914E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A0B1" w14:textId="2738F7B1" w:rsidR="00C23BE3" w:rsidRDefault="00C23BE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99D1" w14:textId="77E66921" w:rsidR="001652FC" w:rsidRPr="00E33C1C" w:rsidRDefault="001652FC" w:rsidP="001914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914EC" w14:paraId="026714CC" w14:textId="77777777" w:rsidTr="0094464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DD9F45" w14:textId="77777777" w:rsidR="001652FC" w:rsidRDefault="00636078" w:rsidP="001914E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340AB0" w14:textId="37DECC42" w:rsidR="001652FC" w:rsidRDefault="00636078" w:rsidP="001914E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9177A">
            <w:rPr>
              <w:i/>
              <w:noProof/>
              <w:sz w:val="18"/>
            </w:rPr>
            <w:t>Income Tax Assessment (Build to Rent Developments)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8AB5A4" w14:textId="77777777" w:rsidR="001652FC" w:rsidRDefault="001652FC" w:rsidP="001914EC">
          <w:pPr>
            <w:spacing w:line="0" w:lineRule="atLeast"/>
            <w:jc w:val="right"/>
            <w:rPr>
              <w:sz w:val="18"/>
            </w:rPr>
          </w:pPr>
        </w:p>
      </w:tc>
    </w:tr>
  </w:tbl>
  <w:p w14:paraId="5CB2AD58" w14:textId="77777777" w:rsidR="001652FC" w:rsidRPr="00ED79B6" w:rsidRDefault="001652FC" w:rsidP="001914E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1C7F" w14:textId="29CA4A57" w:rsidR="001652FC" w:rsidRPr="00E33C1C" w:rsidRDefault="001652FC" w:rsidP="001914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9" w:name="_Hlk26286453"/>
    <w:bookmarkStart w:id="20" w:name="_Hlk26286454"/>
    <w:bookmarkStart w:id="21" w:name="_Hlk26286457"/>
    <w:bookmarkStart w:id="22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1914EC" w14:paraId="7227CBBF" w14:textId="77777777" w:rsidTr="00944646">
      <w:tc>
        <w:tcPr>
          <w:tcW w:w="1356" w:type="dxa"/>
          <w:tcBorders>
            <w:top w:val="nil"/>
            <w:left w:val="nil"/>
            <w:bottom w:val="nil"/>
            <w:right w:val="nil"/>
          </w:tcBorders>
        </w:tcPr>
        <w:p w14:paraId="25FFFA1F" w14:textId="77777777" w:rsidR="001652FC" w:rsidRDefault="001652FC" w:rsidP="001914EC">
          <w:pPr>
            <w:spacing w:line="0" w:lineRule="atLeast"/>
            <w:rPr>
              <w:sz w:val="18"/>
            </w:rPr>
          </w:pPr>
        </w:p>
      </w:tc>
      <w:tc>
        <w:tcPr>
          <w:tcW w:w="6258" w:type="dxa"/>
          <w:tcBorders>
            <w:top w:val="nil"/>
            <w:left w:val="nil"/>
            <w:bottom w:val="nil"/>
            <w:right w:val="nil"/>
          </w:tcBorders>
        </w:tcPr>
        <w:p w14:paraId="682B43C3" w14:textId="173D8AE2" w:rsidR="001652FC" w:rsidRDefault="00636078" w:rsidP="001914E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9177A">
            <w:rPr>
              <w:i/>
              <w:noProof/>
              <w:sz w:val="18"/>
            </w:rPr>
            <w:t>Income Tax Assessment (Build to Rent Developments)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5ED37B23" w14:textId="77777777" w:rsidR="001652FC" w:rsidRDefault="00636078" w:rsidP="001914E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9"/>
    <w:bookmarkEnd w:id="20"/>
    <w:bookmarkEnd w:id="21"/>
    <w:bookmarkEnd w:id="22"/>
  </w:tbl>
  <w:p w14:paraId="7F9C5C8B" w14:textId="77777777" w:rsidR="001652FC" w:rsidRPr="00ED79B6" w:rsidRDefault="001652FC" w:rsidP="001914EC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62B6" w14:textId="06BFFA81" w:rsidR="001652FC" w:rsidRPr="00E33C1C" w:rsidRDefault="001652FC" w:rsidP="001914EC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3" w:name="_Hlk26286455"/>
    <w:bookmarkStart w:id="24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1914EC" w14:paraId="754F6DE6" w14:textId="77777777" w:rsidTr="00944646">
      <w:tc>
        <w:tcPr>
          <w:tcW w:w="1354" w:type="dxa"/>
          <w:tcBorders>
            <w:top w:val="nil"/>
            <w:left w:val="nil"/>
            <w:bottom w:val="nil"/>
            <w:right w:val="nil"/>
          </w:tcBorders>
        </w:tcPr>
        <w:p w14:paraId="7547BD1A" w14:textId="77777777" w:rsidR="001652FC" w:rsidRDefault="001652FC" w:rsidP="001914EC">
          <w:pPr>
            <w:spacing w:line="0" w:lineRule="atLeast"/>
            <w:rPr>
              <w:sz w:val="18"/>
            </w:rPr>
          </w:pPr>
        </w:p>
      </w:tc>
      <w:tc>
        <w:tcPr>
          <w:tcW w:w="6260" w:type="dxa"/>
          <w:tcBorders>
            <w:top w:val="nil"/>
            <w:left w:val="nil"/>
            <w:bottom w:val="nil"/>
            <w:right w:val="nil"/>
          </w:tcBorders>
        </w:tcPr>
        <w:p w14:paraId="5C2E783E" w14:textId="67A41869" w:rsidR="001652FC" w:rsidRDefault="00636078" w:rsidP="001914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7148">
            <w:rPr>
              <w:i/>
              <w:sz w:val="18"/>
            </w:rPr>
            <w:t>Income Tax Assessment (Build to Rent Developments—Affordability Standards)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7DC7CEA4" w14:textId="77777777" w:rsidR="001652FC" w:rsidRDefault="00636078" w:rsidP="001914E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3"/>
    <w:bookmarkEnd w:id="24"/>
  </w:tbl>
  <w:p w14:paraId="4D2B7B50" w14:textId="77777777" w:rsidR="001652FC" w:rsidRPr="00ED79B6" w:rsidRDefault="001652FC" w:rsidP="001914E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08501" w14:textId="77777777" w:rsidR="00137F8D" w:rsidRDefault="00137F8D" w:rsidP="00FA06CA">
      <w:pPr>
        <w:spacing w:line="240" w:lineRule="auto"/>
      </w:pPr>
      <w:r>
        <w:separator/>
      </w:r>
    </w:p>
  </w:footnote>
  <w:footnote w:type="continuationSeparator" w:id="0">
    <w:p w14:paraId="23EE9136" w14:textId="77777777" w:rsidR="00137F8D" w:rsidRDefault="00137F8D" w:rsidP="00FA06CA">
      <w:pPr>
        <w:spacing w:line="240" w:lineRule="auto"/>
      </w:pPr>
      <w:r>
        <w:continuationSeparator/>
      </w:r>
    </w:p>
  </w:footnote>
  <w:footnote w:type="continuationNotice" w:id="1">
    <w:p w14:paraId="10FCE149" w14:textId="77777777" w:rsidR="00137F8D" w:rsidRDefault="00137F8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FCC9" w14:textId="7001CD93" w:rsidR="00FA06CA" w:rsidRPr="005F1388" w:rsidRDefault="00FA06CA" w:rsidP="001914EC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D37D" w14:textId="28A232A2" w:rsidR="00FA06CA" w:rsidRPr="005F1388" w:rsidRDefault="00FA06CA" w:rsidP="001914E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B984" w14:textId="364783DC" w:rsidR="00FA06CA" w:rsidRPr="005F1388" w:rsidRDefault="00FA06CA" w:rsidP="001914E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412C" w14:textId="6F6C1E59" w:rsidR="00FA06CA" w:rsidRPr="00ED79B6" w:rsidRDefault="00FA06CA" w:rsidP="001914EC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5AC2" w14:textId="0CFE61DD" w:rsidR="00FA06CA" w:rsidRPr="00ED79B6" w:rsidRDefault="00FA06CA" w:rsidP="001914E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1D5C" w14:textId="665847BB" w:rsidR="00FA06CA" w:rsidRPr="00ED79B6" w:rsidRDefault="00FA06CA" w:rsidP="001914EC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3FC1" w14:textId="36A3F76F" w:rsidR="001652FC" w:rsidRDefault="00636078" w:rsidP="001914E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59AB2EC" w14:textId="1F17F6E8" w:rsidR="001652FC" w:rsidRDefault="00636078" w:rsidP="001914E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59177A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59177A">
      <w:rPr>
        <w:noProof/>
        <w:sz w:val="20"/>
      </w:rPr>
      <w:t>Preliminary</w:t>
    </w:r>
    <w:r>
      <w:rPr>
        <w:sz w:val="20"/>
      </w:rPr>
      <w:fldChar w:fldCharType="end"/>
    </w:r>
  </w:p>
  <w:p w14:paraId="1ACEB91D" w14:textId="5EDA393B" w:rsidR="001652FC" w:rsidRPr="007A1328" w:rsidRDefault="00636078" w:rsidP="001914E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7A05BEA" w14:textId="77777777" w:rsidR="001652FC" w:rsidRPr="007A1328" w:rsidRDefault="001652FC" w:rsidP="001914EC">
    <w:pPr>
      <w:rPr>
        <w:b/>
        <w:sz w:val="24"/>
      </w:rPr>
    </w:pPr>
  </w:p>
  <w:p w14:paraId="2DF2D356" w14:textId="4A47F375" w:rsidR="001652FC" w:rsidRPr="007A1328" w:rsidRDefault="00636078" w:rsidP="001914EC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4714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9177A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5" w:name="_Hlk26286447"/>
  <w:bookmarkStart w:id="16" w:name="_Hlk26286448"/>
  <w:bookmarkStart w:id="17" w:name="_Hlk26286451"/>
  <w:bookmarkStart w:id="18" w:name="_Hlk26286452"/>
  <w:p w14:paraId="08965175" w14:textId="3F15969C" w:rsidR="001652FC" w:rsidRPr="007A1328" w:rsidRDefault="00636078" w:rsidP="001914E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9BF9C9F" w14:textId="61FFFD7E" w:rsidR="001652FC" w:rsidRPr="007A1328" w:rsidRDefault="00636078" w:rsidP="001914E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59177A">
      <w:rPr>
        <w:sz w:val="20"/>
      </w:rPr>
      <w:fldChar w:fldCharType="separate"/>
    </w:r>
    <w:r w:rsidR="0059177A">
      <w:rPr>
        <w:noProof/>
        <w:sz w:val="20"/>
      </w:rPr>
      <w:t>Build to rent developments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59177A">
      <w:rPr>
        <w:b/>
        <w:sz w:val="20"/>
      </w:rPr>
      <w:fldChar w:fldCharType="separate"/>
    </w:r>
    <w:r w:rsidR="0059177A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16E82C32" w14:textId="28E89F9C" w:rsidR="001652FC" w:rsidRPr="007A1328" w:rsidRDefault="00636078" w:rsidP="001914E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3F448FD" w14:textId="77777777" w:rsidR="001652FC" w:rsidRPr="007A1328" w:rsidRDefault="001652FC" w:rsidP="001914EC">
    <w:pPr>
      <w:jc w:val="right"/>
      <w:rPr>
        <w:b/>
        <w:sz w:val="24"/>
      </w:rPr>
    </w:pPr>
  </w:p>
  <w:p w14:paraId="2DA0EF0C" w14:textId="519A828B" w:rsidR="001652FC" w:rsidRPr="007A1328" w:rsidRDefault="00636078" w:rsidP="001914EC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4714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9177A">
      <w:rPr>
        <w:noProof/>
        <w:sz w:val="24"/>
      </w:rPr>
      <w:t>5</w:t>
    </w:r>
    <w:r w:rsidRPr="007A1328">
      <w:rPr>
        <w:sz w:val="24"/>
      </w:rPr>
      <w:fldChar w:fldCharType="end"/>
    </w:r>
    <w:bookmarkEnd w:id="15"/>
    <w:bookmarkEnd w:id="16"/>
    <w:bookmarkEnd w:id="17"/>
    <w:bookmarkEnd w:id="18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A8AC" w14:textId="3AC0FDCC" w:rsidR="001652FC" w:rsidRPr="007A1328" w:rsidRDefault="001652FC" w:rsidP="001914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EFB0BAB"/>
    <w:multiLevelType w:val="hybridMultilevel"/>
    <w:tmpl w:val="9C2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58595">
    <w:abstractNumId w:val="9"/>
  </w:num>
  <w:num w:numId="2" w16cid:durableId="1763604509">
    <w:abstractNumId w:val="7"/>
  </w:num>
  <w:num w:numId="3" w16cid:durableId="2090075326">
    <w:abstractNumId w:val="6"/>
  </w:num>
  <w:num w:numId="4" w16cid:durableId="2006669290">
    <w:abstractNumId w:val="5"/>
  </w:num>
  <w:num w:numId="5" w16cid:durableId="172840240">
    <w:abstractNumId w:val="4"/>
  </w:num>
  <w:num w:numId="6" w16cid:durableId="153571000">
    <w:abstractNumId w:val="8"/>
  </w:num>
  <w:num w:numId="7" w16cid:durableId="916210393">
    <w:abstractNumId w:val="3"/>
  </w:num>
  <w:num w:numId="8" w16cid:durableId="1331132326">
    <w:abstractNumId w:val="2"/>
  </w:num>
  <w:num w:numId="9" w16cid:durableId="1178469681">
    <w:abstractNumId w:val="1"/>
  </w:num>
  <w:num w:numId="10" w16cid:durableId="266157749">
    <w:abstractNumId w:val="0"/>
  </w:num>
  <w:num w:numId="11" w16cid:durableId="656034821">
    <w:abstractNumId w:val="11"/>
  </w:num>
  <w:num w:numId="12" w16cid:durableId="1118454495">
    <w:abstractNumId w:val="10"/>
  </w:num>
  <w:num w:numId="13" w16cid:durableId="19014042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documentProtection w:edit="comments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E3"/>
    <w:rsid w:val="000017F2"/>
    <w:rsid w:val="000278EB"/>
    <w:rsid w:val="00036747"/>
    <w:rsid w:val="000410D4"/>
    <w:rsid w:val="00052583"/>
    <w:rsid w:val="00053CF6"/>
    <w:rsid w:val="00054DA2"/>
    <w:rsid w:val="0006074A"/>
    <w:rsid w:val="0008476F"/>
    <w:rsid w:val="00091CC1"/>
    <w:rsid w:val="0009254B"/>
    <w:rsid w:val="000A32B1"/>
    <w:rsid w:val="000A4279"/>
    <w:rsid w:val="000B0FBD"/>
    <w:rsid w:val="000B23F3"/>
    <w:rsid w:val="000B556F"/>
    <w:rsid w:val="000C2B05"/>
    <w:rsid w:val="000C3B95"/>
    <w:rsid w:val="000D4A57"/>
    <w:rsid w:val="000D4C00"/>
    <w:rsid w:val="000E1563"/>
    <w:rsid w:val="000E745C"/>
    <w:rsid w:val="000F3BDD"/>
    <w:rsid w:val="000F78E8"/>
    <w:rsid w:val="00102EB6"/>
    <w:rsid w:val="00103935"/>
    <w:rsid w:val="00105A4A"/>
    <w:rsid w:val="001111B0"/>
    <w:rsid w:val="001119DF"/>
    <w:rsid w:val="00112145"/>
    <w:rsid w:val="0011327D"/>
    <w:rsid w:val="00123289"/>
    <w:rsid w:val="00127C5C"/>
    <w:rsid w:val="00134F47"/>
    <w:rsid w:val="00136F2F"/>
    <w:rsid w:val="00137F8D"/>
    <w:rsid w:val="0014423C"/>
    <w:rsid w:val="0014759C"/>
    <w:rsid w:val="0016436C"/>
    <w:rsid w:val="001652FC"/>
    <w:rsid w:val="001727A2"/>
    <w:rsid w:val="00173BE6"/>
    <w:rsid w:val="001743A8"/>
    <w:rsid w:val="00176AC5"/>
    <w:rsid w:val="00184F44"/>
    <w:rsid w:val="001914EC"/>
    <w:rsid w:val="001969EF"/>
    <w:rsid w:val="001A38B0"/>
    <w:rsid w:val="001B109F"/>
    <w:rsid w:val="001B29D7"/>
    <w:rsid w:val="001B6EAA"/>
    <w:rsid w:val="001C378C"/>
    <w:rsid w:val="001D31F4"/>
    <w:rsid w:val="001D6539"/>
    <w:rsid w:val="001E37B1"/>
    <w:rsid w:val="00201698"/>
    <w:rsid w:val="00210F19"/>
    <w:rsid w:val="00223272"/>
    <w:rsid w:val="0022428A"/>
    <w:rsid w:val="00226035"/>
    <w:rsid w:val="00227759"/>
    <w:rsid w:val="0023699A"/>
    <w:rsid w:val="00256BBC"/>
    <w:rsid w:val="00263BAB"/>
    <w:rsid w:val="00265B1D"/>
    <w:rsid w:val="002721C5"/>
    <w:rsid w:val="002748C8"/>
    <w:rsid w:val="002769B3"/>
    <w:rsid w:val="00277448"/>
    <w:rsid w:val="00277880"/>
    <w:rsid w:val="0028506B"/>
    <w:rsid w:val="0028589A"/>
    <w:rsid w:val="002859BD"/>
    <w:rsid w:val="00292529"/>
    <w:rsid w:val="002928E2"/>
    <w:rsid w:val="0029473D"/>
    <w:rsid w:val="002961ED"/>
    <w:rsid w:val="002B4A91"/>
    <w:rsid w:val="002B555B"/>
    <w:rsid w:val="002C5391"/>
    <w:rsid w:val="002C7AC5"/>
    <w:rsid w:val="002D0726"/>
    <w:rsid w:val="002D247A"/>
    <w:rsid w:val="002E138F"/>
    <w:rsid w:val="002E15AB"/>
    <w:rsid w:val="00311FAF"/>
    <w:rsid w:val="00322C20"/>
    <w:rsid w:val="00327720"/>
    <w:rsid w:val="0033051D"/>
    <w:rsid w:val="00336EA9"/>
    <w:rsid w:val="00340156"/>
    <w:rsid w:val="003462A4"/>
    <w:rsid w:val="003525D0"/>
    <w:rsid w:val="00360856"/>
    <w:rsid w:val="00362161"/>
    <w:rsid w:val="00367575"/>
    <w:rsid w:val="003805BF"/>
    <w:rsid w:val="0039162B"/>
    <w:rsid w:val="003921E4"/>
    <w:rsid w:val="00394284"/>
    <w:rsid w:val="0039754C"/>
    <w:rsid w:val="003B6100"/>
    <w:rsid w:val="003C281F"/>
    <w:rsid w:val="003D494A"/>
    <w:rsid w:val="003D7100"/>
    <w:rsid w:val="003D7159"/>
    <w:rsid w:val="003E23CB"/>
    <w:rsid w:val="003F14C9"/>
    <w:rsid w:val="003F7DA7"/>
    <w:rsid w:val="004011DA"/>
    <w:rsid w:val="004032D3"/>
    <w:rsid w:val="00405AC6"/>
    <w:rsid w:val="004106D8"/>
    <w:rsid w:val="00416BA1"/>
    <w:rsid w:val="00423FC6"/>
    <w:rsid w:val="00427886"/>
    <w:rsid w:val="0043694A"/>
    <w:rsid w:val="00443256"/>
    <w:rsid w:val="004440CA"/>
    <w:rsid w:val="00451B57"/>
    <w:rsid w:val="0045534D"/>
    <w:rsid w:val="004623A3"/>
    <w:rsid w:val="0049078E"/>
    <w:rsid w:val="004A0E74"/>
    <w:rsid w:val="004A7040"/>
    <w:rsid w:val="004A7E92"/>
    <w:rsid w:val="004B1BA8"/>
    <w:rsid w:val="004B369E"/>
    <w:rsid w:val="004D64AF"/>
    <w:rsid w:val="004D6C9B"/>
    <w:rsid w:val="004E0D6B"/>
    <w:rsid w:val="004E1201"/>
    <w:rsid w:val="004F07CE"/>
    <w:rsid w:val="004F34A0"/>
    <w:rsid w:val="00505E8E"/>
    <w:rsid w:val="00514B26"/>
    <w:rsid w:val="00515BCD"/>
    <w:rsid w:val="00515E73"/>
    <w:rsid w:val="00523194"/>
    <w:rsid w:val="005265A0"/>
    <w:rsid w:val="005267A9"/>
    <w:rsid w:val="0052789B"/>
    <w:rsid w:val="00540401"/>
    <w:rsid w:val="00541B47"/>
    <w:rsid w:val="0054244A"/>
    <w:rsid w:val="00542AF4"/>
    <w:rsid w:val="00546418"/>
    <w:rsid w:val="00551434"/>
    <w:rsid w:val="00555B66"/>
    <w:rsid w:val="00562D41"/>
    <w:rsid w:val="0056502D"/>
    <w:rsid w:val="00577A0A"/>
    <w:rsid w:val="0058118A"/>
    <w:rsid w:val="00581DC2"/>
    <w:rsid w:val="0058307D"/>
    <w:rsid w:val="0059177A"/>
    <w:rsid w:val="005A223A"/>
    <w:rsid w:val="005B2FC2"/>
    <w:rsid w:val="005B5132"/>
    <w:rsid w:val="005B6E9C"/>
    <w:rsid w:val="005C3E1D"/>
    <w:rsid w:val="005D38D2"/>
    <w:rsid w:val="005D5676"/>
    <w:rsid w:val="005D6EE6"/>
    <w:rsid w:val="005D7BD8"/>
    <w:rsid w:val="005E4FEE"/>
    <w:rsid w:val="005E65C3"/>
    <w:rsid w:val="005F53D5"/>
    <w:rsid w:val="006002A3"/>
    <w:rsid w:val="0060268F"/>
    <w:rsid w:val="00604BA8"/>
    <w:rsid w:val="00611243"/>
    <w:rsid w:val="00613765"/>
    <w:rsid w:val="00615308"/>
    <w:rsid w:val="00620CCB"/>
    <w:rsid w:val="006270EA"/>
    <w:rsid w:val="0063232C"/>
    <w:rsid w:val="00636078"/>
    <w:rsid w:val="00637B40"/>
    <w:rsid w:val="00646BFB"/>
    <w:rsid w:val="00650A63"/>
    <w:rsid w:val="0065146B"/>
    <w:rsid w:val="00656600"/>
    <w:rsid w:val="00661153"/>
    <w:rsid w:val="006647FD"/>
    <w:rsid w:val="00683C3E"/>
    <w:rsid w:val="00690B83"/>
    <w:rsid w:val="00695F82"/>
    <w:rsid w:val="006A4137"/>
    <w:rsid w:val="006A42A1"/>
    <w:rsid w:val="006C262A"/>
    <w:rsid w:val="006C2C09"/>
    <w:rsid w:val="006D23EA"/>
    <w:rsid w:val="006D2B3B"/>
    <w:rsid w:val="006E12C4"/>
    <w:rsid w:val="006E5E48"/>
    <w:rsid w:val="006E6600"/>
    <w:rsid w:val="006E6642"/>
    <w:rsid w:val="006E77CA"/>
    <w:rsid w:val="006F50E2"/>
    <w:rsid w:val="006F61E7"/>
    <w:rsid w:val="006F7D8F"/>
    <w:rsid w:val="00700017"/>
    <w:rsid w:val="007044C4"/>
    <w:rsid w:val="00711E22"/>
    <w:rsid w:val="00712A96"/>
    <w:rsid w:val="00714B24"/>
    <w:rsid w:val="00716EE8"/>
    <w:rsid w:val="00717A0A"/>
    <w:rsid w:val="00723775"/>
    <w:rsid w:val="00726694"/>
    <w:rsid w:val="007300B6"/>
    <w:rsid w:val="007432EF"/>
    <w:rsid w:val="00744EA7"/>
    <w:rsid w:val="00747B8E"/>
    <w:rsid w:val="00757562"/>
    <w:rsid w:val="0078175C"/>
    <w:rsid w:val="0078182F"/>
    <w:rsid w:val="007833C4"/>
    <w:rsid w:val="00791E72"/>
    <w:rsid w:val="00791EF8"/>
    <w:rsid w:val="00793945"/>
    <w:rsid w:val="00797112"/>
    <w:rsid w:val="007A36C3"/>
    <w:rsid w:val="007A433B"/>
    <w:rsid w:val="007B7009"/>
    <w:rsid w:val="007B7770"/>
    <w:rsid w:val="007D3B09"/>
    <w:rsid w:val="007D75DA"/>
    <w:rsid w:val="007F0D77"/>
    <w:rsid w:val="007F5C73"/>
    <w:rsid w:val="007F5E5F"/>
    <w:rsid w:val="0080657C"/>
    <w:rsid w:val="00807A05"/>
    <w:rsid w:val="00811913"/>
    <w:rsid w:val="00845A06"/>
    <w:rsid w:val="00850FBF"/>
    <w:rsid w:val="0086119D"/>
    <w:rsid w:val="0086155D"/>
    <w:rsid w:val="008754BF"/>
    <w:rsid w:val="00877C7A"/>
    <w:rsid w:val="008834D0"/>
    <w:rsid w:val="008862DA"/>
    <w:rsid w:val="008920A0"/>
    <w:rsid w:val="008A0798"/>
    <w:rsid w:val="008A3FDA"/>
    <w:rsid w:val="008A42D2"/>
    <w:rsid w:val="008A5F2E"/>
    <w:rsid w:val="008B1E20"/>
    <w:rsid w:val="008C7A1E"/>
    <w:rsid w:val="008E28FF"/>
    <w:rsid w:val="008F282E"/>
    <w:rsid w:val="008F4B4D"/>
    <w:rsid w:val="00900875"/>
    <w:rsid w:val="00904655"/>
    <w:rsid w:val="00905DEF"/>
    <w:rsid w:val="0091135A"/>
    <w:rsid w:val="00911570"/>
    <w:rsid w:val="00912EAB"/>
    <w:rsid w:val="00914FE3"/>
    <w:rsid w:val="00915A5A"/>
    <w:rsid w:val="00917258"/>
    <w:rsid w:val="009215F4"/>
    <w:rsid w:val="009236B6"/>
    <w:rsid w:val="00926200"/>
    <w:rsid w:val="00926D0D"/>
    <w:rsid w:val="00944646"/>
    <w:rsid w:val="009479F6"/>
    <w:rsid w:val="009607BC"/>
    <w:rsid w:val="00962F4E"/>
    <w:rsid w:val="009653A2"/>
    <w:rsid w:val="0096682C"/>
    <w:rsid w:val="00993769"/>
    <w:rsid w:val="009A48A7"/>
    <w:rsid w:val="009A7065"/>
    <w:rsid w:val="009B0AEC"/>
    <w:rsid w:val="009B7DD0"/>
    <w:rsid w:val="009C10A0"/>
    <w:rsid w:val="009F2173"/>
    <w:rsid w:val="009F5313"/>
    <w:rsid w:val="00A11854"/>
    <w:rsid w:val="00A14A90"/>
    <w:rsid w:val="00A24522"/>
    <w:rsid w:val="00A30970"/>
    <w:rsid w:val="00A36760"/>
    <w:rsid w:val="00A375AE"/>
    <w:rsid w:val="00A44708"/>
    <w:rsid w:val="00A51334"/>
    <w:rsid w:val="00A52D67"/>
    <w:rsid w:val="00A547E3"/>
    <w:rsid w:val="00A562CB"/>
    <w:rsid w:val="00A67753"/>
    <w:rsid w:val="00A7274F"/>
    <w:rsid w:val="00A734BE"/>
    <w:rsid w:val="00A77AFD"/>
    <w:rsid w:val="00A9519C"/>
    <w:rsid w:val="00AA23F7"/>
    <w:rsid w:val="00AB6769"/>
    <w:rsid w:val="00AC6E35"/>
    <w:rsid w:val="00AC76DA"/>
    <w:rsid w:val="00AD2821"/>
    <w:rsid w:val="00AD53CF"/>
    <w:rsid w:val="00AF570C"/>
    <w:rsid w:val="00B00A94"/>
    <w:rsid w:val="00B02ACB"/>
    <w:rsid w:val="00B158C8"/>
    <w:rsid w:val="00B403C3"/>
    <w:rsid w:val="00B451C4"/>
    <w:rsid w:val="00B46370"/>
    <w:rsid w:val="00B53961"/>
    <w:rsid w:val="00B5778D"/>
    <w:rsid w:val="00B65A10"/>
    <w:rsid w:val="00B70907"/>
    <w:rsid w:val="00B70C9B"/>
    <w:rsid w:val="00B85833"/>
    <w:rsid w:val="00B90C50"/>
    <w:rsid w:val="00B91F2B"/>
    <w:rsid w:val="00BA517C"/>
    <w:rsid w:val="00BB409A"/>
    <w:rsid w:val="00BC10EF"/>
    <w:rsid w:val="00BC1685"/>
    <w:rsid w:val="00BC1B1E"/>
    <w:rsid w:val="00BC3415"/>
    <w:rsid w:val="00BC365C"/>
    <w:rsid w:val="00BC65C1"/>
    <w:rsid w:val="00BD3D6A"/>
    <w:rsid w:val="00BE13ED"/>
    <w:rsid w:val="00BE3840"/>
    <w:rsid w:val="00BF0374"/>
    <w:rsid w:val="00BF179B"/>
    <w:rsid w:val="00BF6B2D"/>
    <w:rsid w:val="00C007B9"/>
    <w:rsid w:val="00C0297D"/>
    <w:rsid w:val="00C0655E"/>
    <w:rsid w:val="00C20D3B"/>
    <w:rsid w:val="00C23BE3"/>
    <w:rsid w:val="00C27216"/>
    <w:rsid w:val="00C30510"/>
    <w:rsid w:val="00C33D5D"/>
    <w:rsid w:val="00C47148"/>
    <w:rsid w:val="00C47AE1"/>
    <w:rsid w:val="00C51570"/>
    <w:rsid w:val="00C53081"/>
    <w:rsid w:val="00C5613F"/>
    <w:rsid w:val="00C56B7E"/>
    <w:rsid w:val="00C730B4"/>
    <w:rsid w:val="00C751A6"/>
    <w:rsid w:val="00C8216A"/>
    <w:rsid w:val="00C85431"/>
    <w:rsid w:val="00C9040D"/>
    <w:rsid w:val="00C9209D"/>
    <w:rsid w:val="00C9500F"/>
    <w:rsid w:val="00CB00F4"/>
    <w:rsid w:val="00CC006E"/>
    <w:rsid w:val="00CC1B21"/>
    <w:rsid w:val="00CD01E4"/>
    <w:rsid w:val="00CD5A93"/>
    <w:rsid w:val="00CD7CEC"/>
    <w:rsid w:val="00CE0A0A"/>
    <w:rsid w:val="00CE688D"/>
    <w:rsid w:val="00CF4D4C"/>
    <w:rsid w:val="00D1302F"/>
    <w:rsid w:val="00D24FB7"/>
    <w:rsid w:val="00D26722"/>
    <w:rsid w:val="00D2791E"/>
    <w:rsid w:val="00D3468B"/>
    <w:rsid w:val="00D3630C"/>
    <w:rsid w:val="00D40D96"/>
    <w:rsid w:val="00D52276"/>
    <w:rsid w:val="00D54B87"/>
    <w:rsid w:val="00D60040"/>
    <w:rsid w:val="00D854B3"/>
    <w:rsid w:val="00D86939"/>
    <w:rsid w:val="00D872D6"/>
    <w:rsid w:val="00D92E54"/>
    <w:rsid w:val="00D92EA8"/>
    <w:rsid w:val="00DC3E05"/>
    <w:rsid w:val="00DC4873"/>
    <w:rsid w:val="00DD0C80"/>
    <w:rsid w:val="00DD37BF"/>
    <w:rsid w:val="00DE366E"/>
    <w:rsid w:val="00DF46F1"/>
    <w:rsid w:val="00E00932"/>
    <w:rsid w:val="00E06015"/>
    <w:rsid w:val="00E202F9"/>
    <w:rsid w:val="00E301B8"/>
    <w:rsid w:val="00E412B6"/>
    <w:rsid w:val="00E417DA"/>
    <w:rsid w:val="00E63BA0"/>
    <w:rsid w:val="00E64610"/>
    <w:rsid w:val="00E666D5"/>
    <w:rsid w:val="00E7198E"/>
    <w:rsid w:val="00E80B0B"/>
    <w:rsid w:val="00E850DE"/>
    <w:rsid w:val="00E87178"/>
    <w:rsid w:val="00E93155"/>
    <w:rsid w:val="00EA5B36"/>
    <w:rsid w:val="00EB0BC1"/>
    <w:rsid w:val="00ED695E"/>
    <w:rsid w:val="00EE5870"/>
    <w:rsid w:val="00EE6AE9"/>
    <w:rsid w:val="00EF0D45"/>
    <w:rsid w:val="00EF61DC"/>
    <w:rsid w:val="00F04ED3"/>
    <w:rsid w:val="00F27EB7"/>
    <w:rsid w:val="00F32775"/>
    <w:rsid w:val="00F40F71"/>
    <w:rsid w:val="00F42417"/>
    <w:rsid w:val="00F5136A"/>
    <w:rsid w:val="00F57BCA"/>
    <w:rsid w:val="00F62D61"/>
    <w:rsid w:val="00F64684"/>
    <w:rsid w:val="00F8447A"/>
    <w:rsid w:val="00F85BB2"/>
    <w:rsid w:val="00F930B1"/>
    <w:rsid w:val="00F97145"/>
    <w:rsid w:val="00FA0491"/>
    <w:rsid w:val="00FA06CA"/>
    <w:rsid w:val="00FB1C25"/>
    <w:rsid w:val="00FB6B84"/>
    <w:rsid w:val="00FD1156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074AF"/>
  <w15:chartTrackingRefBased/>
  <w15:docId w15:val="{60EC7A75-F386-43CF-BCB9-805DBF33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1652F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2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2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2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2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2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2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2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2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2F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2F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2F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2F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2F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2F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2F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2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2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locked/>
    <w:rsid w:val="001652FC"/>
  </w:style>
  <w:style w:type="paragraph" w:customStyle="1" w:styleId="OPCParaBase">
    <w:name w:val="OPCParaBase"/>
    <w:qFormat/>
    <w:locked/>
    <w:rsid w:val="001652F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locked/>
    <w:rsid w:val="001652F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locked/>
    <w:rsid w:val="001652F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locked/>
    <w:rsid w:val="001652F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locked/>
    <w:rsid w:val="001652F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locked/>
    <w:rsid w:val="001652F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locked/>
    <w:rsid w:val="001652F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locked/>
    <w:rsid w:val="001652F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locked/>
    <w:rsid w:val="001652F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locked/>
    <w:rsid w:val="001652F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locked/>
    <w:rsid w:val="001652F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locked/>
    <w:rsid w:val="001652FC"/>
  </w:style>
  <w:style w:type="paragraph" w:customStyle="1" w:styleId="Blocks">
    <w:name w:val="Blocks"/>
    <w:aliases w:val="bb"/>
    <w:basedOn w:val="OPCParaBase"/>
    <w:qFormat/>
    <w:locked/>
    <w:rsid w:val="001652F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locked/>
    <w:rsid w:val="001652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locked/>
    <w:rsid w:val="001652F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locked/>
    <w:rsid w:val="001652FC"/>
    <w:rPr>
      <w:i/>
    </w:rPr>
  </w:style>
  <w:style w:type="paragraph" w:customStyle="1" w:styleId="BoxList">
    <w:name w:val="BoxList"/>
    <w:aliases w:val="bl"/>
    <w:basedOn w:val="BoxText"/>
    <w:qFormat/>
    <w:locked/>
    <w:rsid w:val="001652FC"/>
    <w:pPr>
      <w:ind w:left="1559" w:hanging="425"/>
    </w:pPr>
  </w:style>
  <w:style w:type="paragraph" w:customStyle="1" w:styleId="BoxNote">
    <w:name w:val="BoxNote"/>
    <w:aliases w:val="bn"/>
    <w:basedOn w:val="BoxText"/>
    <w:qFormat/>
    <w:locked/>
    <w:rsid w:val="001652F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locked/>
    <w:rsid w:val="001652F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locked/>
    <w:rsid w:val="001652F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locked/>
    <w:rsid w:val="001652FC"/>
  </w:style>
  <w:style w:type="character" w:customStyle="1" w:styleId="CharAmPartText">
    <w:name w:val="CharAmPartText"/>
    <w:basedOn w:val="OPCCharBase"/>
    <w:uiPriority w:val="1"/>
    <w:qFormat/>
    <w:locked/>
    <w:rsid w:val="001652FC"/>
  </w:style>
  <w:style w:type="character" w:customStyle="1" w:styleId="CharAmSchNo">
    <w:name w:val="CharAmSchNo"/>
    <w:basedOn w:val="OPCCharBase"/>
    <w:uiPriority w:val="1"/>
    <w:qFormat/>
    <w:locked/>
    <w:rsid w:val="001652FC"/>
  </w:style>
  <w:style w:type="character" w:customStyle="1" w:styleId="CharAmSchText">
    <w:name w:val="CharAmSchText"/>
    <w:basedOn w:val="OPCCharBase"/>
    <w:uiPriority w:val="1"/>
    <w:qFormat/>
    <w:locked/>
    <w:rsid w:val="001652FC"/>
  </w:style>
  <w:style w:type="character" w:customStyle="1" w:styleId="CharBoldItalic">
    <w:name w:val="CharBoldItalic"/>
    <w:basedOn w:val="OPCCharBase"/>
    <w:uiPriority w:val="1"/>
    <w:qFormat/>
    <w:locked/>
    <w:rsid w:val="001652FC"/>
    <w:rPr>
      <w:b/>
      <w:i/>
    </w:rPr>
  </w:style>
  <w:style w:type="character" w:customStyle="1" w:styleId="CharChapNo">
    <w:name w:val="CharChapNo"/>
    <w:basedOn w:val="OPCCharBase"/>
    <w:qFormat/>
    <w:locked/>
    <w:rsid w:val="001652FC"/>
  </w:style>
  <w:style w:type="character" w:customStyle="1" w:styleId="CharChapText">
    <w:name w:val="CharChapText"/>
    <w:basedOn w:val="OPCCharBase"/>
    <w:qFormat/>
    <w:locked/>
    <w:rsid w:val="001652FC"/>
  </w:style>
  <w:style w:type="character" w:customStyle="1" w:styleId="CharDivNo">
    <w:name w:val="CharDivNo"/>
    <w:basedOn w:val="OPCCharBase"/>
    <w:qFormat/>
    <w:locked/>
    <w:rsid w:val="001652FC"/>
  </w:style>
  <w:style w:type="character" w:customStyle="1" w:styleId="CharDivText">
    <w:name w:val="CharDivText"/>
    <w:basedOn w:val="OPCCharBase"/>
    <w:qFormat/>
    <w:locked/>
    <w:rsid w:val="001652FC"/>
  </w:style>
  <w:style w:type="character" w:customStyle="1" w:styleId="CharItalic">
    <w:name w:val="CharItalic"/>
    <w:basedOn w:val="OPCCharBase"/>
    <w:uiPriority w:val="1"/>
    <w:qFormat/>
    <w:locked/>
    <w:rsid w:val="001652FC"/>
    <w:rPr>
      <w:i/>
    </w:rPr>
  </w:style>
  <w:style w:type="character" w:customStyle="1" w:styleId="CharPartNo">
    <w:name w:val="CharPartNo"/>
    <w:basedOn w:val="OPCCharBase"/>
    <w:qFormat/>
    <w:locked/>
    <w:rsid w:val="001652FC"/>
  </w:style>
  <w:style w:type="character" w:customStyle="1" w:styleId="CharPartText">
    <w:name w:val="CharPartText"/>
    <w:basedOn w:val="OPCCharBase"/>
    <w:qFormat/>
    <w:locked/>
    <w:rsid w:val="001652FC"/>
  </w:style>
  <w:style w:type="character" w:customStyle="1" w:styleId="CharSectno">
    <w:name w:val="CharSectno"/>
    <w:basedOn w:val="OPCCharBase"/>
    <w:qFormat/>
    <w:locked/>
    <w:rsid w:val="001652FC"/>
  </w:style>
  <w:style w:type="character" w:customStyle="1" w:styleId="CharSubdNo">
    <w:name w:val="CharSubdNo"/>
    <w:basedOn w:val="OPCCharBase"/>
    <w:uiPriority w:val="1"/>
    <w:qFormat/>
    <w:locked/>
    <w:rsid w:val="001652FC"/>
  </w:style>
  <w:style w:type="character" w:customStyle="1" w:styleId="CharSubdText">
    <w:name w:val="CharSubdText"/>
    <w:basedOn w:val="OPCCharBase"/>
    <w:uiPriority w:val="1"/>
    <w:qFormat/>
    <w:locked/>
    <w:rsid w:val="001652FC"/>
  </w:style>
  <w:style w:type="paragraph" w:customStyle="1" w:styleId="CTA--">
    <w:name w:val="CTA --"/>
    <w:basedOn w:val="OPCParaBase"/>
    <w:next w:val="Normal"/>
    <w:locked/>
    <w:rsid w:val="001652F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locked/>
    <w:rsid w:val="001652F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locked/>
    <w:rsid w:val="001652F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locked/>
    <w:rsid w:val="001652F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locked/>
    <w:rsid w:val="001652F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locked/>
    <w:rsid w:val="001652F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locked/>
    <w:rsid w:val="001652F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locked/>
    <w:rsid w:val="001652F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locked/>
    <w:rsid w:val="001652F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locked/>
    <w:rsid w:val="001652F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locked/>
    <w:rsid w:val="001652F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locked/>
    <w:rsid w:val="001652F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locked/>
    <w:rsid w:val="001652F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locked/>
    <w:rsid w:val="001652F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locked/>
    <w:rsid w:val="001652F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ocked/>
    <w:rsid w:val="001652F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locked/>
    <w:rsid w:val="001652F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locked/>
    <w:rsid w:val="001652F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locked/>
    <w:rsid w:val="001652F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locked/>
    <w:rsid w:val="001652F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locked/>
    <w:rsid w:val="001652F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652F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652F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locked/>
    <w:rsid w:val="001652F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ocked/>
    <w:rsid w:val="001652F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ocked/>
    <w:rsid w:val="001652F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locked/>
    <w:rsid w:val="001652F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locked/>
    <w:rsid w:val="001652F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locked/>
    <w:rsid w:val="001652F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locked/>
    <w:rsid w:val="001652F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locked/>
    <w:rsid w:val="001652F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locked/>
    <w:rsid w:val="001652F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locked/>
    <w:rsid w:val="001652F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locked/>
    <w:rsid w:val="001652F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locked/>
    <w:rsid w:val="001652F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ocked/>
    <w:rsid w:val="001652F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locked/>
    <w:rsid w:val="001652F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locked/>
    <w:rsid w:val="001652F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locked/>
    <w:rsid w:val="001652F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locked/>
    <w:rsid w:val="001652F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locked/>
    <w:rsid w:val="001652F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locked/>
    <w:rsid w:val="001652F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locked/>
    <w:rsid w:val="001652F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locked/>
    <w:rsid w:val="001652F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locked/>
    <w:rsid w:val="001652F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ocked/>
    <w:rsid w:val="001652F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locked/>
    <w:rsid w:val="001652F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locked/>
    <w:rsid w:val="001652F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locked/>
    <w:rsid w:val="001652F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locked/>
    <w:rsid w:val="001652F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ocked/>
    <w:rsid w:val="001652F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locked/>
    <w:rsid w:val="001652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locked/>
    <w:rsid w:val="001652F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locked/>
    <w:rsid w:val="001652F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locked/>
    <w:rsid w:val="001652F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652F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652F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652F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652F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652F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1652F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652F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652F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1652F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locked/>
    <w:rsid w:val="001652F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locked/>
    <w:rsid w:val="001652F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locked/>
    <w:rsid w:val="001652F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locked/>
    <w:rsid w:val="001652F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locked/>
    <w:rsid w:val="001652F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locked/>
    <w:rsid w:val="001652F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652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652F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652FC"/>
    <w:rPr>
      <w:sz w:val="16"/>
    </w:rPr>
  </w:style>
  <w:style w:type="table" w:customStyle="1" w:styleId="CFlag">
    <w:name w:val="CFlag"/>
    <w:basedOn w:val="TableNormal"/>
    <w:uiPriority w:val="99"/>
    <w:locked/>
    <w:rsid w:val="00165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652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2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1652F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locked/>
    <w:rsid w:val="001652F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locked/>
    <w:rsid w:val="001652F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locked/>
    <w:rsid w:val="001652F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locked/>
    <w:rsid w:val="001652F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locked/>
    <w:rsid w:val="001652FC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locked/>
    <w:rsid w:val="001652F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locked/>
    <w:rsid w:val="001652F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locked/>
    <w:rsid w:val="001652FC"/>
    <w:pPr>
      <w:spacing w:before="120"/>
    </w:pPr>
  </w:style>
  <w:style w:type="paragraph" w:customStyle="1" w:styleId="CompiledMadeUnder">
    <w:name w:val="CompiledMadeUnder"/>
    <w:basedOn w:val="OPCParaBase"/>
    <w:next w:val="Normal"/>
    <w:locked/>
    <w:rsid w:val="001652F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locked/>
    <w:rsid w:val="001652F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locked/>
    <w:rsid w:val="001652F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locked/>
    <w:rsid w:val="001652F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locked/>
    <w:rsid w:val="001652F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locked/>
    <w:rsid w:val="001652F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locked/>
    <w:rsid w:val="001652F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locked/>
    <w:rsid w:val="001652F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locked/>
    <w:rsid w:val="001652F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locked/>
    <w:rsid w:val="001652F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locked/>
    <w:rsid w:val="001652F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locked/>
    <w:rsid w:val="001652F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locked/>
    <w:rsid w:val="001652FC"/>
  </w:style>
  <w:style w:type="character" w:customStyle="1" w:styleId="CharSubPartNoCASA">
    <w:name w:val="CharSubPartNo(CASA)"/>
    <w:basedOn w:val="OPCCharBase"/>
    <w:uiPriority w:val="1"/>
    <w:locked/>
    <w:rsid w:val="001652FC"/>
  </w:style>
  <w:style w:type="paragraph" w:customStyle="1" w:styleId="ENoteTTIndentHeadingSub">
    <w:name w:val="ENoteTTIndentHeadingSub"/>
    <w:aliases w:val="enTTHis"/>
    <w:basedOn w:val="OPCParaBase"/>
    <w:locked/>
    <w:rsid w:val="001652F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locked/>
    <w:rsid w:val="001652F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locked/>
    <w:rsid w:val="001652F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locked/>
    <w:rsid w:val="001652F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locked/>
    <w:rsid w:val="001652F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locked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locked/>
    <w:rsid w:val="001652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1652F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locked/>
    <w:rsid w:val="001652F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locked/>
    <w:rsid w:val="001652F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652F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locked/>
    <w:rsid w:val="001652FC"/>
  </w:style>
  <w:style w:type="paragraph" w:customStyle="1" w:styleId="TableHeading">
    <w:name w:val="TableHeading"/>
    <w:aliases w:val="th"/>
    <w:basedOn w:val="OPCParaBase"/>
    <w:next w:val="Tabletext"/>
    <w:locked/>
    <w:rsid w:val="001652F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locked/>
    <w:rsid w:val="001652F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652F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locked/>
    <w:rsid w:val="001652F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652F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locked/>
    <w:rsid w:val="001652F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652F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locked/>
    <w:rsid w:val="001652F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652F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locked/>
    <w:rsid w:val="001652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652F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locked/>
    <w:rsid w:val="001652F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652F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652FC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Revision">
    <w:name w:val="Revision"/>
    <w:hidden/>
    <w:uiPriority w:val="99"/>
    <w:semiHidden/>
    <w:rsid w:val="00AC76DA"/>
    <w:pPr>
      <w:spacing w:after="0" w:line="240" w:lineRule="auto"/>
    </w:pPr>
    <w:rPr>
      <w:rFonts w:ascii="Times New Roman" w:hAnsi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E6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68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688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88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30" ma:contentTypeDescription="Create a new document." ma:contentTypeScope="" ma:versionID="39d939a0f3402af2ba6eada73d5cc85f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d4cb3bc45839452c2bcc8ff493a432e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S574FYTY5PW6-969949929-2177</_dlc_DocId>
    <_dlc_DocIdUrl xmlns="fe39d773-a83d-4623-ae74-f25711a76616">
      <Url>https://austreasury.sharepoint.com/sites/leg-cord-function/_layouts/15/DocIdRedir.aspx?ID=S574FYTY5PW6-969949929-2177</Url>
      <Description>S574FYTY5PW6-969949929-2177</Description>
    </_dlc_DocIdUrl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lcf76f155ced4ddcb4097134ff3c332f xmlns="30b813c2-29e2-43aa-bac2-1ed67b791ce7">
      <Terms xmlns="http://schemas.microsoft.com/office/infopath/2007/PartnerControls"/>
    </lcf76f155ced4ddcb4097134ff3c332f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Props1.xml><?xml version="1.0" encoding="utf-8"?>
<ds:datastoreItem xmlns:ds="http://schemas.openxmlformats.org/officeDocument/2006/customXml" ds:itemID="{454D3C63-A59E-4CA2-8553-28EA7E7CE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29966-AB1F-48B8-8C4D-71EF38F371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388E0C-4663-4025-9E15-9337B334E19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3FA47B-8A51-4EA9-90D4-CE3AAF184E9E}">
  <ds:schemaRefs>
    <ds:schemaRef ds:uri="http://purl.org/dc/elements/1.1/"/>
    <ds:schemaRef ds:uri="ff38c824-6e29-4496-8487-69f397e7ed29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e39d773-a83d-4623-ae74-f25711a76616"/>
    <ds:schemaRef ds:uri="30b813c2-29e2-43aa-bac2-1ed67b791ce7"/>
    <ds:schemaRef ds:uri="http://schemas.microsoft.com/office/2006/metadata/properties"/>
    <ds:schemaRef ds:uri="42f4cb5a-261c-4c59-b165-7132460581a3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101</TotalTime>
  <Pages>7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Built to Rent Affordability Standards Determination</vt:lpstr>
    </vt:vector>
  </TitlesOfParts>
  <Company>Australian Government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Built to Rent Affordability Standards Determination</dc:title>
  <dc:subject/>
  <dc:creator>Peterson, Megan</dc:creator>
  <cp:keywords/>
  <dc:description/>
  <cp:lastModifiedBy>Cuming, Anita</cp:lastModifiedBy>
  <cp:revision>98</cp:revision>
  <cp:lastPrinted>2024-12-14T02:42:00Z</cp:lastPrinted>
  <dcterms:created xsi:type="dcterms:W3CDTF">2024-12-05T00:14:00Z</dcterms:created>
  <dcterms:modified xsi:type="dcterms:W3CDTF">2024-12-19T03:42:00Z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Income Tax Assessment (Build to Rent Developments—Affordability Standards) Determination 2024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0x010100B569D256E75E71428C72445DFBB99E7A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b0f25af6-5793-49ef-bc12-69c623fd9d9e</vt:lpwstr>
  </property>
  <property fmtid="{D5CDD505-2E9C-101B-9397-08002B2CF9AE}" pid="17" name="TSYStatus">
    <vt:lpwstr/>
  </property>
  <property fmtid="{D5CDD505-2E9C-101B-9397-08002B2CF9AE}" pid="18" name="eTheme">
    <vt:lpwstr>1;#Law Design|318dd2d2-18da-4b8e-a458-14db2c1af95f</vt:lpwstr>
  </property>
  <property fmtid="{D5CDD505-2E9C-101B-9397-08002B2CF9AE}" pid="19" name="eDocumentType">
    <vt:lpwstr>68;#Legislation|bc5c492f-641e-4b74-8651-322acd553d0f</vt:lpwstr>
  </property>
  <property fmtid="{D5CDD505-2E9C-101B-9397-08002B2CF9AE}" pid="20" name="LMDivision">
    <vt:lpwstr/>
  </property>
  <property fmtid="{D5CDD505-2E9C-101B-9397-08002B2CF9AE}" pid="21" name="eActivity">
    <vt:lpwstr>35;#Legislation management|cb630f2f-9155-496b-ad0f-d960eb1bf90c</vt:lpwstr>
  </property>
  <property fmtid="{D5CDD505-2E9C-101B-9397-08002B2CF9AE}" pid="22" name="k8424359e03846678cc4a99dd97e9705">
    <vt:lpwstr/>
  </property>
  <property fmtid="{D5CDD505-2E9C-101B-9397-08002B2CF9AE}" pid="23" name="eTopic">
    <vt:lpwstr>36;#Legislation Coordination|58c6712e-e847-48f4-81ab-b25e2bbd3986</vt:lpwstr>
  </property>
  <property fmtid="{D5CDD505-2E9C-101B-9397-08002B2CF9AE}" pid="24" name="Topic">
    <vt:lpwstr>36;#Legislation Coordination|58c6712e-e847-48f4-81ab-b25e2bbd3986</vt:lpwstr>
  </property>
  <property fmtid="{D5CDD505-2E9C-101B-9397-08002B2CF9AE}" pid="25" name="Activity">
    <vt:lpwstr>35;#Legislation management|cb630f2f-9155-496b-ad0f-d960eb1bf90c</vt:lpwstr>
  </property>
  <property fmtid="{D5CDD505-2E9C-101B-9397-08002B2CF9AE}" pid="26" name="Document_x0020_Type">
    <vt:lpwstr>42;#Legislation|25c35cca-98fe-4d3e-a63c-3dda1c39f3ec</vt:lpwstr>
  </property>
  <property fmtid="{D5CDD505-2E9C-101B-9397-08002B2CF9AE}" pid="27" name="MediaServiceImageTags">
    <vt:lpwstr/>
  </property>
  <property fmtid="{D5CDD505-2E9C-101B-9397-08002B2CF9AE}" pid="28" name="Document Type">
    <vt:lpwstr>42;#Legislation|25c35cca-98fe-4d3e-a63c-3dda1c39f3ec</vt:lpwstr>
  </property>
  <property fmtid="{D5CDD505-2E9C-101B-9397-08002B2CF9AE}" pid="29" name="MSIP_Label_4f932d64-9ab1-4d9b-81d2-a3a8b82dd47d_Enabled">
    <vt:lpwstr>true</vt:lpwstr>
  </property>
  <property fmtid="{D5CDD505-2E9C-101B-9397-08002B2CF9AE}" pid="30" name="MSIP_Label_4f932d64-9ab1-4d9b-81d2-a3a8b82dd47d_SetDate">
    <vt:lpwstr>2024-12-19T03:42:06Z</vt:lpwstr>
  </property>
  <property fmtid="{D5CDD505-2E9C-101B-9397-08002B2CF9AE}" pid="31" name="MSIP_Label_4f932d64-9ab1-4d9b-81d2-a3a8b82dd47d_Method">
    <vt:lpwstr>Privileged</vt:lpwstr>
  </property>
  <property fmtid="{D5CDD505-2E9C-101B-9397-08002B2CF9AE}" pid="32" name="MSIP_Label_4f932d64-9ab1-4d9b-81d2-a3a8b82dd47d_Name">
    <vt:lpwstr>OFFICIAL No Visual Marking</vt:lpwstr>
  </property>
  <property fmtid="{D5CDD505-2E9C-101B-9397-08002B2CF9AE}" pid="33" name="MSIP_Label_4f932d64-9ab1-4d9b-81d2-a3a8b82dd47d_SiteId">
    <vt:lpwstr>214f1646-2021-47cc-8397-e3d3a7ba7d9d</vt:lpwstr>
  </property>
  <property fmtid="{D5CDD505-2E9C-101B-9397-08002B2CF9AE}" pid="34" name="MSIP_Label_4f932d64-9ab1-4d9b-81d2-a3a8b82dd47d_ActionId">
    <vt:lpwstr>50583b94-7162-4629-82d9-89f70877408c</vt:lpwstr>
  </property>
  <property fmtid="{D5CDD505-2E9C-101B-9397-08002B2CF9AE}" pid="35" name="MSIP_Label_4f932d64-9ab1-4d9b-81d2-a3a8b82dd47d_ContentBits">
    <vt:lpwstr>0</vt:lpwstr>
  </property>
</Properties>
</file>