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E131" w14:textId="77777777" w:rsidR="00F76743" w:rsidRPr="006A7AC9" w:rsidRDefault="00F76743" w:rsidP="00F76743">
      <w:pPr>
        <w:jc w:val="center"/>
        <w:rPr>
          <w:rFonts w:asciiTheme="minorHAnsi" w:hAnsiTheme="minorHAnsi" w:cstheme="minorHAnsi"/>
          <w:b/>
          <w:szCs w:val="24"/>
          <w:u w:val="single"/>
        </w:rPr>
      </w:pPr>
      <w:r w:rsidRPr="006A7AC9">
        <w:rPr>
          <w:rFonts w:asciiTheme="minorHAnsi" w:hAnsiTheme="minorHAnsi" w:cstheme="minorHAnsi"/>
          <w:b/>
          <w:szCs w:val="24"/>
          <w:u w:val="single"/>
        </w:rPr>
        <w:t>EXPLANATORY STATEMENT</w:t>
      </w:r>
    </w:p>
    <w:p w14:paraId="16680712" w14:textId="77777777" w:rsidR="00F76743" w:rsidRPr="0088497A" w:rsidRDefault="00F76743" w:rsidP="00F76743">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Pr>
          <w:rFonts w:asciiTheme="minorHAnsi" w:hAnsiTheme="minorHAnsi" w:cstheme="minorHAnsi"/>
          <w:szCs w:val="24"/>
          <w:u w:val="single"/>
        </w:rPr>
        <w:t xml:space="preserve"> the Tuition Protection Service Director</w:t>
      </w:r>
    </w:p>
    <w:p w14:paraId="2FE3F12A" w14:textId="77777777" w:rsidR="00F76743" w:rsidRPr="004058C0" w:rsidRDefault="00F76743" w:rsidP="00F76743">
      <w:pPr>
        <w:jc w:val="center"/>
        <w:rPr>
          <w:rFonts w:asciiTheme="minorHAnsi" w:hAnsiTheme="minorHAnsi" w:cstheme="minorHAnsi"/>
          <w:b/>
          <w:i/>
          <w:szCs w:val="24"/>
        </w:rPr>
      </w:pPr>
      <w:r w:rsidRPr="004058C0">
        <w:rPr>
          <w:rFonts w:asciiTheme="minorHAnsi" w:hAnsiTheme="minorHAnsi" w:cstheme="minorHAnsi"/>
          <w:b/>
          <w:i/>
          <w:szCs w:val="24"/>
        </w:rPr>
        <w:t>Education Services for Overseas Students (TPS Levies) Act 2012</w:t>
      </w:r>
    </w:p>
    <w:p w14:paraId="56A7B7DE" w14:textId="72B2231D" w:rsidR="00F76743" w:rsidRPr="0088497A" w:rsidRDefault="00F76743" w:rsidP="00F76743">
      <w:pPr>
        <w:jc w:val="center"/>
        <w:rPr>
          <w:rFonts w:asciiTheme="minorHAnsi" w:hAnsiTheme="minorHAnsi" w:cstheme="minorHAnsi"/>
          <w:b/>
          <w:i/>
          <w:szCs w:val="24"/>
        </w:rPr>
      </w:pPr>
      <w:r w:rsidRPr="004058C0">
        <w:rPr>
          <w:rFonts w:asciiTheme="minorHAnsi" w:hAnsiTheme="minorHAnsi" w:cstheme="minorHAnsi"/>
          <w:b/>
          <w:i/>
          <w:szCs w:val="24"/>
        </w:rPr>
        <w:t xml:space="preserve">Education Services for Overseas Students (TPS Levies) (Risk Rated Premium and Special Tuition Protection Components) </w:t>
      </w:r>
      <w:r w:rsidRPr="00BF7821">
        <w:rPr>
          <w:rFonts w:asciiTheme="minorHAnsi" w:hAnsiTheme="minorHAnsi" w:cstheme="minorHAnsi"/>
          <w:b/>
          <w:i/>
          <w:szCs w:val="24"/>
        </w:rPr>
        <w:t xml:space="preserve">Instrument </w:t>
      </w:r>
      <w:r w:rsidR="006910C8" w:rsidRPr="00BF7821">
        <w:rPr>
          <w:rFonts w:asciiTheme="minorHAnsi" w:hAnsiTheme="minorHAnsi" w:cstheme="minorHAnsi"/>
          <w:b/>
          <w:i/>
          <w:szCs w:val="24"/>
        </w:rPr>
        <w:t>202</w:t>
      </w:r>
      <w:r w:rsidR="007A7844">
        <w:rPr>
          <w:rFonts w:asciiTheme="minorHAnsi" w:hAnsiTheme="minorHAnsi" w:cstheme="minorHAnsi"/>
          <w:b/>
          <w:i/>
          <w:szCs w:val="24"/>
        </w:rPr>
        <w:t>4</w:t>
      </w:r>
    </w:p>
    <w:p w14:paraId="7B4590CB" w14:textId="77777777" w:rsidR="00F76743" w:rsidRDefault="00F76743" w:rsidP="00F76743">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36D0B116" w14:textId="77777777" w:rsidR="00F76743" w:rsidRDefault="00F76743" w:rsidP="00F76743">
      <w:pPr>
        <w:pStyle w:val="Heading2"/>
        <w:spacing w:after="240"/>
        <w:rPr>
          <w:rFonts w:asciiTheme="minorHAnsi" w:hAnsiTheme="minorHAnsi" w:cstheme="minorHAnsi"/>
          <w:b w:val="0"/>
          <w:iCs/>
          <w:color w:val="auto"/>
        </w:rPr>
      </w:pPr>
      <w:bookmarkStart w:id="2" w:name="_Hlk87883409"/>
      <w:r w:rsidRPr="004058C0">
        <w:rPr>
          <w:rFonts w:asciiTheme="minorHAnsi" w:hAnsiTheme="minorHAnsi" w:cstheme="minorHAnsi"/>
          <w:b w:val="0"/>
          <w:iCs/>
          <w:color w:val="auto"/>
        </w:rPr>
        <w:t>Paragraph 54B(f) of the</w:t>
      </w:r>
      <w:r w:rsidRPr="004058C0">
        <w:rPr>
          <w:rFonts w:asciiTheme="minorHAnsi" w:hAnsiTheme="minorHAnsi" w:cstheme="minorHAnsi"/>
          <w:b w:val="0"/>
          <w:i/>
          <w:color w:val="auto"/>
        </w:rPr>
        <w:t xml:space="preserve"> Education Services for Overseas Students Act 2000</w:t>
      </w:r>
      <w:r w:rsidRPr="004058C0">
        <w:rPr>
          <w:rFonts w:asciiTheme="minorHAnsi" w:hAnsiTheme="minorHAnsi" w:cstheme="minorHAnsi"/>
          <w:b w:val="0"/>
          <w:iCs/>
          <w:color w:val="auto"/>
        </w:rPr>
        <w:t xml:space="preserve"> (ESOS Act) provides that </w:t>
      </w:r>
      <w:r>
        <w:rPr>
          <w:rFonts w:asciiTheme="minorHAnsi" w:hAnsiTheme="minorHAnsi" w:cstheme="minorHAnsi"/>
          <w:b w:val="0"/>
          <w:iCs/>
          <w:color w:val="auto"/>
        </w:rPr>
        <w:t>a function of the</w:t>
      </w:r>
      <w:r w:rsidRPr="004058C0">
        <w:rPr>
          <w:rFonts w:asciiTheme="minorHAnsi" w:hAnsiTheme="minorHAnsi" w:cstheme="minorHAnsi"/>
          <w:b w:val="0"/>
          <w:iCs/>
          <w:color w:val="auto"/>
        </w:rPr>
        <w:t xml:space="preserve"> </w:t>
      </w:r>
      <w:r w:rsidRPr="00D53D85">
        <w:rPr>
          <w:rFonts w:asciiTheme="minorHAnsi" w:hAnsiTheme="minorHAnsi" w:cstheme="minorHAnsi"/>
          <w:b w:val="0"/>
          <w:iCs/>
          <w:color w:val="auto"/>
        </w:rPr>
        <w:t>Tuition Protection Service Director</w:t>
      </w:r>
      <w:r w:rsidRPr="00D53D85">
        <w:rPr>
          <w:rFonts w:asciiTheme="minorHAnsi" w:hAnsiTheme="minorHAnsi" w:cstheme="minorHAnsi"/>
          <w:iCs/>
          <w:color w:val="auto"/>
        </w:rPr>
        <w:t xml:space="preserve"> </w:t>
      </w:r>
      <w:r>
        <w:rPr>
          <w:rFonts w:asciiTheme="minorHAnsi" w:hAnsiTheme="minorHAnsi" w:cstheme="minorHAnsi"/>
          <w:b w:val="0"/>
          <w:bCs/>
          <w:iCs/>
          <w:color w:val="auto"/>
        </w:rPr>
        <w:t>(</w:t>
      </w:r>
      <w:r w:rsidRPr="004058C0">
        <w:rPr>
          <w:rFonts w:asciiTheme="minorHAnsi" w:hAnsiTheme="minorHAnsi" w:cstheme="minorHAnsi"/>
          <w:b w:val="0"/>
          <w:iCs/>
          <w:color w:val="auto"/>
        </w:rPr>
        <w:t>TPS Director</w:t>
      </w:r>
      <w:r>
        <w:rPr>
          <w:rFonts w:asciiTheme="minorHAnsi" w:hAnsiTheme="minorHAnsi" w:cstheme="minorHAnsi"/>
          <w:b w:val="0"/>
          <w:iCs/>
          <w:color w:val="auto"/>
        </w:rPr>
        <w:t>)</w:t>
      </w:r>
      <w:r w:rsidRPr="004058C0">
        <w:rPr>
          <w:rFonts w:asciiTheme="minorHAnsi" w:hAnsiTheme="minorHAnsi" w:cstheme="minorHAnsi"/>
          <w:b w:val="0"/>
          <w:iCs/>
          <w:color w:val="auto"/>
        </w:rPr>
        <w:t xml:space="preserve"> is to</w:t>
      </w:r>
      <w:r>
        <w:rPr>
          <w:rFonts w:asciiTheme="minorHAnsi" w:hAnsiTheme="minorHAnsi" w:cstheme="minorHAnsi"/>
          <w:b w:val="0"/>
          <w:iCs/>
          <w:color w:val="auto"/>
        </w:rPr>
        <w:t xml:space="preserve"> make a legislative instrument each year for the purposes of subsections 9(3) and 10(2) of the </w:t>
      </w:r>
      <w:r w:rsidRPr="004058C0">
        <w:rPr>
          <w:rFonts w:asciiTheme="minorHAnsi" w:hAnsiTheme="minorHAnsi" w:cstheme="minorHAnsi"/>
          <w:b w:val="0"/>
          <w:i/>
          <w:color w:val="auto"/>
        </w:rPr>
        <w:t>Education Services for Overseas Students (TPS Levies) Act 2012</w:t>
      </w:r>
      <w:r w:rsidRPr="004058C0">
        <w:rPr>
          <w:rFonts w:asciiTheme="minorHAnsi" w:hAnsiTheme="minorHAnsi" w:cstheme="minorHAnsi"/>
          <w:b w:val="0"/>
          <w:iCs/>
          <w:color w:val="auto"/>
        </w:rPr>
        <w:t xml:space="preserve"> (</w:t>
      </w:r>
      <w:r>
        <w:rPr>
          <w:rFonts w:asciiTheme="minorHAnsi" w:hAnsiTheme="minorHAnsi" w:cstheme="minorHAnsi"/>
          <w:b w:val="0"/>
          <w:iCs/>
          <w:color w:val="auto"/>
        </w:rPr>
        <w:t>the</w:t>
      </w:r>
      <w:r w:rsidRPr="004058C0">
        <w:rPr>
          <w:rFonts w:asciiTheme="minorHAnsi" w:hAnsiTheme="minorHAnsi" w:cstheme="minorHAnsi"/>
          <w:b w:val="0"/>
          <w:iCs/>
          <w:color w:val="auto"/>
        </w:rPr>
        <w:t xml:space="preserve"> Act)</w:t>
      </w:r>
      <w:r>
        <w:rPr>
          <w:rFonts w:asciiTheme="minorHAnsi" w:hAnsiTheme="minorHAnsi" w:cstheme="minorHAnsi"/>
          <w:b w:val="0"/>
          <w:iCs/>
          <w:color w:val="auto"/>
        </w:rPr>
        <w:t xml:space="preserve">. </w:t>
      </w:r>
    </w:p>
    <w:p w14:paraId="7F265DD9" w14:textId="41C36B4A" w:rsidR="00F76743" w:rsidRDefault="00F76743" w:rsidP="00F76743">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Subsection 9(3) of the Act requires the TPS Director, before the beginning of each year, to make a legislative instrument specifying certain matters in relation to the risk rated premium component of the </w:t>
      </w:r>
      <w:r w:rsidR="00D770A6">
        <w:rPr>
          <w:rFonts w:asciiTheme="minorHAnsi" w:hAnsiTheme="minorHAnsi" w:cstheme="minorHAnsi"/>
          <w:b w:val="0"/>
          <w:iCs/>
          <w:color w:val="auto"/>
        </w:rPr>
        <w:t>Tuition Protection Service (</w:t>
      </w:r>
      <w:r>
        <w:rPr>
          <w:rFonts w:asciiTheme="minorHAnsi" w:hAnsiTheme="minorHAnsi" w:cstheme="minorHAnsi"/>
          <w:b w:val="0"/>
          <w:iCs/>
          <w:color w:val="auto"/>
        </w:rPr>
        <w:t>TPS</w:t>
      </w:r>
      <w:r w:rsidR="00D770A6">
        <w:rPr>
          <w:rFonts w:asciiTheme="minorHAnsi" w:hAnsiTheme="minorHAnsi" w:cstheme="minorHAnsi"/>
          <w:b w:val="0"/>
          <w:iCs/>
          <w:color w:val="auto"/>
        </w:rPr>
        <w:t>)</w:t>
      </w:r>
      <w:r>
        <w:rPr>
          <w:rFonts w:asciiTheme="minorHAnsi" w:hAnsiTheme="minorHAnsi" w:cstheme="minorHAnsi"/>
          <w:b w:val="0"/>
          <w:iCs/>
          <w:color w:val="auto"/>
        </w:rPr>
        <w:t xml:space="preserve"> </w:t>
      </w:r>
      <w:r w:rsidR="00E60D8E">
        <w:rPr>
          <w:rFonts w:asciiTheme="minorHAnsi" w:hAnsiTheme="minorHAnsi" w:cstheme="minorHAnsi"/>
          <w:b w:val="0"/>
          <w:iCs/>
          <w:color w:val="auto"/>
        </w:rPr>
        <w:t>l</w:t>
      </w:r>
      <w:r>
        <w:rPr>
          <w:rFonts w:asciiTheme="minorHAnsi" w:hAnsiTheme="minorHAnsi" w:cstheme="minorHAnsi"/>
          <w:b w:val="0"/>
          <w:iCs/>
          <w:color w:val="auto"/>
        </w:rPr>
        <w:t xml:space="preserve">evy. Subsection 10(2) of the Act requires the TPS Director, before the beginning of each year, to make a legislative instrument specifying a percentage for that year for the special tuition protection component of the TPS </w:t>
      </w:r>
      <w:r w:rsidR="00F14909">
        <w:rPr>
          <w:rFonts w:asciiTheme="minorHAnsi" w:hAnsiTheme="minorHAnsi" w:cstheme="minorHAnsi"/>
          <w:b w:val="0"/>
          <w:iCs/>
          <w:color w:val="auto"/>
        </w:rPr>
        <w:t>l</w:t>
      </w:r>
      <w:r>
        <w:rPr>
          <w:rFonts w:asciiTheme="minorHAnsi" w:hAnsiTheme="minorHAnsi" w:cstheme="minorHAnsi"/>
          <w:b w:val="0"/>
          <w:iCs/>
          <w:color w:val="auto"/>
        </w:rPr>
        <w:t>evy.</w:t>
      </w:r>
    </w:p>
    <w:p w14:paraId="7DEB4B42" w14:textId="79FAA695" w:rsidR="00F76743" w:rsidRPr="001435A8" w:rsidRDefault="00F76743" w:rsidP="00F76743">
      <w:pPr>
        <w:pStyle w:val="Heading2"/>
        <w:spacing w:after="240"/>
        <w:rPr>
          <w:rFonts w:asciiTheme="minorHAnsi" w:hAnsiTheme="minorHAnsi" w:cstheme="minorHAnsi"/>
          <w:b w:val="0"/>
          <w:iCs/>
          <w:color w:val="auto"/>
        </w:rPr>
      </w:pPr>
      <w:r>
        <w:rPr>
          <w:rFonts w:asciiTheme="minorHAnsi" w:hAnsiTheme="minorHAnsi" w:cstheme="minorHAnsi"/>
          <w:b w:val="0"/>
          <w:iCs/>
          <w:color w:val="auto"/>
        </w:rPr>
        <w:t>Subsection 11(1) of the Act requires the matters in subsection</w:t>
      </w:r>
      <w:r w:rsidR="006A2CE1">
        <w:rPr>
          <w:rFonts w:asciiTheme="minorHAnsi" w:hAnsiTheme="minorHAnsi" w:cstheme="minorHAnsi"/>
          <w:b w:val="0"/>
          <w:iCs/>
          <w:color w:val="auto"/>
        </w:rPr>
        <w:t>s</w:t>
      </w:r>
      <w:r>
        <w:rPr>
          <w:rFonts w:asciiTheme="minorHAnsi" w:hAnsiTheme="minorHAnsi" w:cstheme="minorHAnsi"/>
          <w:b w:val="0"/>
          <w:iCs/>
          <w:color w:val="auto"/>
        </w:rPr>
        <w:t xml:space="preserve"> 9(3) and 10(2) to be included in the same legislative instrument. </w:t>
      </w:r>
    </w:p>
    <w:p w14:paraId="46B325E0" w14:textId="6EF6CBEE" w:rsidR="00F76743" w:rsidRPr="004058C0" w:rsidRDefault="00F76743" w:rsidP="00F76743">
      <w:pPr>
        <w:pStyle w:val="Heading2"/>
        <w:spacing w:after="240"/>
        <w:rPr>
          <w:rFonts w:asciiTheme="minorHAnsi" w:hAnsiTheme="minorHAnsi" w:cstheme="minorHAnsi"/>
          <w:b w:val="0"/>
          <w:iCs/>
          <w:color w:val="auto"/>
        </w:rPr>
      </w:pPr>
      <w:r w:rsidRPr="004058C0">
        <w:rPr>
          <w:rFonts w:asciiTheme="minorHAnsi" w:hAnsiTheme="minorHAnsi" w:cstheme="minorHAnsi"/>
          <w:b w:val="0"/>
          <w:iCs/>
          <w:color w:val="auto"/>
        </w:rPr>
        <w:t xml:space="preserve">Subsection 33(3) of the </w:t>
      </w:r>
      <w:r w:rsidRPr="004058C0">
        <w:rPr>
          <w:rFonts w:asciiTheme="minorHAnsi" w:hAnsiTheme="minorHAnsi" w:cstheme="minorHAnsi"/>
          <w:b w:val="0"/>
          <w:i/>
          <w:color w:val="auto"/>
        </w:rPr>
        <w:t>Acts Interpretation Act 1901</w:t>
      </w:r>
      <w:r w:rsidRPr="004058C0">
        <w:rPr>
          <w:rFonts w:asciiTheme="minorHAnsi" w:hAnsiTheme="minorHAnsi" w:cstheme="minorHAnsi"/>
          <w:b w:val="0"/>
          <w:iCs/>
          <w:color w:val="auto"/>
        </w:rPr>
        <w:t xml:space="preserve"> provides </w:t>
      </w:r>
      <w:r w:rsidR="00D770A6">
        <w:rPr>
          <w:rFonts w:asciiTheme="minorHAnsi" w:hAnsiTheme="minorHAnsi" w:cstheme="minorHAnsi"/>
          <w:b w:val="0"/>
          <w:iCs/>
          <w:color w:val="auto"/>
        </w:rPr>
        <w:t xml:space="preserve">that, </w:t>
      </w:r>
      <w:r w:rsidRPr="004058C0">
        <w:rPr>
          <w:rFonts w:asciiTheme="minorHAnsi" w:hAnsiTheme="minorHAnsi" w:cstheme="minorHAnsi"/>
          <w:b w:val="0"/>
          <w:iCs/>
          <w:color w:val="auto"/>
        </w:rPr>
        <w:t xml:space="preserve">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r w:rsidRPr="00BF7821">
        <w:rPr>
          <w:rFonts w:asciiTheme="minorHAnsi" w:hAnsiTheme="minorHAnsi" w:cstheme="minorHAnsi"/>
          <w:b w:val="0"/>
          <w:iCs/>
          <w:color w:val="auto"/>
        </w:rPr>
        <w:t xml:space="preserve">The repeal of the </w:t>
      </w:r>
      <w:r w:rsidRPr="00BF7821">
        <w:rPr>
          <w:rFonts w:asciiTheme="minorHAnsi" w:hAnsiTheme="minorHAnsi" w:cstheme="minorHAnsi"/>
          <w:b w:val="0"/>
          <w:i/>
          <w:color w:val="auto"/>
        </w:rPr>
        <w:t xml:space="preserve">Education Services for Overseas Students (TPS Levies) (Risk Rated Premium and Special Tuition Protection Components) Instrument </w:t>
      </w:r>
      <w:r w:rsidR="008C5C40" w:rsidRPr="00BF7821">
        <w:rPr>
          <w:rFonts w:asciiTheme="minorHAnsi" w:hAnsiTheme="minorHAnsi" w:cstheme="minorHAnsi"/>
          <w:b w:val="0"/>
          <w:i/>
          <w:color w:val="auto"/>
        </w:rPr>
        <w:t>202</w:t>
      </w:r>
      <w:r w:rsidR="007A7844">
        <w:rPr>
          <w:rFonts w:asciiTheme="minorHAnsi" w:hAnsiTheme="minorHAnsi" w:cstheme="minorHAnsi"/>
          <w:b w:val="0"/>
          <w:i/>
          <w:color w:val="auto"/>
        </w:rPr>
        <w:t>3</w:t>
      </w:r>
      <w:r w:rsidRPr="00BF7821">
        <w:rPr>
          <w:rFonts w:asciiTheme="minorHAnsi" w:hAnsiTheme="minorHAnsi" w:cstheme="minorHAnsi"/>
          <w:b w:val="0"/>
          <w:iCs/>
          <w:color w:val="auto"/>
        </w:rPr>
        <w:t xml:space="preserve"> (the Former Instrument) at Schedule 1 to</w:t>
      </w:r>
      <w:r w:rsidR="00FD2AA1" w:rsidRPr="00BF7821">
        <w:rPr>
          <w:rFonts w:asciiTheme="minorHAnsi" w:hAnsiTheme="minorHAnsi" w:cstheme="minorHAnsi"/>
          <w:b w:val="0"/>
          <w:iCs/>
          <w:color w:val="auto"/>
        </w:rPr>
        <w:t xml:space="preserve"> the</w:t>
      </w:r>
      <w:r w:rsidRPr="00BF7821">
        <w:rPr>
          <w:rFonts w:asciiTheme="minorHAnsi" w:hAnsiTheme="minorHAnsi" w:cstheme="minorHAnsi"/>
          <w:b w:val="0"/>
          <w:iCs/>
          <w:color w:val="auto"/>
        </w:rPr>
        <w:t xml:space="preserve"> </w:t>
      </w:r>
      <w:r w:rsidR="00FD2AA1" w:rsidRPr="00BF7821">
        <w:rPr>
          <w:rFonts w:asciiTheme="minorHAnsi" w:hAnsiTheme="minorHAnsi" w:cstheme="minorHAnsi"/>
          <w:b w:val="0"/>
          <w:i/>
          <w:iCs/>
          <w:color w:val="auto"/>
        </w:rPr>
        <w:t xml:space="preserve">Education Services for Overseas Students (TPS Levies) (Risk Rated Premium and Special Tuition Protection Components) Instrument </w:t>
      </w:r>
      <w:r w:rsidR="008C5C40" w:rsidRPr="00BF7821">
        <w:rPr>
          <w:rFonts w:asciiTheme="minorHAnsi" w:hAnsiTheme="minorHAnsi" w:cstheme="minorHAnsi"/>
          <w:b w:val="0"/>
          <w:i/>
          <w:iCs/>
          <w:color w:val="auto"/>
        </w:rPr>
        <w:t>202</w:t>
      </w:r>
      <w:r w:rsidR="00294DBB">
        <w:rPr>
          <w:rFonts w:asciiTheme="minorHAnsi" w:hAnsiTheme="minorHAnsi" w:cstheme="minorHAnsi"/>
          <w:b w:val="0"/>
          <w:i/>
          <w:iCs/>
          <w:color w:val="auto"/>
        </w:rPr>
        <w:t>4</w:t>
      </w:r>
      <w:r w:rsidR="00FD2AA1" w:rsidRPr="00BF7821">
        <w:rPr>
          <w:rFonts w:asciiTheme="minorHAnsi" w:hAnsiTheme="minorHAnsi" w:cstheme="minorHAnsi"/>
          <w:b w:val="0"/>
          <w:i/>
          <w:iCs/>
          <w:color w:val="auto"/>
        </w:rPr>
        <w:t xml:space="preserve"> </w:t>
      </w:r>
      <w:r w:rsidR="00FD2AA1" w:rsidRPr="00BF7821">
        <w:rPr>
          <w:rFonts w:asciiTheme="minorHAnsi" w:hAnsiTheme="minorHAnsi" w:cstheme="minorHAnsi"/>
          <w:b w:val="0"/>
          <w:iCs/>
          <w:color w:val="auto"/>
        </w:rPr>
        <w:t>(the Instrument)</w:t>
      </w:r>
      <w:r w:rsidR="00A34130" w:rsidRPr="00BF7821">
        <w:rPr>
          <w:rFonts w:asciiTheme="minorHAnsi" w:hAnsiTheme="minorHAnsi" w:cstheme="minorHAnsi"/>
          <w:b w:val="0"/>
          <w:iCs/>
          <w:color w:val="auto"/>
        </w:rPr>
        <w:t xml:space="preserve"> </w:t>
      </w:r>
      <w:r w:rsidRPr="00BF7821">
        <w:rPr>
          <w:rFonts w:asciiTheme="minorHAnsi" w:hAnsiTheme="minorHAnsi" w:cstheme="minorHAnsi"/>
          <w:b w:val="0"/>
          <w:iCs/>
          <w:color w:val="auto"/>
        </w:rPr>
        <w:t>is made in reliance on this power.</w:t>
      </w:r>
      <w:r>
        <w:rPr>
          <w:rFonts w:asciiTheme="minorHAnsi" w:hAnsiTheme="minorHAnsi" w:cstheme="minorHAnsi"/>
          <w:b w:val="0"/>
          <w:iCs/>
          <w:color w:val="auto"/>
        </w:rPr>
        <w:t xml:space="preserve"> </w:t>
      </w:r>
    </w:p>
    <w:bookmarkEnd w:id="0"/>
    <w:bookmarkEnd w:id="1"/>
    <w:bookmarkEnd w:id="2"/>
    <w:p w14:paraId="61C0E8CD" w14:textId="77777777" w:rsidR="00F76743" w:rsidRPr="008134D5" w:rsidRDefault="00F76743" w:rsidP="00F76743">
      <w:pPr>
        <w:pStyle w:val="Heading2"/>
        <w:rPr>
          <w:rFonts w:asciiTheme="minorHAnsi" w:hAnsiTheme="minorHAnsi" w:cstheme="minorHAnsi"/>
          <w:color w:val="auto"/>
        </w:rPr>
      </w:pPr>
      <w:r>
        <w:rPr>
          <w:rFonts w:asciiTheme="minorHAnsi" w:hAnsiTheme="minorHAnsi" w:cstheme="minorHAnsi"/>
          <w:color w:val="auto"/>
        </w:rPr>
        <w:t>PURPOSE AND OPERATION</w:t>
      </w:r>
    </w:p>
    <w:p w14:paraId="40AFE5ED" w14:textId="495FD53F" w:rsidR="00F76743" w:rsidRPr="00310B9F" w:rsidRDefault="00F76743" w:rsidP="00F76743">
      <w:pPr>
        <w:rPr>
          <w:rFonts w:asciiTheme="minorHAnsi" w:hAnsiTheme="minorHAnsi" w:cstheme="minorHAnsi"/>
        </w:rPr>
      </w:pPr>
      <w:r w:rsidRPr="00310B9F">
        <w:rPr>
          <w:rFonts w:asciiTheme="minorHAnsi" w:hAnsiTheme="minorHAnsi" w:cstheme="minorHAnsi"/>
        </w:rPr>
        <w:t>The TPS arrangements</w:t>
      </w:r>
      <w:r>
        <w:rPr>
          <w:rFonts w:asciiTheme="minorHAnsi" w:hAnsiTheme="minorHAnsi" w:cstheme="minorHAnsi"/>
        </w:rPr>
        <w:t xml:space="preserve">, including the TPS </w:t>
      </w:r>
      <w:r w:rsidR="00E60D8E">
        <w:rPr>
          <w:rFonts w:asciiTheme="minorHAnsi" w:hAnsiTheme="minorHAnsi" w:cstheme="minorHAnsi"/>
        </w:rPr>
        <w:t>l</w:t>
      </w:r>
      <w:r>
        <w:rPr>
          <w:rFonts w:asciiTheme="minorHAnsi" w:hAnsiTheme="minorHAnsi" w:cstheme="minorHAnsi"/>
        </w:rPr>
        <w:t>evy,</w:t>
      </w:r>
      <w:r w:rsidRPr="00310B9F">
        <w:rPr>
          <w:rFonts w:asciiTheme="minorHAnsi" w:hAnsiTheme="minorHAnsi" w:cstheme="minorHAnsi"/>
        </w:rPr>
        <w:t xml:space="preserve"> commenced on 1 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w:t>
      </w:r>
      <w:r w:rsidR="00604725">
        <w:rPr>
          <w:rFonts w:asciiTheme="minorHAnsi" w:hAnsiTheme="minorHAnsi" w:cstheme="minorHAnsi"/>
        </w:rPr>
        <w:t>overseas</w:t>
      </w:r>
      <w:r w:rsidRPr="00310B9F">
        <w:rPr>
          <w:rFonts w:asciiTheme="minorHAnsi" w:hAnsiTheme="minorHAnsi" w:cstheme="minorHAnsi"/>
        </w:rPr>
        <w:t xml:space="preserve"> students make in an Australian education, and to protect and enhance Australia’s reputation as a destination of choice for </w:t>
      </w:r>
      <w:r w:rsidR="00604725">
        <w:rPr>
          <w:rFonts w:asciiTheme="minorHAnsi" w:hAnsiTheme="minorHAnsi" w:cstheme="minorHAnsi"/>
        </w:rPr>
        <w:t>overseas</w:t>
      </w:r>
      <w:r w:rsidRPr="00310B9F">
        <w:rPr>
          <w:rFonts w:asciiTheme="minorHAnsi" w:hAnsiTheme="minorHAnsi" w:cstheme="minorHAnsi"/>
        </w:rPr>
        <w:t xml:space="preserve"> students.  </w:t>
      </w:r>
    </w:p>
    <w:p w14:paraId="37148CB1" w14:textId="7C086706" w:rsidR="00F76743" w:rsidRPr="00310B9F" w:rsidRDefault="00F76743" w:rsidP="00F76743">
      <w:pPr>
        <w:rPr>
          <w:rFonts w:asciiTheme="minorHAnsi" w:hAnsiTheme="minorHAnsi" w:cstheme="minorHAnsi"/>
        </w:rPr>
      </w:pPr>
      <w:r w:rsidRPr="00310B9F">
        <w:rPr>
          <w:rFonts w:asciiTheme="minorHAnsi" w:hAnsiTheme="minorHAnsi" w:cstheme="minorHAnsi"/>
        </w:rPr>
        <w:lastRenderedPageBreak/>
        <w:t>Under Part 2 of the</w:t>
      </w:r>
      <w:r w:rsidRPr="00310B9F">
        <w:rPr>
          <w:rFonts w:asciiTheme="minorHAnsi" w:hAnsiTheme="minorHAnsi" w:cstheme="minorHAnsi"/>
          <w:iCs/>
        </w:rPr>
        <w:t xml:space="preserv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 xml:space="preserve">January of a year are liable to pay a TPS </w:t>
      </w:r>
      <w:r w:rsidR="00E60D8E">
        <w:rPr>
          <w:rFonts w:asciiTheme="minorHAnsi" w:hAnsiTheme="minorHAnsi" w:cstheme="minorHAnsi"/>
        </w:rPr>
        <w:t>l</w:t>
      </w:r>
      <w:r w:rsidRPr="00310B9F">
        <w:rPr>
          <w:rFonts w:asciiTheme="minorHAnsi" w:hAnsiTheme="minorHAnsi" w:cstheme="minorHAnsi"/>
        </w:rPr>
        <w:t xml:space="preserve">evy for the year. The amount of the TPS </w:t>
      </w:r>
      <w:r w:rsidR="00E60D8E">
        <w:rPr>
          <w:rFonts w:asciiTheme="minorHAnsi" w:hAnsiTheme="minorHAnsi" w:cstheme="minorHAnsi"/>
        </w:rPr>
        <w:t>l</w:t>
      </w:r>
      <w:r w:rsidRPr="00310B9F">
        <w:rPr>
          <w:rFonts w:asciiTheme="minorHAnsi" w:hAnsiTheme="minorHAnsi" w:cstheme="minorHAnsi"/>
        </w:rPr>
        <w:t>evy payable is the sum of</w:t>
      </w:r>
      <w:r>
        <w:rPr>
          <w:rFonts w:asciiTheme="minorHAnsi" w:hAnsiTheme="minorHAnsi" w:cstheme="minorHAnsi"/>
        </w:rPr>
        <w:t xml:space="preserve"> a provider’s</w:t>
      </w:r>
      <w:r w:rsidRPr="00310B9F">
        <w:rPr>
          <w:rFonts w:asciiTheme="minorHAnsi" w:hAnsiTheme="minorHAnsi" w:cstheme="minorHAnsi"/>
        </w:rPr>
        <w:t>:</w:t>
      </w:r>
    </w:p>
    <w:p w14:paraId="2A6622BE" w14:textId="77777777" w:rsidR="00F76743" w:rsidRPr="00310B9F" w:rsidRDefault="00F76743" w:rsidP="00F76743">
      <w:pPr>
        <w:pStyle w:val="ListParagraph"/>
        <w:numPr>
          <w:ilvl w:val="0"/>
          <w:numId w:val="1"/>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roofErr w:type="gramStart"/>
      <w:r w:rsidRPr="00310B9F">
        <w:rPr>
          <w:rFonts w:asciiTheme="minorHAnsi" w:hAnsiTheme="minorHAnsi" w:cstheme="minorHAnsi"/>
          <w:iCs/>
        </w:rPr>
        <w:t>);</w:t>
      </w:r>
      <w:proofErr w:type="gramEnd"/>
    </w:p>
    <w:p w14:paraId="2B4F8E98" w14:textId="77777777" w:rsidR="00F76743" w:rsidRPr="00310B9F" w:rsidRDefault="00F76743" w:rsidP="00F76743">
      <w:pPr>
        <w:pStyle w:val="ListParagraph"/>
        <w:numPr>
          <w:ilvl w:val="0"/>
          <w:numId w:val="1"/>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proofErr w:type="gramStart"/>
      <w:r w:rsidRPr="00310B9F">
        <w:rPr>
          <w:rFonts w:asciiTheme="minorHAnsi" w:hAnsiTheme="minorHAnsi" w:cstheme="minorHAnsi"/>
          <w:iCs/>
        </w:rPr>
        <w:t>);</w:t>
      </w:r>
      <w:proofErr w:type="gramEnd"/>
      <w:r w:rsidRPr="00310B9F">
        <w:rPr>
          <w:rFonts w:asciiTheme="minorHAnsi" w:hAnsiTheme="minorHAnsi" w:cstheme="minorHAnsi"/>
        </w:rPr>
        <w:t xml:space="preserve"> </w:t>
      </w:r>
    </w:p>
    <w:p w14:paraId="261E2035" w14:textId="77777777" w:rsidR="00F76743" w:rsidRPr="00310B9F" w:rsidRDefault="00F76743" w:rsidP="00F76743">
      <w:pPr>
        <w:pStyle w:val="ListParagraph"/>
        <w:numPr>
          <w:ilvl w:val="0"/>
          <w:numId w:val="1"/>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6CC65390" w14:textId="77777777" w:rsidR="00F76743" w:rsidRPr="00310B9F" w:rsidRDefault="00F76743" w:rsidP="00F76743">
      <w:pPr>
        <w:pStyle w:val="ListParagraph"/>
        <w:numPr>
          <w:ilvl w:val="0"/>
          <w:numId w:val="1"/>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247CAE43" w14:textId="7D86830B" w:rsidR="00F76743" w:rsidRDefault="00F76743" w:rsidP="00F76743">
      <w:pPr>
        <w:rPr>
          <w:rFonts w:asciiTheme="minorHAnsi" w:hAnsiTheme="minorHAnsi" w:cstheme="minorHAnsi"/>
        </w:rPr>
      </w:pPr>
      <w:r w:rsidRPr="00D42297">
        <w:rPr>
          <w:rFonts w:asciiTheme="minorHAnsi" w:hAnsiTheme="minorHAnsi" w:cstheme="minorHAnsi"/>
        </w:rPr>
        <w:t>The administrative fee and base fee components are determined in a legislative instrument made by the Minister and are not dealt with in</w:t>
      </w:r>
      <w:r w:rsidR="00556DC4" w:rsidRPr="00D42297">
        <w:rPr>
          <w:rFonts w:asciiTheme="minorHAnsi" w:hAnsiTheme="minorHAnsi" w:cstheme="minorHAnsi"/>
        </w:rPr>
        <w:t xml:space="preserve"> the</w:t>
      </w:r>
      <w:r w:rsidRPr="00D42297">
        <w:rPr>
          <w:rFonts w:asciiTheme="minorHAnsi" w:hAnsiTheme="minorHAnsi" w:cstheme="minorHAnsi"/>
        </w:rPr>
        <w:t xml:space="preserve"> </w:t>
      </w:r>
      <w:r w:rsidR="00556DC4" w:rsidRPr="00D42297">
        <w:rPr>
          <w:rFonts w:asciiTheme="minorHAnsi" w:hAnsiTheme="minorHAnsi" w:cstheme="minorHAnsi"/>
          <w:iCs/>
        </w:rPr>
        <w:t>Instrument</w:t>
      </w:r>
      <w:r w:rsidRPr="00D42297">
        <w:rPr>
          <w:rFonts w:asciiTheme="minorHAnsi" w:hAnsiTheme="minorHAnsi" w:cstheme="minorHAnsi"/>
        </w:rPr>
        <w:t>.</w:t>
      </w:r>
    </w:p>
    <w:p w14:paraId="0F80B201" w14:textId="7D8ECB25" w:rsidR="00F76743" w:rsidRDefault="00F76743" w:rsidP="00F76743">
      <w:pPr>
        <w:rPr>
          <w:rFonts w:asciiTheme="minorHAnsi" w:hAnsiTheme="minorHAnsi" w:cstheme="minorHAnsi"/>
        </w:rPr>
      </w:pPr>
      <w:r w:rsidRPr="00436A9A">
        <w:rPr>
          <w:rFonts w:asciiTheme="minorHAnsi" w:hAnsiTheme="minorHAnsi" w:cstheme="minorHAnsi"/>
        </w:rPr>
        <w:t xml:space="preserve">The purpose of </w:t>
      </w:r>
      <w:r>
        <w:rPr>
          <w:rFonts w:asciiTheme="minorHAnsi" w:hAnsiTheme="minorHAnsi" w:cstheme="minorHAnsi"/>
          <w:iCs/>
        </w:rPr>
        <w:t xml:space="preserve">the Instrument </w:t>
      </w:r>
      <w:r w:rsidRPr="00436A9A">
        <w:rPr>
          <w:rFonts w:asciiTheme="minorHAnsi" w:hAnsiTheme="minorHAnsi" w:cstheme="minorHAnsi"/>
        </w:rPr>
        <w:t xml:space="preserve">is to specify a method for working out the amount payable by all </w:t>
      </w:r>
      <w:r w:rsidRPr="00E04B1F">
        <w:rPr>
          <w:rFonts w:asciiTheme="minorHAnsi" w:hAnsiTheme="minorHAnsi" w:cstheme="minorHAnsi"/>
          <w:iCs/>
        </w:rPr>
        <w:t>non-exempt</w:t>
      </w:r>
      <w:r w:rsidRPr="00436A9A">
        <w:rPr>
          <w:rFonts w:asciiTheme="minorHAnsi" w:hAnsiTheme="minorHAnsi" w:cstheme="minorHAnsi"/>
        </w:rPr>
        <w:t xml:space="preserve"> CRICOS registered providers for the risk rated premium and special tuition protection components of the TPS </w:t>
      </w:r>
      <w:r w:rsidR="00E60D8E">
        <w:rPr>
          <w:rFonts w:asciiTheme="minorHAnsi" w:hAnsiTheme="minorHAnsi" w:cstheme="minorHAnsi"/>
        </w:rPr>
        <w:t>l</w:t>
      </w:r>
      <w:r w:rsidRPr="00436A9A">
        <w:rPr>
          <w:rFonts w:asciiTheme="minorHAnsi" w:hAnsiTheme="minorHAnsi" w:cstheme="minorHAnsi"/>
        </w:rPr>
        <w:t>evy</w:t>
      </w:r>
      <w:r>
        <w:rPr>
          <w:rFonts w:asciiTheme="minorHAnsi" w:hAnsiTheme="minorHAnsi" w:cstheme="minorHAnsi"/>
        </w:rPr>
        <w:t>. A</w:t>
      </w:r>
      <w:r w:rsidRPr="00310B9F">
        <w:rPr>
          <w:rFonts w:asciiTheme="minorHAnsi" w:hAnsiTheme="minorHAnsi" w:cstheme="minorHAnsi"/>
        </w:rPr>
        <w:t xml:space="preserve"> </w:t>
      </w:r>
      <w:r w:rsidRPr="00E04B1F">
        <w:rPr>
          <w:rFonts w:asciiTheme="minorHAnsi" w:hAnsiTheme="minorHAnsi" w:cstheme="minorHAnsi"/>
          <w:iCs/>
        </w:rPr>
        <w:t>non</w:t>
      </w:r>
      <w:r w:rsidRPr="00E04B1F">
        <w:rPr>
          <w:rFonts w:asciiTheme="minorHAnsi" w:hAnsiTheme="minorHAnsi" w:cstheme="minorHAnsi"/>
          <w:iCs/>
        </w:rPr>
        <w:noBreakHyphen/>
        <w:t>exempt</w:t>
      </w:r>
      <w:r w:rsidRPr="00310B9F">
        <w:rPr>
          <w:rFonts w:asciiTheme="minorHAnsi" w:hAnsiTheme="minorHAnsi" w:cstheme="minorHAnsi"/>
          <w:i/>
        </w:rPr>
        <w:t xml:space="preserve"> </w:t>
      </w:r>
      <w:r w:rsidRPr="00310B9F">
        <w:rPr>
          <w:rFonts w:asciiTheme="minorHAnsi" w:hAnsiTheme="minorHAnsi" w:cstheme="minorHAnsi"/>
          <w:iCs/>
        </w:rPr>
        <w:t>provider</w:t>
      </w:r>
      <w:r w:rsidRPr="00310B9F">
        <w:rPr>
          <w:rFonts w:asciiTheme="minorHAnsi" w:hAnsiTheme="minorHAnsi" w:cstheme="minorHAnsi"/>
        </w:rPr>
        <w:t xml:space="preserve"> is any CRICOS registered provider that is not exempt</w:t>
      </w:r>
      <w:r>
        <w:rPr>
          <w:rFonts w:asciiTheme="minorHAnsi" w:hAnsiTheme="minorHAnsi" w:cstheme="minorHAnsi"/>
        </w:rPr>
        <w:t>ed by the Minister under paragraph 12(b) of the Act from paying the risk rated premium component of the TPS </w:t>
      </w:r>
      <w:r w:rsidR="00E60D8E">
        <w:rPr>
          <w:rFonts w:asciiTheme="minorHAnsi" w:hAnsiTheme="minorHAnsi" w:cstheme="minorHAnsi"/>
        </w:rPr>
        <w:t>l</w:t>
      </w:r>
      <w:r>
        <w:rPr>
          <w:rFonts w:asciiTheme="minorHAnsi" w:hAnsiTheme="minorHAnsi" w:cstheme="minorHAnsi"/>
        </w:rPr>
        <w:t xml:space="preserve">evy. </w:t>
      </w:r>
    </w:p>
    <w:p w14:paraId="10DE3D6D" w14:textId="77777777" w:rsidR="00EF6FC8" w:rsidRDefault="00284AE6" w:rsidP="00F76743">
      <w:pPr>
        <w:rPr>
          <w:rFonts w:ascii="Calibri" w:hAnsi="Calibri" w:cs="Calibri"/>
        </w:rPr>
      </w:pPr>
      <w:r>
        <w:rPr>
          <w:rFonts w:ascii="Calibri" w:hAnsi="Calibri" w:cs="Calibri"/>
        </w:rPr>
        <w:t xml:space="preserve">The </w:t>
      </w:r>
      <w:r w:rsidR="0084512A">
        <w:rPr>
          <w:rFonts w:ascii="Calibri" w:hAnsi="Calibri" w:cs="Calibri"/>
        </w:rPr>
        <w:t xml:space="preserve">Instrument specifies that the provider </w:t>
      </w:r>
      <w:r>
        <w:rPr>
          <w:rFonts w:ascii="Calibri" w:hAnsi="Calibri" w:cs="Calibri"/>
        </w:rPr>
        <w:t xml:space="preserve">risk factors for the risk rated premium component include a base risk factor, length of operation, volatility in overseas student enrolments, maximum overseas source country concentration and non-compliance and registration renewal. </w:t>
      </w:r>
    </w:p>
    <w:p w14:paraId="76A1C83A" w14:textId="2C355C5E" w:rsidR="007C135B" w:rsidRDefault="00E662E0" w:rsidP="00F76743">
      <w:pPr>
        <w:rPr>
          <w:rFonts w:ascii="Calibri" w:hAnsi="Calibri" w:cs="Calibri"/>
        </w:rPr>
      </w:pPr>
      <w:r>
        <w:rPr>
          <w:rFonts w:ascii="Calibri" w:hAnsi="Calibri" w:cs="Calibri"/>
        </w:rPr>
        <w:t xml:space="preserve">The TPS Director </w:t>
      </w:r>
      <w:r w:rsidR="000036DF">
        <w:rPr>
          <w:rFonts w:ascii="Calibri" w:hAnsi="Calibri" w:cs="Calibri"/>
        </w:rPr>
        <w:t xml:space="preserve">has maintained the risk rated premium component in line with the settings </w:t>
      </w:r>
      <w:r w:rsidR="004E6FB1">
        <w:rPr>
          <w:rFonts w:ascii="Calibri" w:hAnsi="Calibri" w:cs="Calibri"/>
        </w:rPr>
        <w:t>of</w:t>
      </w:r>
      <w:r w:rsidR="000036DF">
        <w:rPr>
          <w:rFonts w:ascii="Calibri" w:hAnsi="Calibri" w:cs="Calibri"/>
        </w:rPr>
        <w:t xml:space="preserve"> the 2024 TPS </w:t>
      </w:r>
      <w:r w:rsidR="00F14909">
        <w:rPr>
          <w:rFonts w:ascii="Calibri" w:hAnsi="Calibri" w:cs="Calibri"/>
        </w:rPr>
        <w:t>l</w:t>
      </w:r>
      <w:r w:rsidR="000036DF">
        <w:rPr>
          <w:rFonts w:ascii="Calibri" w:hAnsi="Calibri" w:cs="Calibri"/>
        </w:rPr>
        <w:t xml:space="preserve">evy. </w:t>
      </w:r>
      <w:r w:rsidR="00002684">
        <w:rPr>
          <w:rFonts w:ascii="Calibri" w:hAnsi="Calibri" w:cs="Calibri"/>
        </w:rPr>
        <w:t>However, the TPS Director has</w:t>
      </w:r>
      <w:r w:rsidR="00897220">
        <w:rPr>
          <w:rFonts w:ascii="Calibri" w:hAnsi="Calibri" w:cs="Calibri"/>
        </w:rPr>
        <w:t xml:space="preserve"> ceased the temporary COVID-19 setting that waived </w:t>
      </w:r>
      <w:r w:rsidR="00A9230D">
        <w:rPr>
          <w:rFonts w:ascii="Calibri" w:hAnsi="Calibri" w:cs="Calibri"/>
        </w:rPr>
        <w:t>increase factors</w:t>
      </w:r>
      <w:r w:rsidR="00897220">
        <w:rPr>
          <w:rFonts w:ascii="Calibri" w:hAnsi="Calibri" w:cs="Calibri"/>
        </w:rPr>
        <w:t xml:space="preserve"> </w:t>
      </w:r>
      <w:r w:rsidR="004E6FB1">
        <w:rPr>
          <w:rFonts w:ascii="Calibri" w:hAnsi="Calibri" w:cs="Calibri"/>
        </w:rPr>
        <w:t>for</w:t>
      </w:r>
      <w:r w:rsidR="00897220">
        <w:rPr>
          <w:rFonts w:ascii="Calibri" w:hAnsi="Calibri" w:cs="Calibri"/>
        </w:rPr>
        <w:t xml:space="preserve"> positive volatility (growth) </w:t>
      </w:r>
      <w:r w:rsidR="004E6FB1">
        <w:rPr>
          <w:rFonts w:ascii="Calibri" w:hAnsi="Calibri" w:cs="Calibri"/>
        </w:rPr>
        <w:t>in overseas student enrolments</w:t>
      </w:r>
      <w:r w:rsidR="00D61210">
        <w:rPr>
          <w:rFonts w:ascii="Calibri" w:hAnsi="Calibri" w:cs="Calibri"/>
        </w:rPr>
        <w:t xml:space="preserve">. </w:t>
      </w:r>
      <w:r w:rsidR="0012349B">
        <w:rPr>
          <w:rFonts w:ascii="Calibri" w:hAnsi="Calibri" w:cs="Calibri"/>
        </w:rPr>
        <w:t>The</w:t>
      </w:r>
      <w:r w:rsidR="00AD7BFA">
        <w:rPr>
          <w:rFonts w:ascii="Calibri" w:hAnsi="Calibri" w:cs="Calibri"/>
        </w:rPr>
        <w:t xml:space="preserve"> </w:t>
      </w:r>
      <w:r w:rsidR="004757F1">
        <w:rPr>
          <w:rFonts w:ascii="Calibri" w:hAnsi="Calibri" w:cs="Calibri"/>
        </w:rPr>
        <w:t>volatility in overseas student enrolments</w:t>
      </w:r>
      <w:r w:rsidR="006561A5">
        <w:rPr>
          <w:rFonts w:ascii="Calibri" w:hAnsi="Calibri" w:cs="Calibri"/>
        </w:rPr>
        <w:t xml:space="preserve"> risk factor and the maximum overseas source country concentration risk factor</w:t>
      </w:r>
      <w:r w:rsidR="0012349B">
        <w:rPr>
          <w:rFonts w:ascii="Calibri" w:hAnsi="Calibri" w:cs="Calibri"/>
        </w:rPr>
        <w:t xml:space="preserve"> will continue to be waived</w:t>
      </w:r>
      <w:r w:rsidR="006561A5">
        <w:rPr>
          <w:rFonts w:ascii="Calibri" w:hAnsi="Calibri" w:cs="Calibri"/>
        </w:rPr>
        <w:t xml:space="preserve"> where overseas student enrolments are less than 20% of a provider’s total student enrolments. </w:t>
      </w:r>
      <w:r w:rsidR="00061A26">
        <w:rPr>
          <w:rFonts w:ascii="Calibri" w:hAnsi="Calibri" w:cs="Calibri"/>
        </w:rPr>
        <w:t>This will continue to benefit providers with a relatively small number of overseas students</w:t>
      </w:r>
      <w:r w:rsidR="004D38E8">
        <w:rPr>
          <w:rFonts w:ascii="Calibri" w:hAnsi="Calibri" w:cs="Calibri"/>
        </w:rPr>
        <w:t xml:space="preserve">, better reflecting the </w:t>
      </w:r>
      <w:r w:rsidR="005E3426">
        <w:rPr>
          <w:rFonts w:ascii="Calibri" w:hAnsi="Calibri" w:cs="Calibri"/>
        </w:rPr>
        <w:t xml:space="preserve">lower associated </w:t>
      </w:r>
      <w:r w:rsidR="004D38E8">
        <w:rPr>
          <w:rFonts w:ascii="Calibri" w:hAnsi="Calibri" w:cs="Calibri"/>
        </w:rPr>
        <w:t xml:space="preserve">risk profile. The TPS Director has kept the special tuition protection component at 0% as the </w:t>
      </w:r>
      <w:r w:rsidR="00D819CC">
        <w:rPr>
          <w:rFonts w:ascii="Calibri" w:hAnsi="Calibri" w:cs="Calibri"/>
        </w:rPr>
        <w:t xml:space="preserve">Overseas Students Tuition Fund (the Fund) </w:t>
      </w:r>
      <w:r w:rsidR="004D38E8">
        <w:rPr>
          <w:rFonts w:ascii="Calibri" w:hAnsi="Calibri" w:cs="Calibri"/>
        </w:rPr>
        <w:t>sits within the revised target range</w:t>
      </w:r>
      <w:r w:rsidR="00D819CC">
        <w:rPr>
          <w:rFonts w:ascii="Calibri" w:hAnsi="Calibri" w:cs="Calibri"/>
        </w:rPr>
        <w:t xml:space="preserve"> of $40 to $60 million</w:t>
      </w:r>
      <w:r w:rsidR="004D38E8">
        <w:rPr>
          <w:rFonts w:ascii="Calibri" w:hAnsi="Calibri" w:cs="Calibri"/>
        </w:rPr>
        <w:t xml:space="preserve">.  </w:t>
      </w:r>
    </w:p>
    <w:p w14:paraId="621C992E" w14:textId="1B7DD7DE" w:rsidR="0027712F" w:rsidRDefault="00DB565F" w:rsidP="00F76743">
      <w:pPr>
        <w:rPr>
          <w:rFonts w:ascii="Calibri" w:hAnsi="Calibri" w:cs="Calibri"/>
        </w:rPr>
      </w:pPr>
      <w:r w:rsidRPr="0057041B">
        <w:rPr>
          <w:rFonts w:ascii="Calibri" w:hAnsi="Calibri" w:cs="Calibri"/>
        </w:rPr>
        <w:t xml:space="preserve">With the </w:t>
      </w:r>
      <w:r w:rsidR="009F4641" w:rsidRPr="0057041B">
        <w:rPr>
          <w:rFonts w:ascii="Calibri" w:hAnsi="Calibri" w:cs="Calibri"/>
        </w:rPr>
        <w:t xml:space="preserve">international education sector </w:t>
      </w:r>
      <w:r w:rsidR="008D69AF" w:rsidRPr="0057041B">
        <w:rPr>
          <w:rFonts w:ascii="Calibri" w:hAnsi="Calibri" w:cs="Calibri"/>
        </w:rPr>
        <w:t>potentially</w:t>
      </w:r>
      <w:r w:rsidR="009F4641" w:rsidRPr="0057041B">
        <w:rPr>
          <w:rFonts w:ascii="Calibri" w:hAnsi="Calibri" w:cs="Calibri"/>
        </w:rPr>
        <w:t xml:space="preserve"> fac</w:t>
      </w:r>
      <w:r w:rsidR="008D69AF" w:rsidRPr="0057041B">
        <w:rPr>
          <w:rFonts w:ascii="Calibri" w:hAnsi="Calibri" w:cs="Calibri"/>
        </w:rPr>
        <w:t>ing</w:t>
      </w:r>
      <w:r w:rsidR="009F4641" w:rsidRPr="0057041B">
        <w:rPr>
          <w:rFonts w:ascii="Calibri" w:hAnsi="Calibri" w:cs="Calibri"/>
        </w:rPr>
        <w:t xml:space="preserve"> </w:t>
      </w:r>
      <w:r w:rsidR="008D69AF" w:rsidRPr="0057041B">
        <w:rPr>
          <w:rFonts w:ascii="Calibri" w:hAnsi="Calibri" w:cs="Calibri"/>
        </w:rPr>
        <w:t xml:space="preserve">changes </w:t>
      </w:r>
      <w:r w:rsidR="009F4641" w:rsidRPr="0057041B">
        <w:rPr>
          <w:rFonts w:ascii="Calibri" w:hAnsi="Calibri" w:cs="Calibri"/>
        </w:rPr>
        <w:t>in 2025</w:t>
      </w:r>
      <w:r w:rsidR="00A04B60" w:rsidRPr="0057041B">
        <w:rPr>
          <w:rFonts w:ascii="Calibri" w:hAnsi="Calibri" w:cs="Calibri"/>
        </w:rPr>
        <w:t xml:space="preserve"> due to the </w:t>
      </w:r>
      <w:r w:rsidR="00D42256" w:rsidRPr="0057041B">
        <w:rPr>
          <w:rFonts w:ascii="Calibri" w:hAnsi="Calibri" w:cs="Calibri"/>
        </w:rPr>
        <w:t>proposed National Planning Level (NPL) for new overseas student commencements (NOSC)</w:t>
      </w:r>
      <w:r w:rsidR="009F4641" w:rsidRPr="0057041B">
        <w:rPr>
          <w:rFonts w:ascii="Calibri" w:hAnsi="Calibri" w:cs="Calibri"/>
        </w:rPr>
        <w:t xml:space="preserve">, </w:t>
      </w:r>
      <w:r w:rsidR="004C5AC1" w:rsidRPr="0057041B">
        <w:rPr>
          <w:rFonts w:ascii="Calibri" w:hAnsi="Calibri" w:cs="Calibri"/>
        </w:rPr>
        <w:t xml:space="preserve">along with </w:t>
      </w:r>
      <w:r w:rsidR="00E41A17" w:rsidRPr="0057041B">
        <w:rPr>
          <w:rFonts w:ascii="Calibri" w:hAnsi="Calibri" w:cs="Calibri"/>
        </w:rPr>
        <w:t>recent identification of integrity issues in the sector</w:t>
      </w:r>
      <w:r w:rsidR="00D42256" w:rsidRPr="0057041B">
        <w:rPr>
          <w:rFonts w:ascii="Calibri" w:hAnsi="Calibri" w:cs="Calibri"/>
        </w:rPr>
        <w:t xml:space="preserve">, calls on the Fund may revert </w:t>
      </w:r>
      <w:r w:rsidR="00253EDF" w:rsidRPr="0057041B">
        <w:rPr>
          <w:rFonts w:ascii="Calibri" w:hAnsi="Calibri" w:cs="Calibri"/>
        </w:rPr>
        <w:t>to medium-term levels. Acknowledging the risk and following advice from the A</w:t>
      </w:r>
      <w:r w:rsidR="00C606AB" w:rsidRPr="0057041B">
        <w:rPr>
          <w:rFonts w:ascii="Calibri" w:hAnsi="Calibri" w:cs="Calibri"/>
        </w:rPr>
        <w:t>ustralian Government Actuary (AGA)</w:t>
      </w:r>
      <w:r w:rsidR="00253EDF" w:rsidRPr="0057041B">
        <w:rPr>
          <w:rFonts w:ascii="Calibri" w:hAnsi="Calibri" w:cs="Calibri"/>
        </w:rPr>
        <w:t xml:space="preserve"> and the TPS Advisory Board (the Board), the TPS Director has maintained the specified percentage for the risk rated premium component of 0.05%.</w:t>
      </w:r>
      <w:r w:rsidR="00253EDF">
        <w:rPr>
          <w:rFonts w:ascii="Calibri" w:hAnsi="Calibri" w:cs="Calibri"/>
        </w:rPr>
        <w:t xml:space="preserve"> </w:t>
      </w:r>
    </w:p>
    <w:p w14:paraId="3DCEE89C" w14:textId="77777777" w:rsidR="00B10C2F" w:rsidRDefault="00B10C2F" w:rsidP="00F76743">
      <w:pPr>
        <w:rPr>
          <w:rFonts w:ascii="Calibri" w:hAnsi="Calibri" w:cs="Calibri"/>
        </w:rPr>
      </w:pPr>
    </w:p>
    <w:p w14:paraId="196A9EDF" w14:textId="369643B2" w:rsidR="00956028" w:rsidRPr="000E4EC3" w:rsidRDefault="00956028" w:rsidP="00956028">
      <w:pPr>
        <w:rPr>
          <w:rFonts w:ascii="Calibri" w:hAnsi="Calibri" w:cs="Calibri"/>
        </w:rPr>
      </w:pPr>
      <w:r w:rsidRPr="004C5A48">
        <w:rPr>
          <w:rFonts w:ascii="Calibri" w:hAnsi="Calibri" w:cs="Calibri"/>
        </w:rPr>
        <w:lastRenderedPageBreak/>
        <w:t>The Explanatory Memorandum</w:t>
      </w:r>
      <w:r w:rsidRPr="004C5A48">
        <w:rPr>
          <w:rFonts w:ascii="Calibri" w:hAnsi="Calibri" w:cs="Calibri"/>
          <w:i/>
        </w:rPr>
        <w:t xml:space="preserve"> </w:t>
      </w:r>
      <w:r w:rsidRPr="004C5A48">
        <w:rPr>
          <w:rFonts w:ascii="Calibri" w:hAnsi="Calibri" w:cs="Calibri"/>
        </w:rPr>
        <w:t>to the</w:t>
      </w:r>
      <w:r w:rsidR="00217E53" w:rsidRPr="004C5A48">
        <w:rPr>
          <w:rFonts w:ascii="Calibri" w:hAnsi="Calibri" w:cs="Calibri"/>
        </w:rPr>
        <w:t xml:space="preserve"> Act</w:t>
      </w:r>
      <w:r w:rsidRPr="004C5A48">
        <w:rPr>
          <w:rFonts w:ascii="Calibri" w:hAnsi="Calibri" w:cs="Calibri"/>
        </w:rPr>
        <w:t xml:space="preserve"> explains that the purpose of the special tuition protection component is to build additional insurance in the Fund. </w:t>
      </w:r>
      <w:r w:rsidR="00EC04FD" w:rsidRPr="004C5A48">
        <w:rPr>
          <w:rFonts w:ascii="Calibri" w:hAnsi="Calibri" w:cs="Calibri"/>
        </w:rPr>
        <w:t xml:space="preserve">The Fund is currently within its </w:t>
      </w:r>
      <w:r w:rsidR="00A01D53" w:rsidRPr="00E95965">
        <w:rPr>
          <w:rFonts w:ascii="Calibri" w:hAnsi="Calibri" w:cs="Calibri"/>
        </w:rPr>
        <w:t xml:space="preserve">revised </w:t>
      </w:r>
      <w:r w:rsidR="00EC04FD" w:rsidRPr="004C5A48">
        <w:rPr>
          <w:rFonts w:ascii="Calibri" w:hAnsi="Calibri" w:cs="Calibri"/>
        </w:rPr>
        <w:t>target range and therefore</w:t>
      </w:r>
      <w:r w:rsidR="00C07E0F" w:rsidRPr="004C5A48">
        <w:rPr>
          <w:rFonts w:ascii="Calibri" w:hAnsi="Calibri" w:cs="Calibri"/>
        </w:rPr>
        <w:t xml:space="preserve"> </w:t>
      </w:r>
      <w:r w:rsidR="00281C1B" w:rsidRPr="004C5A48">
        <w:rPr>
          <w:rFonts w:ascii="Calibri" w:hAnsi="Calibri" w:cs="Calibri"/>
        </w:rPr>
        <w:t>the TPS Director considers it is not necessary</w:t>
      </w:r>
      <w:r w:rsidR="00EC04FD" w:rsidRPr="004C5A48">
        <w:rPr>
          <w:rFonts w:ascii="Calibri" w:hAnsi="Calibri" w:cs="Calibri"/>
        </w:rPr>
        <w:t xml:space="preserve"> to impose a value for the special tuition protection component.</w:t>
      </w:r>
    </w:p>
    <w:p w14:paraId="19507733" w14:textId="088D122E" w:rsidR="00F862F4" w:rsidRDefault="00F862F4" w:rsidP="00F76743">
      <w:pPr>
        <w:rPr>
          <w:rFonts w:ascii="Calibri" w:hAnsi="Calibri" w:cs="Calibri"/>
        </w:rPr>
      </w:pPr>
      <w:r>
        <w:rPr>
          <w:rFonts w:ascii="Calibri" w:hAnsi="Calibri" w:cs="Calibri"/>
        </w:rPr>
        <w:t>Subsection 11(4) of the Act provides that</w:t>
      </w:r>
      <w:r w:rsidR="00C2590D">
        <w:rPr>
          <w:rFonts w:ascii="Calibri" w:hAnsi="Calibri" w:cs="Calibri"/>
        </w:rPr>
        <w:t>,</w:t>
      </w:r>
      <w:r>
        <w:rPr>
          <w:rFonts w:ascii="Calibri" w:hAnsi="Calibri" w:cs="Calibri"/>
        </w:rPr>
        <w:t xml:space="preserve"> before the TPS Director makes a legislative instrument setting the risk rated premium and special tuition protection components for the TPS </w:t>
      </w:r>
      <w:r w:rsidR="00502DBC">
        <w:rPr>
          <w:rFonts w:ascii="Calibri" w:hAnsi="Calibri" w:cs="Calibri"/>
        </w:rPr>
        <w:t>l</w:t>
      </w:r>
      <w:r>
        <w:rPr>
          <w:rFonts w:ascii="Calibri" w:hAnsi="Calibri" w:cs="Calibri"/>
        </w:rPr>
        <w:t>evy, the Treasurer must approve the legislative instrument in writing. The Treasurer approved the Instrument on</w:t>
      </w:r>
      <w:r w:rsidR="0039572A">
        <w:rPr>
          <w:rFonts w:ascii="Calibri" w:hAnsi="Calibri" w:cs="Calibri"/>
        </w:rPr>
        <w:t xml:space="preserve"> 16 December</w:t>
      </w:r>
      <w:r w:rsidR="000927F5">
        <w:rPr>
          <w:rFonts w:ascii="Calibri" w:hAnsi="Calibri" w:cs="Calibri"/>
        </w:rPr>
        <w:t>.</w:t>
      </w:r>
    </w:p>
    <w:p w14:paraId="68A99F1F" w14:textId="1ADFD191" w:rsidR="00F76743" w:rsidRDefault="00F76743" w:rsidP="00F76743">
      <w:pPr>
        <w:pStyle w:val="Heading2"/>
        <w:rPr>
          <w:rFonts w:asciiTheme="minorHAnsi" w:hAnsiTheme="minorHAnsi" w:cstheme="minorHAnsi"/>
          <w:color w:val="auto"/>
        </w:rPr>
      </w:pPr>
      <w:r>
        <w:rPr>
          <w:rFonts w:asciiTheme="minorHAnsi" w:hAnsiTheme="minorHAnsi" w:cstheme="minorHAnsi"/>
          <w:color w:val="auto"/>
        </w:rPr>
        <w:t>IMPACT</w:t>
      </w:r>
      <w:r w:rsidR="00593724">
        <w:rPr>
          <w:rFonts w:asciiTheme="minorHAnsi" w:hAnsiTheme="minorHAnsi" w:cstheme="minorHAnsi"/>
          <w:color w:val="auto"/>
        </w:rPr>
        <w:t xml:space="preserve"> ANALYSIS</w:t>
      </w:r>
    </w:p>
    <w:p w14:paraId="10AB5BAA" w14:textId="0AECA904" w:rsidR="00662D4E" w:rsidRPr="00E95965" w:rsidRDefault="00662D4E" w:rsidP="00662D4E">
      <w:pPr>
        <w:rPr>
          <w:rFonts w:asciiTheme="minorHAnsi" w:hAnsiTheme="minorHAnsi" w:cstheme="minorHAnsi"/>
        </w:rPr>
      </w:pPr>
      <w:r w:rsidRPr="00E95965">
        <w:rPr>
          <w:rFonts w:asciiTheme="minorHAnsi" w:hAnsiTheme="minorHAnsi" w:cstheme="minorHAnsi"/>
        </w:rPr>
        <w:t xml:space="preserve">The Office of Impact Analysis (OIA) provided a carve-out in relation to the “Annual legislative instrument to specify the risk rated premium and special tuition protection components of the Tuition Protection Service (TPS) </w:t>
      </w:r>
      <w:r w:rsidR="00F14909">
        <w:rPr>
          <w:rFonts w:asciiTheme="minorHAnsi" w:hAnsiTheme="minorHAnsi" w:cstheme="minorHAnsi"/>
        </w:rPr>
        <w:t>l</w:t>
      </w:r>
      <w:r w:rsidRPr="00E95965">
        <w:rPr>
          <w:rFonts w:asciiTheme="minorHAnsi" w:hAnsiTheme="minorHAnsi" w:cstheme="minorHAnsi"/>
        </w:rPr>
        <w:t xml:space="preserve">evy - </w:t>
      </w:r>
      <w:r w:rsidRPr="00E95965">
        <w:rPr>
          <w:rFonts w:asciiTheme="minorHAnsi" w:hAnsiTheme="minorHAnsi" w:cstheme="minorHAnsi"/>
          <w:i/>
          <w:iCs/>
        </w:rPr>
        <w:t xml:space="preserve">Education Services for Overseas Students (TPS Levies – Risk Rated Premium and Special Tuition Protection Components) Instrument” </w:t>
      </w:r>
      <w:r w:rsidRPr="00E95965">
        <w:rPr>
          <w:rFonts w:asciiTheme="minorHAnsi" w:hAnsiTheme="minorHAnsi" w:cstheme="minorHAnsi"/>
        </w:rPr>
        <w:t xml:space="preserve">in 2019 (OIA23- 06231). The reason listed for this carve out is “minor or machinery: this is an annual </w:t>
      </w:r>
      <w:proofErr w:type="gramStart"/>
      <w:r w:rsidRPr="00E95965">
        <w:rPr>
          <w:rFonts w:asciiTheme="minorHAnsi" w:hAnsiTheme="minorHAnsi" w:cstheme="minorHAnsi"/>
        </w:rPr>
        <w:t>process</w:t>
      </w:r>
      <w:proofErr w:type="gramEnd"/>
      <w:r w:rsidRPr="00E95965">
        <w:rPr>
          <w:rFonts w:asciiTheme="minorHAnsi" w:hAnsiTheme="minorHAnsi" w:cstheme="minorHAnsi"/>
        </w:rPr>
        <w:t xml:space="preserve"> and the changes are administrative in nature.” This carve-out is listed in the current Guidance Note, issued in March 2024.</w:t>
      </w:r>
    </w:p>
    <w:p w14:paraId="679149FE" w14:textId="03DC78F4" w:rsidR="00662D4E" w:rsidRDefault="00662D4E" w:rsidP="00B77A69">
      <w:pPr>
        <w:spacing w:before="120" w:after="120"/>
        <w:rPr>
          <w:rFonts w:asciiTheme="minorHAnsi" w:hAnsiTheme="minorHAnsi" w:cstheme="minorHAnsi"/>
          <w:iCs/>
          <w:szCs w:val="24"/>
        </w:rPr>
      </w:pPr>
    </w:p>
    <w:p w14:paraId="3000F750" w14:textId="77777777" w:rsidR="00DA3719" w:rsidRPr="004F11BD" w:rsidRDefault="00DA3719" w:rsidP="00DA3719">
      <w:pPr>
        <w:pStyle w:val="Heading2"/>
        <w:rPr>
          <w:rFonts w:ascii="Calibri" w:hAnsi="Calibri" w:cs="Calibri"/>
          <w:i/>
          <w:iCs/>
        </w:rPr>
      </w:pPr>
      <w:r w:rsidRPr="004F11BD">
        <w:rPr>
          <w:rFonts w:asciiTheme="minorHAnsi" w:hAnsiTheme="minorHAnsi" w:cstheme="minorHAnsi"/>
          <w:color w:val="auto"/>
        </w:rPr>
        <w:t>FINANCIAL IMPACT</w:t>
      </w:r>
    </w:p>
    <w:p w14:paraId="33955EDB" w14:textId="72517DAE" w:rsidR="001E4E03" w:rsidRDefault="001E4E03" w:rsidP="00E95965">
      <w:pPr>
        <w:shd w:val="clear" w:color="auto" w:fill="FFFFFF"/>
        <w:rPr>
          <w:rFonts w:ascii="Calibri" w:hAnsi="Calibri" w:cs="Calibri"/>
          <w:color w:val="000000"/>
          <w:szCs w:val="24"/>
          <w:lang w:eastAsia="en-AU"/>
        </w:rPr>
      </w:pPr>
      <w:r>
        <w:rPr>
          <w:rFonts w:ascii="Calibri" w:hAnsi="Calibri" w:cs="Calibri"/>
          <w:color w:val="000000"/>
          <w:szCs w:val="24"/>
          <w:lang w:eastAsia="en-AU"/>
        </w:rPr>
        <w:t xml:space="preserve">The </w:t>
      </w:r>
      <w:r w:rsidR="00737482">
        <w:rPr>
          <w:rFonts w:ascii="Calibri" w:hAnsi="Calibri" w:cs="Calibri"/>
          <w:color w:val="000000"/>
          <w:szCs w:val="24"/>
          <w:lang w:eastAsia="en-AU"/>
        </w:rPr>
        <w:t>Instrument will result in a projected revenue of approximately $</w:t>
      </w:r>
      <w:r w:rsidR="003602CB">
        <w:rPr>
          <w:rFonts w:ascii="Calibri" w:hAnsi="Calibri" w:cs="Calibri"/>
          <w:color w:val="000000"/>
          <w:szCs w:val="24"/>
          <w:lang w:eastAsia="en-AU"/>
        </w:rPr>
        <w:t>2.7</w:t>
      </w:r>
      <w:r w:rsidR="00737482">
        <w:rPr>
          <w:rFonts w:ascii="Calibri" w:hAnsi="Calibri" w:cs="Calibri"/>
          <w:color w:val="000000"/>
          <w:szCs w:val="24"/>
          <w:lang w:eastAsia="en-AU"/>
        </w:rPr>
        <w:t xml:space="preserve"> million from the risk rated </w:t>
      </w:r>
      <w:r w:rsidR="00673902">
        <w:rPr>
          <w:rFonts w:ascii="Calibri" w:hAnsi="Calibri" w:cs="Calibri"/>
          <w:color w:val="000000"/>
          <w:szCs w:val="24"/>
          <w:lang w:eastAsia="en-AU"/>
        </w:rPr>
        <w:t xml:space="preserve">premium component of the TPS </w:t>
      </w:r>
      <w:r w:rsidR="00E95965">
        <w:rPr>
          <w:rFonts w:ascii="Calibri" w:hAnsi="Calibri" w:cs="Calibri"/>
          <w:color w:val="000000"/>
          <w:szCs w:val="24"/>
          <w:lang w:eastAsia="en-AU"/>
        </w:rPr>
        <w:t>l</w:t>
      </w:r>
      <w:r w:rsidR="00673902">
        <w:rPr>
          <w:rFonts w:ascii="Calibri" w:hAnsi="Calibri" w:cs="Calibri"/>
          <w:color w:val="000000"/>
          <w:szCs w:val="24"/>
          <w:lang w:eastAsia="en-AU"/>
        </w:rPr>
        <w:t>evy.</w:t>
      </w:r>
    </w:p>
    <w:p w14:paraId="725F5144" w14:textId="3B4F79A4" w:rsidR="00B73ABB" w:rsidRDefault="00B73ABB" w:rsidP="00E95965">
      <w:pPr>
        <w:shd w:val="clear" w:color="auto" w:fill="FFFFFF"/>
        <w:rPr>
          <w:rFonts w:ascii="Calibri" w:hAnsi="Calibri" w:cs="Calibri"/>
          <w:color w:val="000000"/>
          <w:szCs w:val="24"/>
          <w:lang w:eastAsia="en-AU"/>
        </w:rPr>
      </w:pPr>
      <w:r>
        <w:rPr>
          <w:rFonts w:ascii="Calibri" w:hAnsi="Calibri" w:cs="Calibri"/>
          <w:color w:val="000000"/>
          <w:szCs w:val="24"/>
          <w:lang w:eastAsia="en-AU"/>
        </w:rPr>
        <w:t>Given the funds are credited to a special account, and are derived from industry contribution, the funds cannot be directed toward any other program or portfolio as the funds can only be appropriated for the purpose of the special account.</w:t>
      </w:r>
    </w:p>
    <w:p w14:paraId="04529B18" w14:textId="72FA651D" w:rsidR="00B73ABB" w:rsidRDefault="00B73ABB" w:rsidP="00E95965">
      <w:pPr>
        <w:shd w:val="clear" w:color="auto" w:fill="FFFFFF"/>
        <w:rPr>
          <w:rFonts w:ascii="Calibri" w:hAnsi="Calibri" w:cs="Calibri"/>
          <w:color w:val="000000"/>
          <w:szCs w:val="24"/>
          <w:lang w:eastAsia="en-AU"/>
        </w:rPr>
      </w:pPr>
      <w:r>
        <w:rPr>
          <w:rFonts w:ascii="Calibri" w:hAnsi="Calibri" w:cs="Calibri"/>
          <w:color w:val="000000"/>
          <w:szCs w:val="24"/>
          <w:lang w:eastAsia="en-AU"/>
        </w:rPr>
        <w:t xml:space="preserve">In determining the matters relevant to the calculation of the risk rated premium component and special tuition protection component of the TPS </w:t>
      </w:r>
      <w:r w:rsidR="00E95965">
        <w:rPr>
          <w:rFonts w:ascii="Calibri" w:hAnsi="Calibri" w:cs="Calibri"/>
          <w:color w:val="000000"/>
          <w:szCs w:val="24"/>
          <w:lang w:eastAsia="en-AU"/>
        </w:rPr>
        <w:t>l</w:t>
      </w:r>
      <w:r>
        <w:rPr>
          <w:rFonts w:ascii="Calibri" w:hAnsi="Calibri" w:cs="Calibri"/>
          <w:color w:val="000000"/>
          <w:szCs w:val="24"/>
          <w:lang w:eastAsia="en-AU"/>
        </w:rPr>
        <w:t xml:space="preserve">evy, the TPS Director considered </w:t>
      </w:r>
      <w:r w:rsidR="002E3920">
        <w:rPr>
          <w:rFonts w:ascii="Calibri" w:hAnsi="Calibri" w:cs="Calibri"/>
          <w:color w:val="000000"/>
          <w:szCs w:val="24"/>
          <w:lang w:eastAsia="en-AU"/>
        </w:rPr>
        <w:t>not only the sustainability of the Fund, but also the impact o</w:t>
      </w:r>
      <w:r w:rsidR="00316424">
        <w:rPr>
          <w:rFonts w:ascii="Calibri" w:hAnsi="Calibri" w:cs="Calibri"/>
          <w:color w:val="000000"/>
          <w:szCs w:val="24"/>
          <w:lang w:eastAsia="en-AU"/>
        </w:rPr>
        <w:t>f</w:t>
      </w:r>
      <w:r w:rsidR="002E3920">
        <w:rPr>
          <w:rFonts w:ascii="Calibri" w:hAnsi="Calibri" w:cs="Calibri"/>
          <w:color w:val="000000"/>
          <w:szCs w:val="24"/>
          <w:lang w:eastAsia="en-AU"/>
        </w:rPr>
        <w:t xml:space="preserve"> current economic conditions and policies on businesses and education in Australia. </w:t>
      </w:r>
    </w:p>
    <w:p w14:paraId="65C4D114" w14:textId="77777777" w:rsidR="00DA3719" w:rsidRPr="0088497A" w:rsidRDefault="00DA3719" w:rsidP="00DA3719">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4A95D89D" w14:textId="55B30C95" w:rsidR="00DA3719" w:rsidRPr="00330430" w:rsidRDefault="000E1539" w:rsidP="00DA3719">
      <w:pPr>
        <w:spacing w:before="120" w:after="120"/>
        <w:rPr>
          <w:rFonts w:asciiTheme="minorHAnsi" w:hAnsiTheme="minorHAnsi" w:cstheme="minorHAnsi"/>
          <w:iCs/>
          <w:szCs w:val="24"/>
        </w:rPr>
      </w:pPr>
      <w:r w:rsidRPr="00BF7821">
        <w:rPr>
          <w:rFonts w:asciiTheme="minorHAnsi" w:hAnsiTheme="minorHAnsi" w:cstheme="minorHAnsi"/>
          <w:iCs/>
          <w:szCs w:val="24"/>
        </w:rPr>
        <w:t xml:space="preserve">The </w:t>
      </w:r>
      <w:r w:rsidR="00DA3719" w:rsidRPr="00BF7821">
        <w:rPr>
          <w:rFonts w:asciiTheme="minorHAnsi" w:hAnsiTheme="minorHAnsi" w:cstheme="minorHAnsi"/>
          <w:iCs/>
          <w:szCs w:val="24"/>
        </w:rPr>
        <w:t xml:space="preserve">Instrument commences on 31 December </w:t>
      </w:r>
      <w:r w:rsidR="00C1644D" w:rsidRPr="00BF7821">
        <w:rPr>
          <w:rFonts w:asciiTheme="minorHAnsi" w:hAnsiTheme="minorHAnsi" w:cstheme="minorHAnsi"/>
          <w:iCs/>
          <w:szCs w:val="24"/>
        </w:rPr>
        <w:t>202</w:t>
      </w:r>
      <w:r w:rsidR="006D0DA0">
        <w:rPr>
          <w:rFonts w:asciiTheme="minorHAnsi" w:hAnsiTheme="minorHAnsi" w:cstheme="minorHAnsi"/>
          <w:iCs/>
          <w:szCs w:val="24"/>
        </w:rPr>
        <w:t>4</w:t>
      </w:r>
      <w:r w:rsidR="00DA3719" w:rsidRPr="00BF7821">
        <w:rPr>
          <w:rFonts w:asciiTheme="minorHAnsi" w:hAnsiTheme="minorHAnsi" w:cstheme="minorHAnsi"/>
          <w:iCs/>
          <w:szCs w:val="24"/>
        </w:rPr>
        <w:t xml:space="preserve"> and repeals the Former Instrument on 1</w:t>
      </w:r>
      <w:r w:rsidR="00454BE8">
        <w:rPr>
          <w:rFonts w:asciiTheme="minorHAnsi" w:hAnsiTheme="minorHAnsi" w:cstheme="minorHAnsi"/>
          <w:iCs/>
          <w:szCs w:val="24"/>
        </w:rPr>
        <w:t> </w:t>
      </w:r>
      <w:r w:rsidR="00DA3719" w:rsidRPr="00BF7821">
        <w:rPr>
          <w:rFonts w:asciiTheme="minorHAnsi" w:hAnsiTheme="minorHAnsi" w:cstheme="minorHAnsi"/>
          <w:iCs/>
          <w:szCs w:val="24"/>
        </w:rPr>
        <w:t xml:space="preserve">January </w:t>
      </w:r>
      <w:r w:rsidR="00C1644D" w:rsidRPr="00BF7821">
        <w:rPr>
          <w:rFonts w:asciiTheme="minorHAnsi" w:hAnsiTheme="minorHAnsi" w:cstheme="minorHAnsi"/>
          <w:iCs/>
          <w:szCs w:val="24"/>
        </w:rPr>
        <w:t>202</w:t>
      </w:r>
      <w:r w:rsidR="006D0DA0">
        <w:rPr>
          <w:rFonts w:asciiTheme="minorHAnsi" w:hAnsiTheme="minorHAnsi" w:cstheme="minorHAnsi"/>
          <w:iCs/>
          <w:szCs w:val="24"/>
        </w:rPr>
        <w:t>5</w:t>
      </w:r>
      <w:r w:rsidR="00DA3719" w:rsidRPr="00BF7821">
        <w:rPr>
          <w:rFonts w:asciiTheme="minorHAnsi" w:hAnsiTheme="minorHAnsi" w:cstheme="minorHAnsi"/>
          <w:iCs/>
          <w:szCs w:val="24"/>
        </w:rPr>
        <w:t>.</w:t>
      </w:r>
    </w:p>
    <w:p w14:paraId="286DB264" w14:textId="77777777" w:rsidR="00DA3719" w:rsidRDefault="00DA3719" w:rsidP="00DA3719">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57C9357C" w14:textId="500826BA" w:rsidR="00DF6AAD" w:rsidRDefault="00614448">
      <w:pPr>
        <w:rPr>
          <w:rFonts w:asciiTheme="minorHAnsi" w:hAnsiTheme="minorHAnsi" w:cstheme="minorHAnsi"/>
          <w:i/>
          <w:iCs/>
        </w:rPr>
      </w:pPr>
      <w:r w:rsidRPr="008D5531">
        <w:rPr>
          <w:rFonts w:asciiTheme="minorHAnsi" w:hAnsiTheme="minorHAnsi" w:cstheme="minorHAnsi"/>
          <w:i/>
          <w:iCs/>
        </w:rPr>
        <w:t xml:space="preserve">Consultation </w:t>
      </w:r>
      <w:r w:rsidRPr="005D7073">
        <w:rPr>
          <w:rFonts w:asciiTheme="minorHAnsi" w:hAnsiTheme="minorHAnsi" w:cstheme="minorHAnsi"/>
          <w:i/>
          <w:iCs/>
        </w:rPr>
        <w:t xml:space="preserve">with the </w:t>
      </w:r>
      <w:r w:rsidR="00105BCD">
        <w:rPr>
          <w:rFonts w:asciiTheme="minorHAnsi" w:hAnsiTheme="minorHAnsi" w:cstheme="minorHAnsi"/>
          <w:i/>
          <w:iCs/>
        </w:rPr>
        <w:t>TPS Advisory Board</w:t>
      </w:r>
    </w:p>
    <w:p w14:paraId="08204BBE" w14:textId="5FD77E3B" w:rsidR="00105BCD" w:rsidRDefault="00105BCD">
      <w:pPr>
        <w:rPr>
          <w:rFonts w:asciiTheme="minorHAnsi" w:hAnsiTheme="minorHAnsi" w:cstheme="minorHAnsi"/>
        </w:rPr>
      </w:pPr>
      <w:r>
        <w:rPr>
          <w:rFonts w:asciiTheme="minorHAnsi" w:hAnsiTheme="minorHAnsi" w:cstheme="minorHAnsi"/>
        </w:rPr>
        <w:t>Under subsection 11(2) of the Act, in making an instrument, the TPS Director must have regard to any advice of the Board in relation to the Instrument, and the sustainability of the Fund.</w:t>
      </w:r>
    </w:p>
    <w:p w14:paraId="733BA4FF" w14:textId="4BEAFCB8" w:rsidR="00105BCD" w:rsidRDefault="00105BCD">
      <w:pPr>
        <w:rPr>
          <w:rFonts w:asciiTheme="minorHAnsi" w:hAnsiTheme="minorHAnsi" w:cstheme="minorHAnsi"/>
        </w:rPr>
      </w:pPr>
      <w:r>
        <w:rPr>
          <w:rFonts w:asciiTheme="minorHAnsi" w:hAnsiTheme="minorHAnsi" w:cstheme="minorHAnsi"/>
        </w:rPr>
        <w:lastRenderedPageBreak/>
        <w:t>The Board is appointed by the Minister under section 55D of the ESOS Act (in line with the membership requirements set out in section 55C of that Act). The Board currently comprise three non-governme</w:t>
      </w:r>
      <w:r w:rsidR="004A4BBE">
        <w:rPr>
          <w:rFonts w:asciiTheme="minorHAnsi" w:hAnsiTheme="minorHAnsi" w:cstheme="minorHAnsi"/>
        </w:rPr>
        <w:t>n</w:t>
      </w:r>
      <w:r>
        <w:rPr>
          <w:rFonts w:asciiTheme="minorHAnsi" w:hAnsiTheme="minorHAnsi" w:cstheme="minorHAnsi"/>
        </w:rPr>
        <w:t xml:space="preserve">t sector representatives, selected </w:t>
      </w:r>
      <w:r w:rsidR="004A4BBE">
        <w:rPr>
          <w:rFonts w:asciiTheme="minorHAnsi" w:hAnsiTheme="minorHAnsi" w:cstheme="minorHAnsi"/>
        </w:rPr>
        <w:t>based on their qualifications and experience in the sector, and six government representatives.</w:t>
      </w:r>
    </w:p>
    <w:p w14:paraId="663F8079" w14:textId="3365FD08" w:rsidR="004A4BBE" w:rsidRDefault="004A4BBE">
      <w:pPr>
        <w:rPr>
          <w:rFonts w:asciiTheme="minorHAnsi" w:hAnsiTheme="minorHAnsi" w:cstheme="minorHAnsi"/>
        </w:rPr>
      </w:pPr>
      <w:r>
        <w:rPr>
          <w:rFonts w:asciiTheme="minorHAnsi" w:hAnsiTheme="minorHAnsi" w:cstheme="minorHAnsi"/>
        </w:rPr>
        <w:t xml:space="preserve">The Board has a role in providing advice to the TPS Director on the setting of the risk rated premium and special tuition protection components of the TPS </w:t>
      </w:r>
      <w:r w:rsidR="005D7073">
        <w:rPr>
          <w:rFonts w:asciiTheme="minorHAnsi" w:hAnsiTheme="minorHAnsi" w:cstheme="minorHAnsi"/>
        </w:rPr>
        <w:t>l</w:t>
      </w:r>
      <w:r>
        <w:rPr>
          <w:rFonts w:asciiTheme="minorHAnsi" w:hAnsiTheme="minorHAnsi" w:cstheme="minorHAnsi"/>
        </w:rPr>
        <w:t xml:space="preserve">evy. </w:t>
      </w:r>
      <w:r w:rsidR="001305EB">
        <w:rPr>
          <w:rFonts w:asciiTheme="minorHAnsi" w:hAnsiTheme="minorHAnsi" w:cstheme="minorHAnsi"/>
        </w:rPr>
        <w:t>The AG</w:t>
      </w:r>
      <w:r w:rsidR="00454BE8">
        <w:rPr>
          <w:rFonts w:asciiTheme="minorHAnsi" w:hAnsiTheme="minorHAnsi" w:cstheme="minorHAnsi"/>
        </w:rPr>
        <w:t xml:space="preserve">A </w:t>
      </w:r>
      <w:r w:rsidR="007126CE">
        <w:rPr>
          <w:rFonts w:asciiTheme="minorHAnsi" w:hAnsiTheme="minorHAnsi" w:cstheme="minorHAnsi"/>
        </w:rPr>
        <w:t xml:space="preserve">prepares an in-depth report for the Board modelling revenue and sector impact based on the draft settings and using industry data supplied by the Department </w:t>
      </w:r>
      <w:r w:rsidR="00CC7B69">
        <w:rPr>
          <w:rFonts w:asciiTheme="minorHAnsi" w:hAnsiTheme="minorHAnsi" w:cstheme="minorHAnsi"/>
        </w:rPr>
        <w:t>of Education and the Department of Employment and Workplace Relations as an evidence base for decision making. I</w:t>
      </w:r>
      <w:r w:rsidR="004A2BB4">
        <w:rPr>
          <w:rFonts w:asciiTheme="minorHAnsi" w:hAnsiTheme="minorHAnsi" w:cstheme="minorHAnsi"/>
        </w:rPr>
        <w:t>n</w:t>
      </w:r>
      <w:r w:rsidR="00CC7B69">
        <w:rPr>
          <w:rFonts w:asciiTheme="minorHAnsi" w:hAnsiTheme="minorHAnsi" w:cstheme="minorHAnsi"/>
        </w:rPr>
        <w:t xml:space="preserve"> its advice to the TPS Director dated </w:t>
      </w:r>
      <w:r w:rsidR="004A2BB4">
        <w:rPr>
          <w:rFonts w:asciiTheme="minorHAnsi" w:hAnsiTheme="minorHAnsi" w:cstheme="minorHAnsi"/>
        </w:rPr>
        <w:t>21 October</w:t>
      </w:r>
      <w:r w:rsidR="00CC7B69">
        <w:rPr>
          <w:rFonts w:asciiTheme="minorHAnsi" w:hAnsiTheme="minorHAnsi" w:cstheme="minorHAnsi"/>
        </w:rPr>
        <w:t xml:space="preserve"> 2024 on the recommended settings for the risk rated premium and special tuition protection components of the TPS </w:t>
      </w:r>
      <w:r w:rsidR="005D7073">
        <w:rPr>
          <w:rFonts w:asciiTheme="minorHAnsi" w:hAnsiTheme="minorHAnsi" w:cstheme="minorHAnsi"/>
        </w:rPr>
        <w:t>l</w:t>
      </w:r>
      <w:r w:rsidR="00CC7B69">
        <w:rPr>
          <w:rFonts w:asciiTheme="minorHAnsi" w:hAnsiTheme="minorHAnsi" w:cstheme="minorHAnsi"/>
        </w:rPr>
        <w:t xml:space="preserve">evy, the Board noted it had considered a number of issues including the strategic risk environment, the advice of the AGA, the views of the regulators (the Australian Skills Quality Authority (ASQA) and the Tertiary Education Quality and Standards Agency (TEQSA)) and industry peak bodies, </w:t>
      </w:r>
      <w:r w:rsidR="00CA2C7C">
        <w:rPr>
          <w:rFonts w:asciiTheme="minorHAnsi" w:hAnsiTheme="minorHAnsi" w:cstheme="minorHAnsi"/>
        </w:rPr>
        <w:t xml:space="preserve">and the quantum of funds required for the long-term sustainability of the Fund. </w:t>
      </w:r>
    </w:p>
    <w:p w14:paraId="47BC38F5" w14:textId="2FCA57A9" w:rsidR="00C75C99" w:rsidRDefault="0085660F">
      <w:pPr>
        <w:rPr>
          <w:rFonts w:asciiTheme="minorHAnsi" w:hAnsiTheme="minorHAnsi" w:cstheme="minorHAnsi"/>
        </w:rPr>
      </w:pPr>
      <w:r>
        <w:rPr>
          <w:rFonts w:asciiTheme="minorHAnsi" w:hAnsiTheme="minorHAnsi" w:cstheme="minorHAnsi"/>
        </w:rPr>
        <w:t xml:space="preserve">The AGA has recommended that the temporary COVID-19 setting that waived </w:t>
      </w:r>
      <w:r w:rsidR="00A9230D">
        <w:rPr>
          <w:rFonts w:asciiTheme="minorHAnsi" w:hAnsiTheme="minorHAnsi" w:cstheme="minorHAnsi"/>
        </w:rPr>
        <w:t>increase factors</w:t>
      </w:r>
      <w:r>
        <w:rPr>
          <w:rFonts w:asciiTheme="minorHAnsi" w:hAnsiTheme="minorHAnsi" w:cstheme="minorHAnsi"/>
        </w:rPr>
        <w:t xml:space="preserve"> for positive volatility in overseas student enrolments should cease and </w:t>
      </w:r>
      <w:r w:rsidR="00A9230D">
        <w:rPr>
          <w:rFonts w:asciiTheme="minorHAnsi" w:hAnsiTheme="minorHAnsi" w:cstheme="minorHAnsi"/>
        </w:rPr>
        <w:t>increase factors</w:t>
      </w:r>
      <w:r>
        <w:rPr>
          <w:rFonts w:asciiTheme="minorHAnsi" w:hAnsiTheme="minorHAnsi" w:cstheme="minorHAnsi"/>
        </w:rPr>
        <w:t xml:space="preserve"> for positive volatility be reinstated. </w:t>
      </w:r>
      <w:r w:rsidR="00A443CC">
        <w:rPr>
          <w:rFonts w:asciiTheme="minorHAnsi" w:hAnsiTheme="minorHAnsi" w:cstheme="minorHAnsi"/>
        </w:rPr>
        <w:t xml:space="preserve">This follows from the 2024 International TPS </w:t>
      </w:r>
      <w:r w:rsidR="00F14909">
        <w:rPr>
          <w:rFonts w:asciiTheme="minorHAnsi" w:hAnsiTheme="minorHAnsi" w:cstheme="minorHAnsi"/>
        </w:rPr>
        <w:t>l</w:t>
      </w:r>
      <w:r w:rsidR="00A443CC">
        <w:rPr>
          <w:rFonts w:asciiTheme="minorHAnsi" w:hAnsiTheme="minorHAnsi" w:cstheme="minorHAnsi"/>
        </w:rPr>
        <w:t xml:space="preserve">evy report, where the AGA noted that, as borders re-opened in 2022, it is expected that the </w:t>
      </w:r>
      <w:r w:rsidR="00A9230D">
        <w:rPr>
          <w:rFonts w:asciiTheme="minorHAnsi" w:hAnsiTheme="minorHAnsi" w:cstheme="minorHAnsi"/>
        </w:rPr>
        <w:t>increase factors</w:t>
      </w:r>
      <w:r w:rsidR="00A443CC">
        <w:rPr>
          <w:rFonts w:asciiTheme="minorHAnsi" w:hAnsiTheme="minorHAnsi" w:cstheme="minorHAnsi"/>
        </w:rPr>
        <w:t xml:space="preserve"> for positive volatility be reinstated in 2025.</w:t>
      </w:r>
      <w:r w:rsidR="004A2BB4">
        <w:rPr>
          <w:rFonts w:asciiTheme="minorHAnsi" w:hAnsiTheme="minorHAnsi" w:cstheme="minorHAnsi"/>
        </w:rPr>
        <w:t xml:space="preserve"> The research undertaken by the AGA suggests that the positive </w:t>
      </w:r>
      <w:r w:rsidR="00D15FFC">
        <w:rPr>
          <w:rFonts w:asciiTheme="minorHAnsi" w:hAnsiTheme="minorHAnsi" w:cstheme="minorHAnsi"/>
        </w:rPr>
        <w:t>volatility</w:t>
      </w:r>
      <w:r w:rsidR="004A2BB4">
        <w:rPr>
          <w:rFonts w:asciiTheme="minorHAnsi" w:hAnsiTheme="minorHAnsi" w:cstheme="minorHAnsi"/>
        </w:rPr>
        <w:t xml:space="preserve"> </w:t>
      </w:r>
      <w:r w:rsidR="00A9230D">
        <w:rPr>
          <w:rFonts w:asciiTheme="minorHAnsi" w:hAnsiTheme="minorHAnsi" w:cstheme="minorHAnsi"/>
        </w:rPr>
        <w:t>increase factors</w:t>
      </w:r>
      <w:r w:rsidR="00D15FFC">
        <w:rPr>
          <w:rFonts w:asciiTheme="minorHAnsi" w:hAnsiTheme="minorHAnsi" w:cstheme="minorHAnsi"/>
        </w:rPr>
        <w:t xml:space="preserve"> applied prior to the pandemic are suitable levels to be reinstated.</w:t>
      </w:r>
    </w:p>
    <w:p w14:paraId="194947DF" w14:textId="13495B05" w:rsidR="00F57F4A" w:rsidRDefault="00C75C99">
      <w:pPr>
        <w:rPr>
          <w:rFonts w:asciiTheme="minorHAnsi" w:hAnsiTheme="minorHAnsi" w:cstheme="minorHAnsi"/>
        </w:rPr>
      </w:pPr>
      <w:r>
        <w:rPr>
          <w:rFonts w:asciiTheme="minorHAnsi" w:hAnsiTheme="minorHAnsi" w:cstheme="minorHAnsi"/>
        </w:rPr>
        <w:t xml:space="preserve">The Board supported the AGA’s recommendation to reinstate the positive volatility </w:t>
      </w:r>
      <w:r w:rsidR="00A9230D">
        <w:rPr>
          <w:rFonts w:asciiTheme="minorHAnsi" w:hAnsiTheme="minorHAnsi" w:cstheme="minorHAnsi"/>
        </w:rPr>
        <w:t>increase factors</w:t>
      </w:r>
      <w:r>
        <w:rPr>
          <w:rFonts w:asciiTheme="minorHAnsi" w:hAnsiTheme="minorHAnsi" w:cstheme="minorHAnsi"/>
        </w:rPr>
        <w:t xml:space="preserve"> to pre-pandemic levels. </w:t>
      </w:r>
      <w:r w:rsidR="00D15FFC">
        <w:rPr>
          <w:rFonts w:asciiTheme="minorHAnsi" w:hAnsiTheme="minorHAnsi" w:cstheme="minorHAnsi"/>
        </w:rPr>
        <w:t xml:space="preserve"> </w:t>
      </w:r>
    </w:p>
    <w:p w14:paraId="1F20045A" w14:textId="3A8B344A" w:rsidR="00B365B3" w:rsidRDefault="008408AF">
      <w:pPr>
        <w:rPr>
          <w:rFonts w:asciiTheme="minorHAnsi" w:hAnsiTheme="minorHAnsi" w:cstheme="minorHAnsi"/>
        </w:rPr>
      </w:pPr>
      <w:r>
        <w:rPr>
          <w:rFonts w:asciiTheme="minorHAnsi" w:hAnsiTheme="minorHAnsi" w:cstheme="minorHAnsi"/>
        </w:rPr>
        <w:t xml:space="preserve">In recognition that the sector is </w:t>
      </w:r>
      <w:r w:rsidR="006F2844">
        <w:rPr>
          <w:rFonts w:asciiTheme="minorHAnsi" w:hAnsiTheme="minorHAnsi" w:cstheme="minorHAnsi"/>
        </w:rPr>
        <w:t>expecting to face</w:t>
      </w:r>
      <w:r>
        <w:rPr>
          <w:rFonts w:asciiTheme="minorHAnsi" w:hAnsiTheme="minorHAnsi" w:cstheme="minorHAnsi"/>
        </w:rPr>
        <w:t xml:space="preserve"> </w:t>
      </w:r>
      <w:r w:rsidR="00CC0547">
        <w:rPr>
          <w:rFonts w:asciiTheme="minorHAnsi" w:hAnsiTheme="minorHAnsi" w:cstheme="minorHAnsi"/>
        </w:rPr>
        <w:t xml:space="preserve">further policy developments in international education </w:t>
      </w:r>
      <w:r w:rsidR="006F2844">
        <w:rPr>
          <w:rFonts w:asciiTheme="minorHAnsi" w:hAnsiTheme="minorHAnsi" w:cstheme="minorHAnsi"/>
        </w:rPr>
        <w:t>in 2025,</w:t>
      </w:r>
      <w:r>
        <w:rPr>
          <w:rFonts w:asciiTheme="minorHAnsi" w:hAnsiTheme="minorHAnsi" w:cstheme="minorHAnsi"/>
        </w:rPr>
        <w:t xml:space="preserve"> the Board </w:t>
      </w:r>
      <w:r w:rsidR="00B37001">
        <w:rPr>
          <w:rFonts w:asciiTheme="minorHAnsi" w:hAnsiTheme="minorHAnsi" w:cstheme="minorHAnsi"/>
        </w:rPr>
        <w:t xml:space="preserve">also supported the AGA’s recommendation </w:t>
      </w:r>
      <w:r w:rsidR="00F54D14">
        <w:rPr>
          <w:rFonts w:asciiTheme="minorHAnsi" w:hAnsiTheme="minorHAnsi" w:cstheme="minorHAnsi"/>
        </w:rPr>
        <w:t xml:space="preserve">not </w:t>
      </w:r>
      <w:r w:rsidR="00B37001">
        <w:rPr>
          <w:rFonts w:asciiTheme="minorHAnsi" w:hAnsiTheme="minorHAnsi" w:cstheme="minorHAnsi"/>
        </w:rPr>
        <w:t xml:space="preserve">to </w:t>
      </w:r>
      <w:r w:rsidR="00F54D14">
        <w:rPr>
          <w:rFonts w:asciiTheme="minorHAnsi" w:hAnsiTheme="minorHAnsi" w:cstheme="minorHAnsi"/>
        </w:rPr>
        <w:t xml:space="preserve">change </w:t>
      </w:r>
      <w:r w:rsidR="00F54D14" w:rsidRPr="00316424">
        <w:rPr>
          <w:rFonts w:asciiTheme="minorHAnsi" w:hAnsiTheme="minorHAnsi" w:cstheme="minorHAnsi"/>
        </w:rPr>
        <w:t>the</w:t>
      </w:r>
      <w:r w:rsidR="00A35A4A" w:rsidRPr="00316424">
        <w:rPr>
          <w:rFonts w:asciiTheme="minorHAnsi" w:hAnsiTheme="minorHAnsi" w:cstheme="minorHAnsi"/>
        </w:rPr>
        <w:t xml:space="preserve"> </w:t>
      </w:r>
      <w:r w:rsidR="00316424" w:rsidRPr="005D7073">
        <w:rPr>
          <w:rFonts w:asciiTheme="minorHAnsi" w:hAnsiTheme="minorHAnsi" w:cstheme="minorHAnsi"/>
        </w:rPr>
        <w:t>2025 levy</w:t>
      </w:r>
      <w:r w:rsidR="00A35A4A" w:rsidRPr="00316424">
        <w:rPr>
          <w:rFonts w:asciiTheme="minorHAnsi" w:hAnsiTheme="minorHAnsi" w:cstheme="minorHAnsi"/>
        </w:rPr>
        <w:t xml:space="preserve"> settings </w:t>
      </w:r>
      <w:r w:rsidR="00A35A4A">
        <w:rPr>
          <w:rFonts w:asciiTheme="minorHAnsi" w:hAnsiTheme="minorHAnsi" w:cstheme="minorHAnsi"/>
        </w:rPr>
        <w:t xml:space="preserve">in relation to the risk rated premium component and the special tuition protection component. </w:t>
      </w:r>
    </w:p>
    <w:p w14:paraId="69B8A35C" w14:textId="49F091DE" w:rsidR="00E90AFD" w:rsidRDefault="00E90AFD">
      <w:pPr>
        <w:rPr>
          <w:rFonts w:asciiTheme="minorHAnsi" w:hAnsiTheme="minorHAnsi" w:cstheme="minorHAnsi"/>
          <w:i/>
          <w:iCs/>
        </w:rPr>
      </w:pPr>
      <w:r>
        <w:rPr>
          <w:rFonts w:asciiTheme="minorHAnsi" w:hAnsiTheme="minorHAnsi" w:cstheme="minorHAnsi"/>
          <w:i/>
          <w:iCs/>
        </w:rPr>
        <w:t>Consultation with regulators and peak bodies</w:t>
      </w:r>
    </w:p>
    <w:p w14:paraId="78911578" w14:textId="0D5B8337" w:rsidR="00E90AFD" w:rsidRDefault="003A791D">
      <w:pPr>
        <w:rPr>
          <w:rFonts w:asciiTheme="minorHAnsi" w:hAnsiTheme="minorHAnsi" w:cstheme="minorHAnsi"/>
        </w:rPr>
      </w:pPr>
      <w:r>
        <w:rPr>
          <w:rFonts w:asciiTheme="minorHAnsi" w:hAnsiTheme="minorHAnsi" w:cstheme="minorHAnsi"/>
        </w:rPr>
        <w:t>In finalising its advice and recommendations, and consistent with its previous practice, the Board and TPS Di</w:t>
      </w:r>
      <w:r w:rsidR="00C66A44">
        <w:rPr>
          <w:rFonts w:asciiTheme="minorHAnsi" w:hAnsiTheme="minorHAnsi" w:cstheme="minorHAnsi"/>
        </w:rPr>
        <w:t>rector consulted with international education stakeholders and representatives of the two national regulatory bodies: ASQA and TEQSA.</w:t>
      </w:r>
    </w:p>
    <w:p w14:paraId="687665FB" w14:textId="20A18643" w:rsidR="003A3FA8" w:rsidRDefault="00E24EDD" w:rsidP="003A3FA8">
      <w:pPr>
        <w:rPr>
          <w:rFonts w:asciiTheme="minorHAnsi" w:hAnsiTheme="minorHAnsi" w:cstheme="minorHAnsi"/>
        </w:rPr>
      </w:pPr>
      <w:r>
        <w:rPr>
          <w:rFonts w:asciiTheme="minorHAnsi" w:hAnsiTheme="minorHAnsi" w:cstheme="minorHAnsi"/>
        </w:rPr>
        <w:t xml:space="preserve">On 7 August 2024, the Board provided draft recommendations to the TPS Director for the 2025 International TPS </w:t>
      </w:r>
      <w:r w:rsidR="00420E0F">
        <w:rPr>
          <w:rFonts w:asciiTheme="minorHAnsi" w:hAnsiTheme="minorHAnsi" w:cstheme="minorHAnsi"/>
        </w:rPr>
        <w:t>l</w:t>
      </w:r>
      <w:r>
        <w:rPr>
          <w:rFonts w:asciiTheme="minorHAnsi" w:hAnsiTheme="minorHAnsi" w:cstheme="minorHAnsi"/>
        </w:rPr>
        <w:t>evy. The Board’s draft advice was published on the TPS website</w:t>
      </w:r>
      <w:r w:rsidR="00985766">
        <w:rPr>
          <w:rFonts w:asciiTheme="minorHAnsi" w:hAnsiTheme="minorHAnsi" w:cstheme="minorHAnsi"/>
        </w:rPr>
        <w:t xml:space="preserve"> on 14 August 2024, inviting feedback from all CRICOS</w:t>
      </w:r>
      <w:r w:rsidR="00907B4D">
        <w:rPr>
          <w:rFonts w:asciiTheme="minorHAnsi" w:hAnsiTheme="minorHAnsi" w:cstheme="minorHAnsi"/>
        </w:rPr>
        <w:t>-</w:t>
      </w:r>
      <w:r w:rsidR="00985766">
        <w:rPr>
          <w:rFonts w:asciiTheme="minorHAnsi" w:hAnsiTheme="minorHAnsi" w:cstheme="minorHAnsi"/>
        </w:rPr>
        <w:t xml:space="preserve">registered providers on the proposed settings of the </w:t>
      </w:r>
      <w:r w:rsidR="005D7073">
        <w:rPr>
          <w:rFonts w:asciiTheme="minorHAnsi" w:hAnsiTheme="minorHAnsi" w:cstheme="minorHAnsi"/>
        </w:rPr>
        <w:t>l</w:t>
      </w:r>
      <w:r w:rsidR="00985766">
        <w:rPr>
          <w:rFonts w:asciiTheme="minorHAnsi" w:hAnsiTheme="minorHAnsi" w:cstheme="minorHAnsi"/>
        </w:rPr>
        <w:t xml:space="preserve">evy. </w:t>
      </w:r>
    </w:p>
    <w:p w14:paraId="7E8F0171" w14:textId="72D0C0DC" w:rsidR="00985766" w:rsidRDefault="00AD77A0" w:rsidP="003A3FA8">
      <w:pPr>
        <w:rPr>
          <w:rFonts w:asciiTheme="minorHAnsi" w:hAnsiTheme="minorHAnsi" w:cstheme="minorHAnsi"/>
        </w:rPr>
      </w:pPr>
      <w:r>
        <w:rPr>
          <w:rFonts w:asciiTheme="minorHAnsi" w:hAnsiTheme="minorHAnsi" w:cstheme="minorHAnsi"/>
        </w:rPr>
        <w:lastRenderedPageBreak/>
        <w:t xml:space="preserve">From </w:t>
      </w:r>
      <w:r w:rsidR="004F6061">
        <w:rPr>
          <w:rFonts w:asciiTheme="minorHAnsi" w:hAnsiTheme="minorHAnsi" w:cstheme="minorHAnsi"/>
        </w:rPr>
        <w:t xml:space="preserve">mid-August to early October 2024, leviable international education providers were consulted on the draft settings of the 2025 International TPS </w:t>
      </w:r>
      <w:r w:rsidR="00EE343B">
        <w:rPr>
          <w:rFonts w:asciiTheme="minorHAnsi" w:hAnsiTheme="minorHAnsi" w:cstheme="minorHAnsi"/>
        </w:rPr>
        <w:t>l</w:t>
      </w:r>
      <w:r w:rsidR="004F6061">
        <w:rPr>
          <w:rFonts w:asciiTheme="minorHAnsi" w:hAnsiTheme="minorHAnsi" w:cstheme="minorHAnsi"/>
        </w:rPr>
        <w:t xml:space="preserve">evy. </w:t>
      </w:r>
      <w:r w:rsidR="00143E4B">
        <w:rPr>
          <w:rFonts w:asciiTheme="minorHAnsi" w:hAnsiTheme="minorHAnsi" w:cstheme="minorHAnsi"/>
        </w:rPr>
        <w:t xml:space="preserve">A national webinar and nine in-person consultation sessions were held around Australia to present the draft </w:t>
      </w:r>
      <w:r w:rsidR="008D5531">
        <w:rPr>
          <w:rFonts w:asciiTheme="minorHAnsi" w:hAnsiTheme="minorHAnsi" w:cstheme="minorHAnsi"/>
        </w:rPr>
        <w:t>l</w:t>
      </w:r>
      <w:r w:rsidR="00143E4B">
        <w:rPr>
          <w:rFonts w:asciiTheme="minorHAnsi" w:hAnsiTheme="minorHAnsi" w:cstheme="minorHAnsi"/>
        </w:rPr>
        <w:t xml:space="preserve">evy settings to education providers, and to invite any comments and questions on the draft </w:t>
      </w:r>
      <w:r w:rsidR="008D5531">
        <w:rPr>
          <w:rFonts w:asciiTheme="minorHAnsi" w:hAnsiTheme="minorHAnsi" w:cstheme="minorHAnsi"/>
        </w:rPr>
        <w:t>l</w:t>
      </w:r>
      <w:r w:rsidR="00143E4B">
        <w:rPr>
          <w:rFonts w:asciiTheme="minorHAnsi" w:hAnsiTheme="minorHAnsi" w:cstheme="minorHAnsi"/>
        </w:rPr>
        <w:t xml:space="preserve">evy settings. </w:t>
      </w:r>
    </w:p>
    <w:p w14:paraId="602AE92E" w14:textId="77777777" w:rsidR="00684D4B" w:rsidRDefault="00684D4B" w:rsidP="00684D4B">
      <w:pPr>
        <w:rPr>
          <w:rFonts w:asciiTheme="minorHAnsi" w:hAnsiTheme="minorHAnsi" w:cstheme="minorHAnsi"/>
        </w:rPr>
      </w:pPr>
      <w:r>
        <w:rPr>
          <w:rFonts w:asciiTheme="minorHAnsi" w:hAnsiTheme="minorHAnsi" w:cstheme="minorHAnsi"/>
        </w:rPr>
        <w:t>The TPS Director met with the following peak body representatives during the consultation period:</w:t>
      </w:r>
    </w:p>
    <w:p w14:paraId="6940651F" w14:textId="77777777" w:rsidR="00684D4B" w:rsidRDefault="00684D4B" w:rsidP="00684D4B">
      <w:pPr>
        <w:pStyle w:val="ListParagraph"/>
        <w:numPr>
          <w:ilvl w:val="0"/>
          <w:numId w:val="7"/>
        </w:numPr>
        <w:rPr>
          <w:rFonts w:asciiTheme="minorHAnsi" w:hAnsiTheme="minorHAnsi" w:cstheme="minorHAnsi"/>
        </w:rPr>
      </w:pPr>
      <w:r>
        <w:rPr>
          <w:rFonts w:asciiTheme="minorHAnsi" w:hAnsiTheme="minorHAnsi" w:cstheme="minorHAnsi"/>
        </w:rPr>
        <w:t>English Australia</w:t>
      </w:r>
    </w:p>
    <w:p w14:paraId="6674472D" w14:textId="77777777" w:rsidR="00684D4B" w:rsidRDefault="00684D4B" w:rsidP="00684D4B">
      <w:pPr>
        <w:pStyle w:val="ListParagraph"/>
        <w:numPr>
          <w:ilvl w:val="0"/>
          <w:numId w:val="7"/>
        </w:numPr>
        <w:rPr>
          <w:rFonts w:asciiTheme="minorHAnsi" w:hAnsiTheme="minorHAnsi" w:cstheme="minorHAnsi"/>
        </w:rPr>
      </w:pPr>
      <w:r>
        <w:rPr>
          <w:rFonts w:asciiTheme="minorHAnsi" w:hAnsiTheme="minorHAnsi" w:cstheme="minorHAnsi"/>
        </w:rPr>
        <w:t>International Education Association of Australia</w:t>
      </w:r>
    </w:p>
    <w:p w14:paraId="15DB7F4A" w14:textId="77777777" w:rsidR="00684D4B" w:rsidRDefault="00684D4B" w:rsidP="00684D4B">
      <w:pPr>
        <w:pStyle w:val="ListParagraph"/>
        <w:numPr>
          <w:ilvl w:val="0"/>
          <w:numId w:val="7"/>
        </w:numPr>
        <w:rPr>
          <w:rFonts w:asciiTheme="minorHAnsi" w:hAnsiTheme="minorHAnsi" w:cstheme="minorHAnsi"/>
        </w:rPr>
      </w:pPr>
      <w:r>
        <w:rPr>
          <w:rFonts w:asciiTheme="minorHAnsi" w:hAnsiTheme="minorHAnsi" w:cstheme="minorHAnsi"/>
        </w:rPr>
        <w:t>Universities Australia</w:t>
      </w:r>
    </w:p>
    <w:p w14:paraId="20AEE99D" w14:textId="77777777" w:rsidR="00684D4B" w:rsidRDefault="00684D4B" w:rsidP="00684D4B">
      <w:pPr>
        <w:pStyle w:val="ListParagraph"/>
        <w:numPr>
          <w:ilvl w:val="0"/>
          <w:numId w:val="7"/>
        </w:numPr>
        <w:rPr>
          <w:rFonts w:asciiTheme="minorHAnsi" w:hAnsiTheme="minorHAnsi" w:cstheme="minorHAnsi"/>
        </w:rPr>
      </w:pPr>
      <w:r>
        <w:rPr>
          <w:rFonts w:asciiTheme="minorHAnsi" w:hAnsiTheme="minorHAnsi" w:cstheme="minorHAnsi"/>
        </w:rPr>
        <w:t>Independent Schools Australia</w:t>
      </w:r>
    </w:p>
    <w:p w14:paraId="7144FA8F" w14:textId="77777777" w:rsidR="00684D4B" w:rsidRDefault="00684D4B" w:rsidP="00684D4B">
      <w:pPr>
        <w:pStyle w:val="ListParagraph"/>
        <w:numPr>
          <w:ilvl w:val="0"/>
          <w:numId w:val="7"/>
        </w:numPr>
        <w:rPr>
          <w:rFonts w:asciiTheme="minorHAnsi" w:hAnsiTheme="minorHAnsi" w:cstheme="minorHAnsi"/>
        </w:rPr>
      </w:pPr>
      <w:r>
        <w:rPr>
          <w:rFonts w:asciiTheme="minorHAnsi" w:hAnsiTheme="minorHAnsi" w:cstheme="minorHAnsi"/>
        </w:rPr>
        <w:t xml:space="preserve">Independent Tertiary Education Council Australia </w:t>
      </w:r>
    </w:p>
    <w:p w14:paraId="7E4D2792" w14:textId="77777777" w:rsidR="00684D4B" w:rsidRDefault="00684D4B" w:rsidP="00684D4B">
      <w:pPr>
        <w:pStyle w:val="ListParagraph"/>
        <w:numPr>
          <w:ilvl w:val="0"/>
          <w:numId w:val="7"/>
        </w:numPr>
        <w:rPr>
          <w:rFonts w:asciiTheme="minorHAnsi" w:hAnsiTheme="minorHAnsi" w:cstheme="minorHAnsi"/>
        </w:rPr>
      </w:pPr>
      <w:r>
        <w:rPr>
          <w:rFonts w:asciiTheme="minorHAnsi" w:hAnsiTheme="minorHAnsi" w:cstheme="minorHAnsi"/>
        </w:rPr>
        <w:t xml:space="preserve">Independent Higher Education Australia </w:t>
      </w:r>
    </w:p>
    <w:p w14:paraId="70F41455" w14:textId="7E952D7A" w:rsidR="00684D4B" w:rsidRDefault="00684D4B" w:rsidP="00684D4B">
      <w:pPr>
        <w:rPr>
          <w:rFonts w:asciiTheme="minorHAnsi" w:hAnsiTheme="minorHAnsi" w:cstheme="minorHAnsi"/>
        </w:rPr>
      </w:pPr>
      <w:r>
        <w:rPr>
          <w:rFonts w:asciiTheme="minorHAnsi" w:hAnsiTheme="minorHAnsi" w:cstheme="minorHAnsi"/>
        </w:rPr>
        <w:t xml:space="preserve">The TPS </w:t>
      </w:r>
      <w:r w:rsidR="005A1547">
        <w:rPr>
          <w:rFonts w:asciiTheme="minorHAnsi" w:hAnsiTheme="minorHAnsi" w:cstheme="minorHAnsi"/>
        </w:rPr>
        <w:t>Director also met with the following Study Australia representatives during the consultation period:</w:t>
      </w:r>
    </w:p>
    <w:p w14:paraId="40FDCEFB" w14:textId="195DB507" w:rsidR="005A1547" w:rsidRDefault="005A1547" w:rsidP="005A1547">
      <w:pPr>
        <w:pStyle w:val="ListParagraph"/>
        <w:numPr>
          <w:ilvl w:val="0"/>
          <w:numId w:val="8"/>
        </w:numPr>
        <w:rPr>
          <w:rFonts w:asciiTheme="minorHAnsi" w:hAnsiTheme="minorHAnsi" w:cstheme="minorHAnsi"/>
        </w:rPr>
      </w:pPr>
      <w:r>
        <w:rPr>
          <w:rFonts w:asciiTheme="minorHAnsi" w:hAnsiTheme="minorHAnsi" w:cstheme="minorHAnsi"/>
        </w:rPr>
        <w:t>Study Adelaide</w:t>
      </w:r>
    </w:p>
    <w:p w14:paraId="1D98304D" w14:textId="3EDD19F7" w:rsidR="005A1547" w:rsidRDefault="005A1547" w:rsidP="005A1547">
      <w:pPr>
        <w:pStyle w:val="ListParagraph"/>
        <w:numPr>
          <w:ilvl w:val="0"/>
          <w:numId w:val="8"/>
        </w:numPr>
        <w:rPr>
          <w:rFonts w:asciiTheme="minorHAnsi" w:hAnsiTheme="minorHAnsi" w:cstheme="minorHAnsi"/>
        </w:rPr>
      </w:pPr>
      <w:r>
        <w:rPr>
          <w:rFonts w:asciiTheme="minorHAnsi" w:hAnsiTheme="minorHAnsi" w:cstheme="minorHAnsi"/>
        </w:rPr>
        <w:t>Study Melbourne</w:t>
      </w:r>
    </w:p>
    <w:p w14:paraId="40109F94" w14:textId="5451A74E" w:rsidR="005A1547" w:rsidRDefault="005A1547" w:rsidP="005A1547">
      <w:pPr>
        <w:pStyle w:val="ListParagraph"/>
        <w:numPr>
          <w:ilvl w:val="0"/>
          <w:numId w:val="8"/>
        </w:numPr>
        <w:rPr>
          <w:rFonts w:asciiTheme="minorHAnsi" w:hAnsiTheme="minorHAnsi" w:cstheme="minorHAnsi"/>
        </w:rPr>
      </w:pPr>
      <w:r>
        <w:rPr>
          <w:rFonts w:asciiTheme="minorHAnsi" w:hAnsiTheme="minorHAnsi" w:cstheme="minorHAnsi"/>
        </w:rPr>
        <w:t>Study Perth</w:t>
      </w:r>
    </w:p>
    <w:p w14:paraId="38F43924" w14:textId="67956625" w:rsidR="00684D4B" w:rsidRDefault="005A1547" w:rsidP="003A3FA8">
      <w:pPr>
        <w:pStyle w:val="ListParagraph"/>
        <w:numPr>
          <w:ilvl w:val="0"/>
          <w:numId w:val="8"/>
        </w:numPr>
        <w:rPr>
          <w:rFonts w:asciiTheme="minorHAnsi" w:hAnsiTheme="minorHAnsi" w:cstheme="minorHAnsi"/>
        </w:rPr>
      </w:pPr>
      <w:r>
        <w:rPr>
          <w:rFonts w:asciiTheme="minorHAnsi" w:hAnsiTheme="minorHAnsi" w:cstheme="minorHAnsi"/>
        </w:rPr>
        <w:t>Study NSW</w:t>
      </w:r>
    </w:p>
    <w:p w14:paraId="0BBEDAD3" w14:textId="4D83B0A1" w:rsidR="00DF51A6" w:rsidRPr="008D5531" w:rsidRDefault="00DF51A6" w:rsidP="008D5531">
      <w:pPr>
        <w:rPr>
          <w:rFonts w:asciiTheme="minorHAnsi" w:hAnsiTheme="minorHAnsi" w:cstheme="minorHAnsi"/>
          <w:szCs w:val="24"/>
        </w:rPr>
      </w:pPr>
      <w:r w:rsidRPr="008D5531">
        <w:rPr>
          <w:rFonts w:asciiTheme="minorHAnsi" w:hAnsiTheme="minorHAnsi" w:cstheme="minorHAnsi"/>
          <w:szCs w:val="24"/>
        </w:rPr>
        <w:t xml:space="preserve">Overall, those consulted were supportive of the draft International TPS </w:t>
      </w:r>
      <w:r w:rsidR="00190220">
        <w:rPr>
          <w:rFonts w:asciiTheme="minorHAnsi" w:hAnsiTheme="minorHAnsi" w:cstheme="minorHAnsi"/>
          <w:szCs w:val="24"/>
        </w:rPr>
        <w:t>l</w:t>
      </w:r>
      <w:r w:rsidRPr="008D5531">
        <w:rPr>
          <w:rFonts w:asciiTheme="minorHAnsi" w:hAnsiTheme="minorHAnsi" w:cstheme="minorHAnsi"/>
          <w:szCs w:val="24"/>
        </w:rPr>
        <w:t xml:space="preserve">evy settings. Consulted education providers acknowledged that the settings were ‘modest’ and appreciated that the 2025 settings were maintained at 2024 levels. </w:t>
      </w:r>
    </w:p>
    <w:p w14:paraId="25BC6F10" w14:textId="0DF6601C" w:rsidR="00DF51A6" w:rsidRPr="008D5531" w:rsidRDefault="003F5AD6" w:rsidP="008D5531">
      <w:pPr>
        <w:rPr>
          <w:rFonts w:asciiTheme="minorHAnsi" w:hAnsiTheme="minorHAnsi" w:cstheme="minorHAnsi"/>
        </w:rPr>
      </w:pPr>
      <w:r>
        <w:rPr>
          <w:rFonts w:asciiTheme="minorHAnsi" w:hAnsiTheme="minorHAnsi" w:cstheme="minorHAnsi"/>
        </w:rPr>
        <w:t xml:space="preserve">No adjustments to the Board’s draft advice were deemed necessary </w:t>
      </w:r>
      <w:proofErr w:type="gramStart"/>
      <w:r>
        <w:rPr>
          <w:rFonts w:asciiTheme="minorHAnsi" w:hAnsiTheme="minorHAnsi" w:cstheme="minorHAnsi"/>
        </w:rPr>
        <w:t>as a result of</w:t>
      </w:r>
      <w:proofErr w:type="gramEnd"/>
      <w:r>
        <w:rPr>
          <w:rFonts w:asciiTheme="minorHAnsi" w:hAnsiTheme="minorHAnsi" w:cstheme="minorHAnsi"/>
        </w:rPr>
        <w:t xml:space="preserve"> these significant consultations</w:t>
      </w:r>
      <w:r w:rsidR="00C653B8">
        <w:rPr>
          <w:rFonts w:asciiTheme="minorHAnsi" w:hAnsiTheme="minorHAnsi" w:cstheme="minorHAnsi"/>
        </w:rPr>
        <w:t>.</w:t>
      </w:r>
    </w:p>
    <w:p w14:paraId="2FC9B353" w14:textId="77777777" w:rsidR="00AD7BFA" w:rsidRDefault="00AD7BFA">
      <w:pPr>
        <w:spacing w:after="160" w:line="259" w:lineRule="auto"/>
        <w:rPr>
          <w:rFonts w:asciiTheme="minorHAnsi" w:eastAsiaTheme="majorEastAsia" w:hAnsiTheme="minorHAnsi" w:cstheme="minorHAnsi"/>
          <w:b/>
          <w:szCs w:val="26"/>
        </w:rPr>
      </w:pPr>
      <w:bookmarkStart w:id="4" w:name="_Toc23942241"/>
      <w:bookmarkStart w:id="5" w:name="_Toc34293362"/>
      <w:r>
        <w:rPr>
          <w:rFonts w:asciiTheme="minorHAnsi" w:hAnsiTheme="minorHAnsi" w:cstheme="minorHAnsi"/>
        </w:rPr>
        <w:br w:type="page"/>
      </w:r>
    </w:p>
    <w:p w14:paraId="5221E5A9" w14:textId="7C8C5C9B" w:rsidR="002E5B40" w:rsidRPr="008134D5" w:rsidRDefault="002E5B40" w:rsidP="002E5B40">
      <w:pPr>
        <w:pStyle w:val="Heading2"/>
        <w:jc w:val="center"/>
        <w:rPr>
          <w:rFonts w:asciiTheme="minorHAnsi" w:hAnsiTheme="minorHAnsi" w:cstheme="minorHAnsi"/>
          <w:color w:val="auto"/>
        </w:rPr>
      </w:pPr>
      <w:r w:rsidRPr="008134D5">
        <w:rPr>
          <w:rFonts w:asciiTheme="minorHAnsi" w:hAnsiTheme="minorHAnsi" w:cstheme="minorHAnsi"/>
          <w:color w:val="auto"/>
        </w:rPr>
        <w:lastRenderedPageBreak/>
        <w:t>STATEMENT OF COMPATIBILITY WITH HUMAN RIGHTS</w:t>
      </w:r>
      <w:bookmarkEnd w:id="4"/>
      <w:bookmarkEnd w:id="5"/>
    </w:p>
    <w:p w14:paraId="7974680C" w14:textId="77777777" w:rsidR="002E5B40" w:rsidRPr="008134D5" w:rsidRDefault="002E5B40" w:rsidP="002E5B40">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01C88488" w14:textId="6E2ACEC5" w:rsidR="002E5B40" w:rsidRPr="00E04B1F" w:rsidRDefault="002E5B40" w:rsidP="002E5B40">
      <w:pPr>
        <w:spacing w:before="120" w:after="120"/>
        <w:jc w:val="center"/>
        <w:rPr>
          <w:rFonts w:asciiTheme="minorHAnsi" w:hAnsiTheme="minorHAnsi" w:cstheme="minorHAnsi"/>
          <w:b/>
          <w:bCs/>
          <w:i/>
          <w:iCs/>
          <w:szCs w:val="24"/>
        </w:rPr>
      </w:pPr>
      <w:r w:rsidRPr="00E04B1F">
        <w:rPr>
          <w:rFonts w:asciiTheme="minorHAnsi" w:hAnsiTheme="minorHAnsi" w:cstheme="minorHAnsi"/>
          <w:b/>
          <w:bCs/>
          <w:i/>
          <w:iCs/>
          <w:szCs w:val="24"/>
        </w:rPr>
        <w:t xml:space="preserve">Education Services for Overseas Students (TPS Levies) (Risk Rated Premium and Special Tuition Protection Components) Instrument </w:t>
      </w:r>
      <w:r w:rsidR="00C44B64">
        <w:rPr>
          <w:rFonts w:asciiTheme="minorHAnsi" w:hAnsiTheme="minorHAnsi" w:cstheme="minorHAnsi"/>
          <w:b/>
          <w:bCs/>
          <w:i/>
          <w:iCs/>
          <w:szCs w:val="24"/>
        </w:rPr>
        <w:t>202</w:t>
      </w:r>
      <w:r w:rsidR="00FA0581">
        <w:rPr>
          <w:rFonts w:asciiTheme="minorHAnsi" w:hAnsiTheme="minorHAnsi" w:cstheme="minorHAnsi"/>
          <w:b/>
          <w:bCs/>
          <w:i/>
          <w:iCs/>
          <w:szCs w:val="24"/>
        </w:rPr>
        <w:t>4</w:t>
      </w:r>
    </w:p>
    <w:p w14:paraId="049105BD" w14:textId="7B4B4D9B"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szCs w:val="24"/>
        </w:rPr>
        <w:t>The</w:t>
      </w:r>
      <w:r w:rsidRPr="000233C5">
        <w:rPr>
          <w:rFonts w:asciiTheme="minorHAnsi" w:hAnsiTheme="minorHAnsi" w:cstheme="minorHAnsi"/>
          <w:i/>
          <w:iCs/>
          <w:szCs w:val="24"/>
        </w:rPr>
        <w:t xml:space="preserve"> Education Services for Overseas Students (TPS Levies) (Risk Rated Premium and Special Tuition Protection Components) Instrument</w:t>
      </w:r>
      <w:r w:rsidR="00FA0581">
        <w:rPr>
          <w:rFonts w:asciiTheme="minorHAnsi" w:hAnsiTheme="minorHAnsi" w:cstheme="minorHAnsi"/>
          <w:i/>
          <w:iCs/>
          <w:szCs w:val="24"/>
        </w:rPr>
        <w:t xml:space="preserve"> </w:t>
      </w:r>
      <w:r w:rsidR="00C44B64">
        <w:rPr>
          <w:rFonts w:asciiTheme="minorHAnsi" w:hAnsiTheme="minorHAnsi" w:cstheme="minorHAnsi"/>
          <w:i/>
          <w:iCs/>
          <w:szCs w:val="24"/>
        </w:rPr>
        <w:t>202</w:t>
      </w:r>
      <w:r w:rsidR="00FA0581">
        <w:rPr>
          <w:rFonts w:asciiTheme="minorHAnsi" w:hAnsiTheme="minorHAnsi" w:cstheme="minorHAnsi"/>
          <w:i/>
          <w:iCs/>
          <w:szCs w:val="24"/>
        </w:rPr>
        <w:t>4</w:t>
      </w:r>
      <w:r w:rsidRPr="008134D5">
        <w:rPr>
          <w:rFonts w:asciiTheme="minorHAnsi" w:hAnsiTheme="minorHAnsi" w:cstheme="minorHAnsi"/>
          <w:szCs w:val="24"/>
        </w:rPr>
        <w:t xml:space="preserve"> </w:t>
      </w:r>
      <w:r>
        <w:rPr>
          <w:rFonts w:asciiTheme="minorHAnsi" w:hAnsiTheme="minorHAnsi" w:cstheme="minorHAnsi"/>
          <w:szCs w:val="24"/>
        </w:rPr>
        <w:t xml:space="preserve">(the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5866BA87" w14:textId="77777777" w:rsidR="002E5B40" w:rsidRDefault="002E5B40" w:rsidP="002E5B40">
      <w:pPr>
        <w:spacing w:before="120" w:after="120"/>
        <w:rPr>
          <w:rFonts w:asciiTheme="minorHAnsi" w:hAnsiTheme="minorHAnsi" w:cstheme="minorHAnsi"/>
          <w:b/>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45F5B200" w14:textId="6CCDDEA6" w:rsidR="000A725D" w:rsidRPr="00310B9F" w:rsidRDefault="000A725D" w:rsidP="000A725D">
      <w:pPr>
        <w:rPr>
          <w:rFonts w:asciiTheme="minorHAnsi" w:hAnsiTheme="minorHAnsi" w:cstheme="minorHAnsi"/>
        </w:rPr>
      </w:pPr>
      <w:r w:rsidRPr="00310B9F">
        <w:rPr>
          <w:rFonts w:asciiTheme="minorHAnsi" w:hAnsiTheme="minorHAnsi" w:cstheme="minorHAnsi"/>
        </w:rPr>
        <w:t xml:space="preserve">The </w:t>
      </w:r>
      <w:r w:rsidR="00AD7BFA">
        <w:rPr>
          <w:rFonts w:asciiTheme="minorHAnsi" w:hAnsiTheme="minorHAnsi" w:cstheme="minorHAnsi"/>
        </w:rPr>
        <w:t>Tuition Protection Service (</w:t>
      </w:r>
      <w:r w:rsidRPr="00310B9F">
        <w:rPr>
          <w:rFonts w:asciiTheme="minorHAnsi" w:hAnsiTheme="minorHAnsi" w:cstheme="minorHAnsi"/>
        </w:rPr>
        <w:t>TPS</w:t>
      </w:r>
      <w:r w:rsidR="00AD7BFA">
        <w:rPr>
          <w:rFonts w:asciiTheme="minorHAnsi" w:hAnsiTheme="minorHAnsi" w:cstheme="minorHAnsi"/>
        </w:rPr>
        <w:t>)</w:t>
      </w:r>
      <w:r w:rsidRPr="00310B9F">
        <w:rPr>
          <w:rFonts w:asciiTheme="minorHAnsi" w:hAnsiTheme="minorHAnsi" w:cstheme="minorHAnsi"/>
        </w:rPr>
        <w:t xml:space="preserve"> arrangements</w:t>
      </w:r>
      <w:r>
        <w:rPr>
          <w:rFonts w:asciiTheme="minorHAnsi" w:hAnsiTheme="minorHAnsi" w:cstheme="minorHAnsi"/>
        </w:rPr>
        <w:t>, including the TPS levy,</w:t>
      </w:r>
      <w:r w:rsidRPr="00310B9F">
        <w:rPr>
          <w:rFonts w:asciiTheme="minorHAnsi" w:hAnsiTheme="minorHAnsi" w:cstheme="minorHAnsi"/>
        </w:rPr>
        <w:t xml:space="preserve"> commenced on 1 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w:t>
      </w:r>
      <w:r>
        <w:rPr>
          <w:rFonts w:asciiTheme="minorHAnsi" w:hAnsiTheme="minorHAnsi" w:cstheme="minorHAnsi"/>
        </w:rPr>
        <w:t>overseas</w:t>
      </w:r>
      <w:r w:rsidRPr="00310B9F">
        <w:rPr>
          <w:rFonts w:asciiTheme="minorHAnsi" w:hAnsiTheme="minorHAnsi" w:cstheme="minorHAnsi"/>
        </w:rPr>
        <w:t xml:space="preserve"> students make in an Australian education, and to protect and enhance Australia’s reputation as a destination of choice for </w:t>
      </w:r>
      <w:r>
        <w:rPr>
          <w:rFonts w:asciiTheme="minorHAnsi" w:hAnsiTheme="minorHAnsi" w:cstheme="minorHAnsi"/>
        </w:rPr>
        <w:t>overseas</w:t>
      </w:r>
      <w:r w:rsidRPr="00310B9F">
        <w:rPr>
          <w:rFonts w:asciiTheme="minorHAnsi" w:hAnsiTheme="minorHAnsi" w:cstheme="minorHAnsi"/>
        </w:rPr>
        <w:t xml:space="preserve"> students.  </w:t>
      </w:r>
    </w:p>
    <w:p w14:paraId="7DBA8E53" w14:textId="77777777" w:rsidR="000A725D" w:rsidRPr="00310B9F" w:rsidRDefault="000A725D" w:rsidP="000A725D">
      <w:pPr>
        <w:rPr>
          <w:rFonts w:asciiTheme="minorHAnsi" w:hAnsiTheme="minorHAnsi" w:cstheme="minorHAnsi"/>
        </w:rPr>
      </w:pPr>
      <w:r w:rsidRPr="00310B9F">
        <w:rPr>
          <w:rFonts w:asciiTheme="minorHAnsi" w:hAnsiTheme="minorHAnsi" w:cstheme="minorHAnsi"/>
        </w:rPr>
        <w:t>Under Part 2 of the</w:t>
      </w:r>
      <w:r w:rsidRPr="00310B9F">
        <w:rPr>
          <w:rFonts w:asciiTheme="minorHAnsi" w:hAnsiTheme="minorHAnsi" w:cstheme="minorHAnsi"/>
          <w:iCs/>
        </w:rPr>
        <w:t xml:space="preserv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 xml:space="preserve">January of a year are liable to pay a TPS </w:t>
      </w:r>
      <w:r>
        <w:rPr>
          <w:rFonts w:asciiTheme="minorHAnsi" w:hAnsiTheme="minorHAnsi" w:cstheme="minorHAnsi"/>
        </w:rPr>
        <w:t>l</w:t>
      </w:r>
      <w:r w:rsidRPr="00310B9F">
        <w:rPr>
          <w:rFonts w:asciiTheme="minorHAnsi" w:hAnsiTheme="minorHAnsi" w:cstheme="minorHAnsi"/>
        </w:rPr>
        <w:t xml:space="preserve">evy for the year. The amount of the TPS </w:t>
      </w:r>
      <w:r>
        <w:rPr>
          <w:rFonts w:asciiTheme="minorHAnsi" w:hAnsiTheme="minorHAnsi" w:cstheme="minorHAnsi"/>
        </w:rPr>
        <w:t>l</w:t>
      </w:r>
      <w:r w:rsidRPr="00310B9F">
        <w:rPr>
          <w:rFonts w:asciiTheme="minorHAnsi" w:hAnsiTheme="minorHAnsi" w:cstheme="minorHAnsi"/>
        </w:rPr>
        <w:t>evy payable is the sum of</w:t>
      </w:r>
      <w:r>
        <w:rPr>
          <w:rFonts w:asciiTheme="minorHAnsi" w:hAnsiTheme="minorHAnsi" w:cstheme="minorHAnsi"/>
        </w:rPr>
        <w:t xml:space="preserve"> a provider’s</w:t>
      </w:r>
      <w:r w:rsidRPr="00310B9F">
        <w:rPr>
          <w:rFonts w:asciiTheme="minorHAnsi" w:hAnsiTheme="minorHAnsi" w:cstheme="minorHAnsi"/>
        </w:rPr>
        <w:t>:</w:t>
      </w:r>
    </w:p>
    <w:p w14:paraId="78F30EAB" w14:textId="77777777" w:rsidR="000A725D" w:rsidRPr="00310B9F" w:rsidRDefault="000A725D" w:rsidP="000A725D">
      <w:pPr>
        <w:pStyle w:val="ListParagraph"/>
        <w:numPr>
          <w:ilvl w:val="0"/>
          <w:numId w:val="1"/>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roofErr w:type="gramStart"/>
      <w:r w:rsidRPr="00310B9F">
        <w:rPr>
          <w:rFonts w:asciiTheme="minorHAnsi" w:hAnsiTheme="minorHAnsi" w:cstheme="minorHAnsi"/>
          <w:iCs/>
        </w:rPr>
        <w:t>);</w:t>
      </w:r>
      <w:proofErr w:type="gramEnd"/>
    </w:p>
    <w:p w14:paraId="1F86B487" w14:textId="77777777" w:rsidR="000A725D" w:rsidRPr="00310B9F" w:rsidRDefault="000A725D" w:rsidP="000A725D">
      <w:pPr>
        <w:pStyle w:val="ListParagraph"/>
        <w:numPr>
          <w:ilvl w:val="0"/>
          <w:numId w:val="1"/>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proofErr w:type="gramStart"/>
      <w:r w:rsidRPr="00310B9F">
        <w:rPr>
          <w:rFonts w:asciiTheme="minorHAnsi" w:hAnsiTheme="minorHAnsi" w:cstheme="minorHAnsi"/>
          <w:iCs/>
        </w:rPr>
        <w:t>);</w:t>
      </w:r>
      <w:proofErr w:type="gramEnd"/>
      <w:r w:rsidRPr="00310B9F">
        <w:rPr>
          <w:rFonts w:asciiTheme="minorHAnsi" w:hAnsiTheme="minorHAnsi" w:cstheme="minorHAnsi"/>
        </w:rPr>
        <w:t xml:space="preserve"> </w:t>
      </w:r>
    </w:p>
    <w:p w14:paraId="0DC86302" w14:textId="77777777" w:rsidR="000A725D" w:rsidRPr="00310B9F" w:rsidRDefault="000A725D" w:rsidP="000A725D">
      <w:pPr>
        <w:pStyle w:val="ListParagraph"/>
        <w:numPr>
          <w:ilvl w:val="0"/>
          <w:numId w:val="1"/>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5B8AED89" w14:textId="77777777" w:rsidR="000A725D" w:rsidRPr="00310B9F" w:rsidRDefault="000A725D" w:rsidP="000A725D">
      <w:pPr>
        <w:pStyle w:val="ListParagraph"/>
        <w:numPr>
          <w:ilvl w:val="0"/>
          <w:numId w:val="1"/>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7BC7883E" w14:textId="77777777" w:rsidR="000A725D" w:rsidRDefault="000A725D" w:rsidP="000A725D">
      <w:pPr>
        <w:rPr>
          <w:rFonts w:asciiTheme="minorHAnsi" w:hAnsiTheme="minorHAnsi" w:cstheme="minorHAnsi"/>
        </w:rPr>
      </w:pPr>
      <w:r w:rsidRPr="00D42297">
        <w:rPr>
          <w:rFonts w:asciiTheme="minorHAnsi" w:hAnsiTheme="minorHAnsi" w:cstheme="minorHAnsi"/>
        </w:rPr>
        <w:t xml:space="preserve">The administrative fee and base fee components are determined in a legislative instrument made by the Minister and are not dealt with in the </w:t>
      </w:r>
      <w:r w:rsidRPr="00D42297">
        <w:rPr>
          <w:rFonts w:asciiTheme="minorHAnsi" w:hAnsiTheme="minorHAnsi" w:cstheme="minorHAnsi"/>
          <w:iCs/>
        </w:rPr>
        <w:t>Instrument</w:t>
      </w:r>
      <w:r w:rsidRPr="00D42297">
        <w:rPr>
          <w:rFonts w:asciiTheme="minorHAnsi" w:hAnsiTheme="minorHAnsi" w:cstheme="minorHAnsi"/>
        </w:rPr>
        <w:t>.</w:t>
      </w:r>
    </w:p>
    <w:p w14:paraId="30C2ACCF" w14:textId="77777777" w:rsidR="000A725D" w:rsidRDefault="000A725D" w:rsidP="000A725D">
      <w:pPr>
        <w:rPr>
          <w:rFonts w:asciiTheme="minorHAnsi" w:hAnsiTheme="minorHAnsi" w:cstheme="minorHAnsi"/>
        </w:rPr>
      </w:pPr>
      <w:r w:rsidRPr="00436A9A">
        <w:rPr>
          <w:rFonts w:asciiTheme="minorHAnsi" w:hAnsiTheme="minorHAnsi" w:cstheme="minorHAnsi"/>
        </w:rPr>
        <w:t xml:space="preserve">The purpose of </w:t>
      </w:r>
      <w:r>
        <w:rPr>
          <w:rFonts w:asciiTheme="minorHAnsi" w:hAnsiTheme="minorHAnsi" w:cstheme="minorHAnsi"/>
          <w:iCs/>
        </w:rPr>
        <w:t xml:space="preserve">the Instrument </w:t>
      </w:r>
      <w:r w:rsidRPr="00436A9A">
        <w:rPr>
          <w:rFonts w:asciiTheme="minorHAnsi" w:hAnsiTheme="minorHAnsi" w:cstheme="minorHAnsi"/>
        </w:rPr>
        <w:t xml:space="preserve">is to specify a method for working out the amount payable by all </w:t>
      </w:r>
      <w:r w:rsidRPr="00E04B1F">
        <w:rPr>
          <w:rFonts w:asciiTheme="minorHAnsi" w:hAnsiTheme="minorHAnsi" w:cstheme="minorHAnsi"/>
          <w:iCs/>
        </w:rPr>
        <w:t>non-exempt</w:t>
      </w:r>
      <w:r w:rsidRPr="00436A9A">
        <w:rPr>
          <w:rFonts w:asciiTheme="minorHAnsi" w:hAnsiTheme="minorHAnsi" w:cstheme="minorHAnsi"/>
        </w:rPr>
        <w:t xml:space="preserve"> CRICOS registered providers for the risk rated premium and special tuition protection components of the TPS </w:t>
      </w:r>
      <w:r>
        <w:rPr>
          <w:rFonts w:asciiTheme="minorHAnsi" w:hAnsiTheme="minorHAnsi" w:cstheme="minorHAnsi"/>
        </w:rPr>
        <w:t>l</w:t>
      </w:r>
      <w:r w:rsidRPr="00436A9A">
        <w:rPr>
          <w:rFonts w:asciiTheme="minorHAnsi" w:hAnsiTheme="minorHAnsi" w:cstheme="minorHAnsi"/>
        </w:rPr>
        <w:t>evy</w:t>
      </w:r>
      <w:r>
        <w:rPr>
          <w:rFonts w:asciiTheme="minorHAnsi" w:hAnsiTheme="minorHAnsi" w:cstheme="minorHAnsi"/>
        </w:rPr>
        <w:t>. A</w:t>
      </w:r>
      <w:r w:rsidRPr="00310B9F">
        <w:rPr>
          <w:rFonts w:asciiTheme="minorHAnsi" w:hAnsiTheme="minorHAnsi" w:cstheme="minorHAnsi"/>
        </w:rPr>
        <w:t xml:space="preserve"> </w:t>
      </w:r>
      <w:r w:rsidRPr="00E04B1F">
        <w:rPr>
          <w:rFonts w:asciiTheme="minorHAnsi" w:hAnsiTheme="minorHAnsi" w:cstheme="minorHAnsi"/>
          <w:iCs/>
        </w:rPr>
        <w:t>non</w:t>
      </w:r>
      <w:r w:rsidRPr="00E04B1F">
        <w:rPr>
          <w:rFonts w:asciiTheme="minorHAnsi" w:hAnsiTheme="minorHAnsi" w:cstheme="minorHAnsi"/>
          <w:iCs/>
        </w:rPr>
        <w:noBreakHyphen/>
        <w:t>exempt</w:t>
      </w:r>
      <w:r w:rsidRPr="00310B9F">
        <w:rPr>
          <w:rFonts w:asciiTheme="minorHAnsi" w:hAnsiTheme="minorHAnsi" w:cstheme="minorHAnsi"/>
          <w:i/>
        </w:rPr>
        <w:t xml:space="preserve"> </w:t>
      </w:r>
      <w:r w:rsidRPr="00310B9F">
        <w:rPr>
          <w:rFonts w:asciiTheme="minorHAnsi" w:hAnsiTheme="minorHAnsi" w:cstheme="minorHAnsi"/>
          <w:iCs/>
        </w:rPr>
        <w:t>provider</w:t>
      </w:r>
      <w:r w:rsidRPr="00310B9F">
        <w:rPr>
          <w:rFonts w:asciiTheme="minorHAnsi" w:hAnsiTheme="minorHAnsi" w:cstheme="minorHAnsi"/>
        </w:rPr>
        <w:t xml:space="preserve"> is any CRICOS registered provider that is not exempt</w:t>
      </w:r>
      <w:r>
        <w:rPr>
          <w:rFonts w:asciiTheme="minorHAnsi" w:hAnsiTheme="minorHAnsi" w:cstheme="minorHAnsi"/>
        </w:rPr>
        <w:t xml:space="preserve">ed by the Minister under paragraph 12(b) of the Act from paying the risk rated premium component of the TPS levy. </w:t>
      </w:r>
    </w:p>
    <w:p w14:paraId="376C4576" w14:textId="77777777" w:rsidR="000A725D" w:rsidRDefault="000A725D" w:rsidP="000A725D">
      <w:pPr>
        <w:rPr>
          <w:rFonts w:ascii="Calibri" w:hAnsi="Calibri" w:cs="Calibri"/>
        </w:rPr>
      </w:pPr>
      <w:r>
        <w:rPr>
          <w:rFonts w:ascii="Calibri" w:hAnsi="Calibri" w:cs="Calibri"/>
        </w:rPr>
        <w:t xml:space="preserve">The Instrument specifies that the provider risk factors for the risk rated premium component include a base risk factor, length of operation, volatility in overseas student enrolments, maximum overseas source country concentration and non-compliance and registration renewal. </w:t>
      </w:r>
    </w:p>
    <w:p w14:paraId="4FB1858D" w14:textId="1BA91962" w:rsidR="000A725D" w:rsidRDefault="000A725D" w:rsidP="000A725D">
      <w:pPr>
        <w:rPr>
          <w:rFonts w:ascii="Calibri" w:hAnsi="Calibri" w:cs="Calibri"/>
        </w:rPr>
      </w:pPr>
      <w:r>
        <w:rPr>
          <w:rFonts w:ascii="Calibri" w:hAnsi="Calibri" w:cs="Calibri"/>
        </w:rPr>
        <w:t xml:space="preserve">The TPS Director has maintained the risk rated premium component in line with the settings of the 2024 TPS </w:t>
      </w:r>
      <w:r w:rsidR="00420E0F">
        <w:rPr>
          <w:rFonts w:ascii="Calibri" w:hAnsi="Calibri" w:cs="Calibri"/>
        </w:rPr>
        <w:t>l</w:t>
      </w:r>
      <w:r>
        <w:rPr>
          <w:rFonts w:ascii="Calibri" w:hAnsi="Calibri" w:cs="Calibri"/>
        </w:rPr>
        <w:t xml:space="preserve">evy. However, the TPS Director has ceased the temporary COVID-19 setting </w:t>
      </w:r>
      <w:r>
        <w:rPr>
          <w:rFonts w:ascii="Calibri" w:hAnsi="Calibri" w:cs="Calibri"/>
        </w:rPr>
        <w:lastRenderedPageBreak/>
        <w:t xml:space="preserve">that waived </w:t>
      </w:r>
      <w:r w:rsidR="00A9230D">
        <w:rPr>
          <w:rFonts w:ascii="Calibri" w:hAnsi="Calibri" w:cs="Calibri"/>
        </w:rPr>
        <w:t>increase factors</w:t>
      </w:r>
      <w:r>
        <w:rPr>
          <w:rFonts w:ascii="Calibri" w:hAnsi="Calibri" w:cs="Calibri"/>
        </w:rPr>
        <w:t xml:space="preserve"> for positive volatility (growth) in overseas student enrolments. The volatility in overseas student enrolments risk factor and the maximum overseas source country concentration risk factor will continue to be waived where overseas student enrolments are less than 20% of a provider’s total student enrolments. This will continue to benefit providers with a relatively small number of overseas students, better reflecting the lower associated risk profile. The TPS Director has kept the special tuition protection component at 0% as the Overseas Students Tuition Fund (the Fund) sits within the revised target range of $40 to $60 million.  </w:t>
      </w:r>
    </w:p>
    <w:p w14:paraId="5DCE9866" w14:textId="572542AD" w:rsidR="000A725D" w:rsidRDefault="000A725D" w:rsidP="000A725D">
      <w:pPr>
        <w:rPr>
          <w:rFonts w:ascii="Calibri" w:hAnsi="Calibri" w:cs="Calibri"/>
        </w:rPr>
      </w:pPr>
      <w:r w:rsidRPr="0057041B">
        <w:rPr>
          <w:rFonts w:ascii="Calibri" w:hAnsi="Calibri" w:cs="Calibri"/>
        </w:rPr>
        <w:t>With the international education sector potentially facing changes in 2025 due to the proposed National Planning Level (NPL) for new overseas student commencements (NOSC), along with recent identification of integrity issues in the sector, calls on the Fund may revert to medium-term levels. Acknowledging the risk and following advice from the Australian Government Actuary (AGA) and the TPS Advisory Board (the Board), the TPS Director has maintained the specified percentage for the risk rated premium component of 0.05%.</w:t>
      </w:r>
      <w:r>
        <w:rPr>
          <w:rFonts w:ascii="Calibri" w:hAnsi="Calibri" w:cs="Calibri"/>
        </w:rPr>
        <w:t xml:space="preserve"> </w:t>
      </w:r>
    </w:p>
    <w:p w14:paraId="59B95D97" w14:textId="77777777" w:rsidR="000A725D" w:rsidRPr="000E4EC3" w:rsidRDefault="000A725D" w:rsidP="000A725D">
      <w:pPr>
        <w:rPr>
          <w:rFonts w:ascii="Calibri" w:hAnsi="Calibri" w:cs="Calibri"/>
        </w:rPr>
      </w:pPr>
      <w:r w:rsidRPr="004C5A48">
        <w:rPr>
          <w:rFonts w:ascii="Calibri" w:hAnsi="Calibri" w:cs="Calibri"/>
        </w:rPr>
        <w:t>The Explanatory Memorandum</w:t>
      </w:r>
      <w:r w:rsidRPr="004C5A48">
        <w:rPr>
          <w:rFonts w:ascii="Calibri" w:hAnsi="Calibri" w:cs="Calibri"/>
          <w:i/>
        </w:rPr>
        <w:t xml:space="preserve"> </w:t>
      </w:r>
      <w:r w:rsidRPr="004C5A48">
        <w:rPr>
          <w:rFonts w:ascii="Calibri" w:hAnsi="Calibri" w:cs="Calibri"/>
        </w:rPr>
        <w:t xml:space="preserve">to the Act explains that the purpose of the special tuition protection component is to build additional insurance in the Fund. The Fund is currently within its </w:t>
      </w:r>
      <w:r w:rsidRPr="008B4700">
        <w:rPr>
          <w:rFonts w:ascii="Calibri" w:hAnsi="Calibri" w:cs="Calibri"/>
        </w:rPr>
        <w:t xml:space="preserve">revised </w:t>
      </w:r>
      <w:r w:rsidRPr="004C5A48">
        <w:rPr>
          <w:rFonts w:ascii="Calibri" w:hAnsi="Calibri" w:cs="Calibri"/>
        </w:rPr>
        <w:t>target range and therefore the TPS Director considers it is not necessary to impose a value for the special tuition protection component.</w:t>
      </w:r>
    </w:p>
    <w:p w14:paraId="090FDE65" w14:textId="5D065C21" w:rsidR="000A725D" w:rsidRPr="008134D5" w:rsidRDefault="000A725D" w:rsidP="008D5531">
      <w:pPr>
        <w:rPr>
          <w:rFonts w:asciiTheme="minorHAnsi" w:hAnsiTheme="minorHAnsi" w:cstheme="minorHAnsi"/>
          <w:szCs w:val="24"/>
        </w:rPr>
      </w:pPr>
      <w:r>
        <w:rPr>
          <w:rFonts w:ascii="Calibri" w:hAnsi="Calibri" w:cs="Calibri"/>
        </w:rPr>
        <w:t xml:space="preserve">Subsection 11(4) of the Act provides that, before the TPS Director makes a legislative instrument setting the risk rated premium and special tuition protection components for the TPS levy, the Treasurer must approve the legislative instrument in writing. The Treasurer approved the Instrument on </w:t>
      </w:r>
      <w:r w:rsidR="00B33E19">
        <w:rPr>
          <w:rFonts w:ascii="Calibri" w:hAnsi="Calibri" w:cs="Calibri"/>
        </w:rPr>
        <w:t>16 December2024</w:t>
      </w:r>
      <w:r>
        <w:rPr>
          <w:rFonts w:ascii="Calibri" w:hAnsi="Calibri" w:cs="Calibri"/>
        </w:rPr>
        <w:t>.</w:t>
      </w:r>
    </w:p>
    <w:p w14:paraId="49260F1F" w14:textId="77777777"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246209A" w14:textId="77777777" w:rsidR="002E5B40" w:rsidRPr="001E52EB" w:rsidRDefault="002E5B40" w:rsidP="002E5B40">
      <w:pPr>
        <w:spacing w:before="120" w:after="120"/>
        <w:rPr>
          <w:rFonts w:asciiTheme="minorHAnsi" w:hAnsiTheme="minorHAnsi" w:cstheme="minorHAnsi"/>
          <w:szCs w:val="24"/>
          <w:u w:val="single"/>
        </w:rPr>
      </w:pPr>
      <w:r w:rsidRPr="00D00701">
        <w:rPr>
          <w:rFonts w:asciiTheme="minorHAnsi" w:hAnsiTheme="minorHAnsi" w:cstheme="minorHAnsi"/>
          <w:szCs w:val="24"/>
          <w:u w:val="single"/>
        </w:rPr>
        <w:t>Right to education</w:t>
      </w:r>
    </w:p>
    <w:p w14:paraId="175D7CDA" w14:textId="331CAEF7" w:rsidR="002E5B40" w:rsidRPr="00D00701" w:rsidRDefault="002E5B40" w:rsidP="002E5B40">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Th</w:t>
      </w:r>
      <w:r>
        <w:rPr>
          <w:rFonts w:asciiTheme="minorHAnsi" w:hAnsiTheme="minorHAnsi" w:cstheme="minorHAnsi"/>
        </w:rPr>
        <w:t>e</w:t>
      </w:r>
      <w:r w:rsidRPr="00D00701">
        <w:rPr>
          <w:rFonts w:asciiTheme="minorHAnsi" w:hAnsiTheme="minorHAnsi" w:cstheme="minorHAnsi"/>
        </w:rPr>
        <w:t xml:space="preserve"> Instrument </w:t>
      </w:r>
      <w:r w:rsidR="0058221D">
        <w:rPr>
          <w:rFonts w:asciiTheme="minorHAnsi" w:hAnsiTheme="minorHAnsi" w:cstheme="minorHAnsi"/>
        </w:rPr>
        <w:t>promotes</w:t>
      </w:r>
      <w:r w:rsidR="0058221D" w:rsidRPr="00D00701">
        <w:rPr>
          <w:rFonts w:asciiTheme="minorHAnsi" w:hAnsiTheme="minorHAnsi" w:cstheme="minorHAnsi"/>
        </w:rPr>
        <w:t xml:space="preserve"> </w:t>
      </w:r>
      <w:r w:rsidRPr="00D00701">
        <w:rPr>
          <w:rFonts w:asciiTheme="minorHAnsi" w:hAnsiTheme="minorHAnsi" w:cstheme="minorHAnsi"/>
        </w:rPr>
        <w:t xml:space="preserve">the right to education, contained in Article 13 of </w:t>
      </w:r>
      <w:r w:rsidRPr="00D00701">
        <w:rPr>
          <w:rFonts w:asciiTheme="minorHAnsi" w:hAnsiTheme="minorHAnsi" w:cstheme="minorHAnsi"/>
          <w:i/>
        </w:rPr>
        <w:t>the International Covenant on Economic, Social, and Cultural Rights</w:t>
      </w:r>
      <w:r w:rsidRPr="00D00701">
        <w:rPr>
          <w:rFonts w:asciiTheme="minorHAnsi" w:hAnsiTheme="minorHAnsi" w:cstheme="minorHAnsi"/>
        </w:rPr>
        <w:t>, insofar as it relates to the provision of high</w:t>
      </w:r>
      <w:r>
        <w:rPr>
          <w:rFonts w:asciiTheme="minorHAnsi" w:hAnsiTheme="minorHAnsi" w:cstheme="minorHAnsi"/>
        </w:rPr>
        <w:t>-</w:t>
      </w:r>
      <w:r w:rsidRPr="00D00701">
        <w:rPr>
          <w:rFonts w:asciiTheme="minorHAnsi" w:hAnsiTheme="minorHAnsi" w:cstheme="minorHAnsi"/>
        </w:rPr>
        <w:t xml:space="preserve">quality education services to </w:t>
      </w:r>
      <w:r w:rsidR="00604725">
        <w:rPr>
          <w:rFonts w:asciiTheme="minorHAnsi" w:hAnsiTheme="minorHAnsi" w:cstheme="minorHAnsi"/>
        </w:rPr>
        <w:t>overseas</w:t>
      </w:r>
      <w:r w:rsidRPr="00D00701">
        <w:rPr>
          <w:rFonts w:asciiTheme="minorHAnsi" w:hAnsiTheme="minorHAnsi" w:cstheme="minorHAnsi"/>
        </w:rPr>
        <w:t xml:space="preserve"> students by education service providers registered under the </w:t>
      </w:r>
      <w:r w:rsidRPr="00D00701">
        <w:rPr>
          <w:rFonts w:asciiTheme="minorHAnsi" w:hAnsiTheme="minorHAnsi" w:cstheme="minorHAnsi"/>
          <w:i/>
        </w:rPr>
        <w:t>Education Services for Overseas Students Act 2000</w:t>
      </w:r>
      <w:r w:rsidRPr="00D00701">
        <w:rPr>
          <w:rFonts w:asciiTheme="minorHAnsi" w:hAnsiTheme="minorHAnsi" w:cstheme="minorHAnsi"/>
        </w:rPr>
        <w:t xml:space="preserve">. </w:t>
      </w:r>
    </w:p>
    <w:p w14:paraId="1BC3C967" w14:textId="7629F1EC" w:rsidR="002E5B40" w:rsidRPr="00D00701" w:rsidRDefault="002E5B40" w:rsidP="002E5B40">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 xml:space="preserve">The Australian Government has overarching responsibility for protecting the reputation of Australia’s education and training industry and supports the capacity of the international education industry to provide high quality education and training services. </w:t>
      </w:r>
    </w:p>
    <w:p w14:paraId="41123AC7" w14:textId="166F8390" w:rsidR="002E5B40" w:rsidRDefault="002E5B40" w:rsidP="002E5B40">
      <w:pPr>
        <w:rPr>
          <w:rFonts w:asciiTheme="minorHAnsi" w:hAnsiTheme="minorHAnsi" w:cstheme="minorHAnsi"/>
        </w:rPr>
      </w:pPr>
      <w:r w:rsidRPr="00D00701">
        <w:rPr>
          <w:rFonts w:asciiTheme="minorHAnsi" w:hAnsiTheme="minorHAnsi" w:cstheme="minorHAnsi"/>
        </w:rPr>
        <w:t xml:space="preserve">The Instrument </w:t>
      </w:r>
      <w:r w:rsidR="00746348">
        <w:rPr>
          <w:rFonts w:asciiTheme="minorHAnsi" w:hAnsiTheme="minorHAnsi" w:cstheme="minorHAnsi"/>
        </w:rPr>
        <w:t xml:space="preserve">assists </w:t>
      </w:r>
      <w:r w:rsidRPr="00D00701">
        <w:rPr>
          <w:rFonts w:asciiTheme="minorHAnsi" w:hAnsiTheme="minorHAnsi" w:cstheme="minorHAnsi"/>
        </w:rPr>
        <w:t xml:space="preserve">the TPS Director </w:t>
      </w:r>
      <w:r w:rsidR="00746348">
        <w:rPr>
          <w:rFonts w:asciiTheme="minorHAnsi" w:hAnsiTheme="minorHAnsi" w:cstheme="minorHAnsi"/>
        </w:rPr>
        <w:t>to</w:t>
      </w:r>
      <w:r>
        <w:rPr>
          <w:rFonts w:asciiTheme="minorHAnsi" w:hAnsiTheme="minorHAnsi" w:cstheme="minorHAnsi"/>
        </w:rPr>
        <w:t xml:space="preserve"> manag</w:t>
      </w:r>
      <w:r w:rsidR="00746348">
        <w:rPr>
          <w:rFonts w:asciiTheme="minorHAnsi" w:hAnsiTheme="minorHAnsi" w:cstheme="minorHAnsi"/>
        </w:rPr>
        <w:t>e</w:t>
      </w:r>
      <w:r>
        <w:rPr>
          <w:rFonts w:asciiTheme="minorHAnsi" w:hAnsiTheme="minorHAnsi" w:cstheme="minorHAnsi"/>
        </w:rPr>
        <w:t xml:space="preserve"> </w:t>
      </w:r>
      <w:r w:rsidR="00C6562E">
        <w:rPr>
          <w:rFonts w:asciiTheme="minorHAnsi" w:hAnsiTheme="minorHAnsi" w:cstheme="minorHAnsi"/>
        </w:rPr>
        <w:t xml:space="preserve">the </w:t>
      </w:r>
      <w:r>
        <w:rPr>
          <w:rFonts w:asciiTheme="minorHAnsi" w:hAnsiTheme="minorHAnsi" w:cstheme="minorHAnsi"/>
        </w:rPr>
        <w:t xml:space="preserve">Fund </w:t>
      </w:r>
      <w:r w:rsidR="00746348">
        <w:rPr>
          <w:rFonts w:asciiTheme="minorHAnsi" w:hAnsiTheme="minorHAnsi" w:cstheme="minorHAnsi"/>
        </w:rPr>
        <w:t>and</w:t>
      </w:r>
      <w:r w:rsidR="007F124E">
        <w:rPr>
          <w:rFonts w:asciiTheme="minorHAnsi" w:hAnsiTheme="minorHAnsi" w:cstheme="minorHAnsi"/>
        </w:rPr>
        <w:t xml:space="preserve"> ensure</w:t>
      </w:r>
      <w:r>
        <w:rPr>
          <w:rFonts w:asciiTheme="minorHAnsi" w:hAnsiTheme="minorHAnsi" w:cstheme="minorHAnsi"/>
        </w:rPr>
        <w:t xml:space="preserve"> that sufficient funds are credited to the Fund. The Fund supports the TPS framework, which </w:t>
      </w:r>
      <w:r w:rsidR="00973BC7">
        <w:rPr>
          <w:rFonts w:asciiTheme="minorHAnsi" w:hAnsiTheme="minorHAnsi" w:cstheme="minorHAnsi"/>
        </w:rPr>
        <w:t>assists</w:t>
      </w:r>
      <w:r>
        <w:rPr>
          <w:rFonts w:asciiTheme="minorHAnsi" w:hAnsiTheme="minorHAnsi" w:cstheme="minorHAnsi"/>
        </w:rPr>
        <w:t xml:space="preserve"> </w:t>
      </w:r>
      <w:r w:rsidR="00604725">
        <w:rPr>
          <w:rFonts w:asciiTheme="minorHAnsi" w:hAnsiTheme="minorHAnsi" w:cstheme="minorHAnsi"/>
        </w:rPr>
        <w:t>overseas</w:t>
      </w:r>
      <w:r>
        <w:rPr>
          <w:rFonts w:asciiTheme="minorHAnsi" w:hAnsiTheme="minorHAnsi" w:cstheme="minorHAnsi"/>
        </w:rPr>
        <w:t xml:space="preserve"> students by placing </w:t>
      </w:r>
      <w:r w:rsidR="00FC5557">
        <w:rPr>
          <w:rFonts w:asciiTheme="minorHAnsi" w:hAnsiTheme="minorHAnsi" w:cstheme="minorHAnsi"/>
        </w:rPr>
        <w:t>them</w:t>
      </w:r>
      <w:r>
        <w:rPr>
          <w:rFonts w:asciiTheme="minorHAnsi" w:hAnsiTheme="minorHAnsi" w:cstheme="minorHAnsi"/>
        </w:rPr>
        <w:t xml:space="preserve"> in alternative courses of study or providing refunds</w:t>
      </w:r>
      <w:r w:rsidR="00730923">
        <w:rPr>
          <w:rFonts w:asciiTheme="minorHAnsi" w:hAnsiTheme="minorHAnsi" w:cstheme="minorHAnsi"/>
        </w:rPr>
        <w:t xml:space="preserve"> in the event of </w:t>
      </w:r>
      <w:r w:rsidR="00B8492D">
        <w:rPr>
          <w:rFonts w:asciiTheme="minorHAnsi" w:hAnsiTheme="minorHAnsi" w:cstheme="minorHAnsi"/>
        </w:rPr>
        <w:t>a provider default</w:t>
      </w:r>
      <w:r w:rsidR="0094144D">
        <w:rPr>
          <w:rFonts w:asciiTheme="minorHAnsi" w:hAnsiTheme="minorHAnsi" w:cstheme="minorHAnsi"/>
        </w:rPr>
        <w:t xml:space="preserve"> (</w:t>
      </w:r>
      <w:r w:rsidR="008566AB">
        <w:rPr>
          <w:rFonts w:asciiTheme="minorHAnsi" w:hAnsiTheme="minorHAnsi" w:cstheme="minorHAnsi"/>
        </w:rPr>
        <w:t>that is,</w:t>
      </w:r>
      <w:r w:rsidR="0094144D">
        <w:rPr>
          <w:rFonts w:asciiTheme="minorHAnsi" w:hAnsiTheme="minorHAnsi" w:cstheme="minorHAnsi"/>
        </w:rPr>
        <w:t xml:space="preserve"> the provider is unable to continue to provide the course to the student)</w:t>
      </w:r>
      <w:r>
        <w:rPr>
          <w:rFonts w:asciiTheme="minorHAnsi" w:hAnsiTheme="minorHAnsi" w:cstheme="minorHAnsi"/>
        </w:rPr>
        <w:t xml:space="preserve">. The management of the balance of the Fund will ensure that the Fund remains </w:t>
      </w:r>
      <w:r>
        <w:rPr>
          <w:rFonts w:asciiTheme="minorHAnsi" w:hAnsiTheme="minorHAnsi" w:cstheme="minorHAnsi"/>
        </w:rPr>
        <w:lastRenderedPageBreak/>
        <w:t xml:space="preserve">within the </w:t>
      </w:r>
      <w:r w:rsidR="00C606AB">
        <w:rPr>
          <w:rFonts w:asciiTheme="minorHAnsi" w:hAnsiTheme="minorHAnsi" w:cstheme="minorHAnsi"/>
        </w:rPr>
        <w:t>revised</w:t>
      </w:r>
      <w:r>
        <w:rPr>
          <w:rFonts w:asciiTheme="minorHAnsi" w:hAnsiTheme="minorHAnsi" w:cstheme="minorHAnsi"/>
        </w:rPr>
        <w:t xml:space="preserve"> target range of $</w:t>
      </w:r>
      <w:r w:rsidR="00C606AB">
        <w:rPr>
          <w:rFonts w:asciiTheme="minorHAnsi" w:hAnsiTheme="minorHAnsi" w:cstheme="minorHAnsi"/>
        </w:rPr>
        <w:t>40</w:t>
      </w:r>
      <w:r>
        <w:rPr>
          <w:rFonts w:asciiTheme="minorHAnsi" w:hAnsiTheme="minorHAnsi" w:cstheme="minorHAnsi"/>
        </w:rPr>
        <w:t xml:space="preserve"> million to $60 million </w:t>
      </w:r>
      <w:r w:rsidR="00B12630">
        <w:rPr>
          <w:rFonts w:asciiTheme="minorHAnsi" w:hAnsiTheme="minorHAnsi" w:cstheme="minorHAnsi"/>
        </w:rPr>
        <w:t xml:space="preserve">as </w:t>
      </w:r>
      <w:r>
        <w:rPr>
          <w:rFonts w:asciiTheme="minorHAnsi" w:hAnsiTheme="minorHAnsi" w:cstheme="minorHAnsi"/>
        </w:rPr>
        <w:t xml:space="preserve">recommended by the </w:t>
      </w:r>
      <w:r w:rsidR="00AA6C1F">
        <w:rPr>
          <w:rFonts w:asciiTheme="minorHAnsi" w:hAnsiTheme="minorHAnsi" w:cstheme="minorHAnsi"/>
        </w:rPr>
        <w:t>AGA</w:t>
      </w:r>
      <w:r w:rsidR="00730923" w:rsidRPr="00730923">
        <w:rPr>
          <w:rFonts w:asciiTheme="minorHAnsi" w:hAnsiTheme="minorHAnsi" w:cstheme="minorHAnsi"/>
        </w:rPr>
        <w:t xml:space="preserve"> </w:t>
      </w:r>
      <w:r>
        <w:rPr>
          <w:rFonts w:asciiTheme="minorHAnsi" w:hAnsiTheme="minorHAnsi" w:cstheme="minorHAnsi"/>
        </w:rPr>
        <w:t xml:space="preserve">and endorsed by the Board. </w:t>
      </w:r>
    </w:p>
    <w:p w14:paraId="531ECAED" w14:textId="77777777"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5F5BCEEC" w14:textId="6E711AE9" w:rsidR="002E5B40" w:rsidRPr="008134D5" w:rsidRDefault="002E5B40" w:rsidP="002E5B40">
      <w:pPr>
        <w:spacing w:before="120" w:after="120"/>
        <w:rPr>
          <w:rFonts w:asciiTheme="minorHAnsi" w:hAnsiTheme="minorHAnsi" w:cstheme="minorHAnsi"/>
          <w:szCs w:val="24"/>
        </w:rPr>
      </w:pPr>
      <w:r w:rsidRPr="00D00701">
        <w:rPr>
          <w:rFonts w:asciiTheme="minorHAnsi" w:hAnsiTheme="minorHAnsi" w:cstheme="minorHAnsi"/>
          <w:szCs w:val="24"/>
        </w:rPr>
        <w:t xml:space="preserve">The Instrument is compatible with human rights because it </w:t>
      </w:r>
      <w:r w:rsidR="00730923">
        <w:rPr>
          <w:rFonts w:asciiTheme="minorHAnsi" w:hAnsiTheme="minorHAnsi" w:cstheme="minorHAnsi"/>
          <w:szCs w:val="24"/>
        </w:rPr>
        <w:t>promotes</w:t>
      </w:r>
      <w:r>
        <w:rPr>
          <w:rFonts w:asciiTheme="minorHAnsi" w:hAnsiTheme="minorHAnsi" w:cstheme="minorHAnsi"/>
          <w:szCs w:val="24"/>
        </w:rPr>
        <w:t xml:space="preserve"> the right to education.</w:t>
      </w:r>
      <w:r w:rsidRPr="008134D5">
        <w:rPr>
          <w:rFonts w:asciiTheme="minorHAnsi" w:hAnsiTheme="minorHAnsi" w:cstheme="minorHAnsi"/>
          <w:szCs w:val="24"/>
        </w:rPr>
        <w:t xml:space="preserve"> </w:t>
      </w:r>
    </w:p>
    <w:p w14:paraId="675A23D7" w14:textId="78523C9E" w:rsidR="002E5B40" w:rsidRDefault="001F7EEC" w:rsidP="002E5B40">
      <w:pPr>
        <w:spacing w:before="120" w:after="120"/>
        <w:jc w:val="center"/>
        <w:rPr>
          <w:rFonts w:asciiTheme="minorHAnsi" w:hAnsiTheme="minorHAnsi" w:cstheme="minorHAnsi"/>
          <w:b/>
          <w:szCs w:val="24"/>
        </w:rPr>
        <w:sectPr w:rsidR="002E5B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Pr>
          <w:rFonts w:asciiTheme="minorHAnsi" w:hAnsiTheme="minorHAnsi" w:cstheme="minorHAnsi"/>
          <w:b/>
          <w:szCs w:val="24"/>
        </w:rPr>
        <w:t xml:space="preserve">Melinda Hatton, </w:t>
      </w:r>
      <w:r w:rsidR="002E5B40">
        <w:rPr>
          <w:rFonts w:asciiTheme="minorHAnsi" w:hAnsiTheme="minorHAnsi" w:cstheme="minorHAnsi"/>
          <w:b/>
          <w:szCs w:val="24"/>
        </w:rPr>
        <w:t>TPS Director</w:t>
      </w:r>
    </w:p>
    <w:p w14:paraId="1D93C346" w14:textId="3DC5DAED" w:rsidR="002E5B40" w:rsidRPr="001E52EB" w:rsidRDefault="002E5B40" w:rsidP="002E5B40">
      <w:pPr>
        <w:jc w:val="center"/>
        <w:rPr>
          <w:rFonts w:asciiTheme="minorHAnsi" w:hAnsiTheme="minorHAnsi" w:cstheme="minorHAnsi"/>
          <w:b/>
          <w:szCs w:val="24"/>
          <w:highlight w:val="yellow"/>
        </w:rPr>
      </w:pPr>
      <w:r w:rsidRPr="00D00701">
        <w:rPr>
          <w:rFonts w:asciiTheme="minorHAnsi" w:hAnsiTheme="minorHAnsi" w:cstheme="minorHAnsi"/>
          <w:b/>
          <w:szCs w:val="24"/>
        </w:rPr>
        <w:lastRenderedPageBreak/>
        <w:t xml:space="preserve">EDUCATION SERVICES FOR OVERSEAS STUDENTS (TPS LEVIES) (RISK RATED PREMIUM AND SPECIAL TUITION PROTECTION COMPONENTS) INSTRUMENT </w:t>
      </w:r>
      <w:r w:rsidR="000544A1">
        <w:rPr>
          <w:rFonts w:asciiTheme="minorHAnsi" w:hAnsiTheme="minorHAnsi" w:cstheme="minorHAnsi"/>
          <w:b/>
          <w:szCs w:val="24"/>
        </w:rPr>
        <w:t>202</w:t>
      </w:r>
      <w:r w:rsidR="00F81E8C">
        <w:rPr>
          <w:rFonts w:asciiTheme="minorHAnsi" w:hAnsiTheme="minorHAnsi" w:cstheme="minorHAnsi"/>
          <w:b/>
          <w:szCs w:val="24"/>
        </w:rPr>
        <w:t>4</w:t>
      </w:r>
    </w:p>
    <w:p w14:paraId="48B71578" w14:textId="77777777" w:rsidR="002E5B40" w:rsidRPr="008134D5" w:rsidRDefault="002E5B40" w:rsidP="002E5B40">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32BF698C" w14:textId="77777777" w:rsidR="002E5B40" w:rsidRDefault="002E5B40" w:rsidP="002E5B40">
      <w:pPr>
        <w:keepNext/>
        <w:rPr>
          <w:rFonts w:asciiTheme="minorHAnsi" w:hAnsiTheme="minorHAnsi" w:cstheme="minorHAnsi"/>
          <w:b/>
        </w:rPr>
      </w:pPr>
      <w:r>
        <w:rPr>
          <w:rFonts w:asciiTheme="minorHAnsi" w:hAnsiTheme="minorHAnsi" w:cstheme="minorHAnsi"/>
          <w:b/>
        </w:rPr>
        <w:t>PART 1</w:t>
      </w:r>
      <w:r w:rsidRPr="005454BF">
        <w:rPr>
          <w:rFonts w:asciiTheme="minorHAnsi" w:hAnsiTheme="minorHAnsi" w:cstheme="minorHAnsi"/>
          <w:b/>
        </w:rPr>
        <w:t>—</w:t>
      </w:r>
      <w:r>
        <w:rPr>
          <w:rFonts w:asciiTheme="minorHAnsi" w:hAnsiTheme="minorHAnsi" w:cstheme="minorHAnsi"/>
          <w:b/>
        </w:rPr>
        <w:t>INTRODUCTION</w:t>
      </w:r>
    </w:p>
    <w:p w14:paraId="7440E83D" w14:textId="77777777" w:rsidR="002E5B40" w:rsidRPr="008134D5" w:rsidRDefault="002E5B40" w:rsidP="00293E3F">
      <w:pPr>
        <w:keepNext/>
        <w:spacing w:before="360" w:after="120"/>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791A57D4" w14:textId="62C39162" w:rsidR="002E5B40" w:rsidRPr="00BF7821" w:rsidRDefault="002E5B40" w:rsidP="002E5B40">
      <w:pPr>
        <w:pStyle w:val="ListParagraph"/>
        <w:numPr>
          <w:ilvl w:val="0"/>
          <w:numId w:val="2"/>
        </w:numPr>
        <w:spacing w:before="360" w:after="120"/>
        <w:rPr>
          <w:rFonts w:asciiTheme="minorHAnsi" w:hAnsiTheme="minorHAnsi" w:cstheme="minorHAnsi"/>
          <w:szCs w:val="24"/>
        </w:rPr>
      </w:pPr>
      <w:r>
        <w:rPr>
          <w:rFonts w:asciiTheme="minorHAnsi" w:hAnsiTheme="minorHAnsi" w:cstheme="minorHAnsi"/>
          <w:szCs w:val="24"/>
        </w:rPr>
        <w:t xml:space="preserve">This </w:t>
      </w:r>
      <w:r w:rsidR="000B1844">
        <w:rPr>
          <w:rFonts w:asciiTheme="minorHAnsi" w:hAnsiTheme="minorHAnsi" w:cstheme="minorHAnsi"/>
          <w:szCs w:val="24"/>
        </w:rPr>
        <w:t>is a formal provision specifying</w:t>
      </w:r>
      <w:r>
        <w:rPr>
          <w:rFonts w:asciiTheme="minorHAnsi" w:hAnsiTheme="minorHAnsi" w:cstheme="minorHAnsi"/>
          <w:szCs w:val="24"/>
        </w:rPr>
        <w:t xml:space="preserve"> </w:t>
      </w:r>
      <w:r w:rsidR="00911D31">
        <w:rPr>
          <w:rFonts w:asciiTheme="minorHAnsi" w:hAnsiTheme="minorHAnsi" w:cstheme="minorHAnsi"/>
          <w:szCs w:val="24"/>
        </w:rPr>
        <w:t xml:space="preserve">that </w:t>
      </w:r>
      <w:r>
        <w:rPr>
          <w:rFonts w:asciiTheme="minorHAnsi" w:hAnsiTheme="minorHAnsi" w:cstheme="minorHAnsi"/>
          <w:szCs w:val="24"/>
        </w:rPr>
        <w:t>the name of the instrument</w:t>
      </w:r>
      <w:r w:rsidR="00911D31">
        <w:rPr>
          <w:rFonts w:asciiTheme="minorHAnsi" w:hAnsiTheme="minorHAnsi" w:cstheme="minorHAnsi"/>
          <w:szCs w:val="24"/>
        </w:rPr>
        <w:t xml:space="preserve"> is the</w:t>
      </w:r>
      <w:r w:rsidR="00F94015">
        <w:rPr>
          <w:rFonts w:asciiTheme="minorHAnsi" w:hAnsiTheme="minorHAnsi" w:cstheme="minorHAnsi"/>
          <w:szCs w:val="24"/>
        </w:rPr>
        <w:t xml:space="preserve"> </w:t>
      </w:r>
      <w:r w:rsidRPr="000233C5">
        <w:rPr>
          <w:rFonts w:asciiTheme="minorHAnsi" w:hAnsiTheme="minorHAnsi" w:cstheme="minorHAnsi"/>
          <w:i/>
          <w:iCs/>
          <w:szCs w:val="24"/>
        </w:rPr>
        <w:t xml:space="preserve">Education Services for Overseas Students (TPS Levies) (Risk Rated Premium and Special Tuition Protection Components) </w:t>
      </w:r>
      <w:r w:rsidRPr="00BF7821">
        <w:rPr>
          <w:rFonts w:asciiTheme="minorHAnsi" w:hAnsiTheme="minorHAnsi" w:cstheme="minorHAnsi"/>
          <w:i/>
          <w:iCs/>
          <w:szCs w:val="24"/>
        </w:rPr>
        <w:t xml:space="preserve">Instrument </w:t>
      </w:r>
      <w:r w:rsidR="000544A1" w:rsidRPr="00BF7821">
        <w:rPr>
          <w:rFonts w:asciiTheme="minorHAnsi" w:hAnsiTheme="minorHAnsi" w:cstheme="minorHAnsi"/>
          <w:i/>
          <w:iCs/>
          <w:szCs w:val="24"/>
        </w:rPr>
        <w:t>202</w:t>
      </w:r>
      <w:r w:rsidR="00502987">
        <w:rPr>
          <w:rFonts w:asciiTheme="minorHAnsi" w:hAnsiTheme="minorHAnsi" w:cstheme="minorHAnsi"/>
          <w:i/>
          <w:iCs/>
          <w:szCs w:val="24"/>
        </w:rPr>
        <w:t>4</w:t>
      </w:r>
      <w:r w:rsidR="000544A1" w:rsidRPr="00BF7821">
        <w:rPr>
          <w:rFonts w:asciiTheme="minorHAnsi" w:hAnsiTheme="minorHAnsi" w:cstheme="minorHAnsi"/>
          <w:i/>
          <w:iCs/>
          <w:szCs w:val="24"/>
        </w:rPr>
        <w:t xml:space="preserve"> </w:t>
      </w:r>
      <w:r w:rsidRPr="00BF7821">
        <w:rPr>
          <w:rFonts w:asciiTheme="minorHAnsi" w:hAnsiTheme="minorHAnsi" w:cstheme="minorHAnsi"/>
          <w:szCs w:val="24"/>
        </w:rPr>
        <w:t>(the Instrument).</w:t>
      </w:r>
    </w:p>
    <w:p w14:paraId="02A860F9" w14:textId="77777777" w:rsidR="002E5B40" w:rsidRPr="00BF7821" w:rsidRDefault="002E5B40" w:rsidP="00293E3F">
      <w:pPr>
        <w:keepNext/>
        <w:spacing w:before="360" w:after="120"/>
        <w:rPr>
          <w:rFonts w:asciiTheme="minorHAnsi" w:hAnsiTheme="minorHAnsi" w:cstheme="minorHAnsi"/>
          <w:b/>
          <w:u w:val="single"/>
        </w:rPr>
      </w:pPr>
      <w:r w:rsidRPr="00BF7821">
        <w:rPr>
          <w:rFonts w:asciiTheme="minorHAnsi" w:hAnsiTheme="minorHAnsi" w:cstheme="minorHAnsi"/>
          <w:b/>
          <w:u w:val="single"/>
        </w:rPr>
        <w:t>Section 2: Commencement</w:t>
      </w:r>
    </w:p>
    <w:p w14:paraId="109CD4CD" w14:textId="3FC38686" w:rsidR="002E5B40" w:rsidRPr="00BF7821" w:rsidRDefault="002E5B40" w:rsidP="002E5B40">
      <w:pPr>
        <w:pStyle w:val="ListParagraph"/>
        <w:keepNext/>
        <w:numPr>
          <w:ilvl w:val="0"/>
          <w:numId w:val="2"/>
        </w:numPr>
        <w:spacing w:before="360" w:after="120"/>
        <w:rPr>
          <w:rFonts w:asciiTheme="minorHAnsi" w:hAnsiTheme="minorHAnsi" w:cstheme="minorHAnsi"/>
          <w:iCs/>
          <w:color w:val="FF0000"/>
        </w:rPr>
      </w:pPr>
      <w:r w:rsidRPr="00BF7821">
        <w:rPr>
          <w:rFonts w:asciiTheme="minorHAnsi" w:hAnsiTheme="minorHAnsi" w:cstheme="minorHAnsi"/>
          <w:iCs/>
        </w:rPr>
        <w:t xml:space="preserve">This section sets out the commencement dates of the Instrument. Parts 1 to 3 of the Instrument commence on 31 December </w:t>
      </w:r>
      <w:r w:rsidR="00FA4279" w:rsidRPr="00BF7821">
        <w:rPr>
          <w:rFonts w:asciiTheme="minorHAnsi" w:hAnsiTheme="minorHAnsi" w:cstheme="minorHAnsi"/>
          <w:iCs/>
        </w:rPr>
        <w:t>202</w:t>
      </w:r>
      <w:r w:rsidR="00502987">
        <w:rPr>
          <w:rFonts w:asciiTheme="minorHAnsi" w:hAnsiTheme="minorHAnsi" w:cstheme="minorHAnsi"/>
          <w:iCs/>
        </w:rPr>
        <w:t>4</w:t>
      </w:r>
      <w:r w:rsidRPr="00BF7821">
        <w:rPr>
          <w:rFonts w:asciiTheme="minorHAnsi" w:hAnsiTheme="minorHAnsi" w:cstheme="minorHAnsi"/>
          <w:iCs/>
        </w:rPr>
        <w:t xml:space="preserve"> and Schedule 1 of the Instrument, which repeals the </w:t>
      </w:r>
      <w:r w:rsidRPr="00BF7821">
        <w:rPr>
          <w:rFonts w:asciiTheme="minorHAnsi" w:hAnsiTheme="minorHAnsi" w:cstheme="minorHAnsi"/>
          <w:i/>
          <w:iCs/>
        </w:rPr>
        <w:t>Education Services for Overseas Students (TPS Levies) (Risk Rated Premium and Special Tuition Protection Components) Instrument</w:t>
      </w:r>
      <w:r w:rsidR="00937237" w:rsidRPr="00BF7821">
        <w:rPr>
          <w:rFonts w:asciiTheme="minorHAnsi" w:hAnsiTheme="minorHAnsi" w:cstheme="minorHAnsi"/>
          <w:i/>
          <w:iCs/>
        </w:rPr>
        <w:t xml:space="preserve"> </w:t>
      </w:r>
      <w:r w:rsidR="00FA4279" w:rsidRPr="00BF7821">
        <w:rPr>
          <w:rFonts w:asciiTheme="minorHAnsi" w:hAnsiTheme="minorHAnsi" w:cstheme="minorHAnsi"/>
          <w:i/>
          <w:iCs/>
        </w:rPr>
        <w:t>202</w:t>
      </w:r>
      <w:r w:rsidR="002B25CF">
        <w:rPr>
          <w:rFonts w:asciiTheme="minorHAnsi" w:hAnsiTheme="minorHAnsi" w:cstheme="minorHAnsi"/>
          <w:i/>
          <w:iCs/>
        </w:rPr>
        <w:t>3</w:t>
      </w:r>
      <w:r w:rsidRPr="00BF7821">
        <w:rPr>
          <w:rFonts w:asciiTheme="minorHAnsi" w:hAnsiTheme="minorHAnsi" w:cstheme="minorHAnsi"/>
          <w:iCs/>
        </w:rPr>
        <w:t xml:space="preserve"> </w:t>
      </w:r>
      <w:r w:rsidRPr="00BF7821">
        <w:rPr>
          <w:rFonts w:asciiTheme="minorHAnsi" w:hAnsiTheme="minorHAnsi" w:cstheme="minorHAnsi"/>
          <w:bCs/>
          <w:iCs/>
        </w:rPr>
        <w:t>(the Former Instrument)</w:t>
      </w:r>
      <w:r w:rsidRPr="00BF7821">
        <w:rPr>
          <w:rFonts w:asciiTheme="minorHAnsi" w:hAnsiTheme="minorHAnsi" w:cstheme="minorHAnsi"/>
          <w:b/>
          <w:iCs/>
        </w:rPr>
        <w:t xml:space="preserve"> </w:t>
      </w:r>
      <w:r w:rsidRPr="00BF7821">
        <w:rPr>
          <w:rFonts w:asciiTheme="minorHAnsi" w:hAnsiTheme="minorHAnsi" w:cstheme="minorHAnsi"/>
          <w:iCs/>
        </w:rPr>
        <w:t xml:space="preserve">commences on 1 January </w:t>
      </w:r>
      <w:r w:rsidR="00FA4279" w:rsidRPr="00BF7821">
        <w:rPr>
          <w:rFonts w:asciiTheme="minorHAnsi" w:hAnsiTheme="minorHAnsi" w:cstheme="minorHAnsi"/>
          <w:iCs/>
        </w:rPr>
        <w:t>202</w:t>
      </w:r>
      <w:r w:rsidR="00502987">
        <w:rPr>
          <w:rFonts w:asciiTheme="minorHAnsi" w:hAnsiTheme="minorHAnsi" w:cstheme="minorHAnsi"/>
          <w:iCs/>
        </w:rPr>
        <w:t>5</w:t>
      </w:r>
      <w:r w:rsidRPr="00BF7821">
        <w:rPr>
          <w:rFonts w:asciiTheme="minorHAnsi" w:hAnsiTheme="minorHAnsi" w:cstheme="minorHAnsi"/>
          <w:iCs/>
        </w:rPr>
        <w:t>.</w:t>
      </w:r>
    </w:p>
    <w:p w14:paraId="6B9C739F" w14:textId="77777777" w:rsidR="002E5B40" w:rsidRPr="00E631F9" w:rsidRDefault="002E5B40" w:rsidP="002E5B40">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6C0C7F9D" w14:textId="77777777" w:rsidR="002E5B40" w:rsidRPr="005454BF" w:rsidRDefault="002E5B40" w:rsidP="002E5B40">
      <w:pPr>
        <w:pStyle w:val="ListParagraph"/>
        <w:keepNext/>
        <w:numPr>
          <w:ilvl w:val="0"/>
          <w:numId w:val="2"/>
        </w:numPr>
        <w:spacing w:before="360" w:after="120"/>
        <w:rPr>
          <w:rFonts w:asciiTheme="minorHAnsi" w:hAnsiTheme="minorHAnsi" w:cstheme="minorHAnsi"/>
          <w:i/>
        </w:rPr>
      </w:pPr>
      <w:r>
        <w:rPr>
          <w:rFonts w:asciiTheme="minorHAnsi" w:hAnsiTheme="minorHAnsi" w:cstheme="minorHAnsi"/>
          <w:iCs/>
        </w:rPr>
        <w:t>T</w:t>
      </w:r>
      <w:r w:rsidRPr="005454BF">
        <w:rPr>
          <w:rFonts w:asciiTheme="minorHAnsi" w:hAnsiTheme="minorHAnsi" w:cstheme="minorHAnsi"/>
          <w:iCs/>
        </w:rPr>
        <w:t>he Instrument</w:t>
      </w:r>
      <w:r>
        <w:rPr>
          <w:rFonts w:asciiTheme="minorHAnsi" w:hAnsiTheme="minorHAnsi" w:cstheme="minorHAnsi"/>
          <w:iCs/>
        </w:rPr>
        <w:t xml:space="preserve"> is made by the TPS Director</w:t>
      </w:r>
      <w:r w:rsidRPr="005454BF">
        <w:rPr>
          <w:rFonts w:asciiTheme="minorHAnsi" w:hAnsiTheme="minorHAnsi" w:cstheme="minorHAnsi"/>
          <w:iCs/>
        </w:rPr>
        <w:t xml:space="preserve"> under sections 9 and 10 of the </w:t>
      </w:r>
      <w:r w:rsidRPr="005454BF">
        <w:rPr>
          <w:rFonts w:asciiTheme="minorHAnsi" w:hAnsiTheme="minorHAnsi" w:cstheme="minorHAnsi"/>
          <w:i/>
        </w:rPr>
        <w:t>Education Services for Overseas Students (TPS Levies) Act 2012</w:t>
      </w:r>
      <w:r w:rsidRPr="005454BF">
        <w:rPr>
          <w:rFonts w:asciiTheme="minorHAnsi" w:hAnsiTheme="minorHAnsi" w:cstheme="minorHAnsi"/>
          <w:iCs/>
        </w:rPr>
        <w:t xml:space="preserve"> (the Act).</w:t>
      </w:r>
    </w:p>
    <w:p w14:paraId="368896C2" w14:textId="77777777" w:rsidR="002E5B40" w:rsidRDefault="002E5B40" w:rsidP="002E5B40">
      <w:pPr>
        <w:spacing w:before="360" w:after="120"/>
        <w:rPr>
          <w:rFonts w:asciiTheme="minorHAnsi" w:hAnsiTheme="minorHAnsi" w:cstheme="minorHAnsi"/>
          <w:b/>
          <w:u w:val="single"/>
        </w:rPr>
      </w:pPr>
      <w:r w:rsidRPr="00271E83">
        <w:rPr>
          <w:rFonts w:asciiTheme="minorHAnsi" w:hAnsiTheme="minorHAnsi" w:cstheme="minorHAnsi"/>
          <w:b/>
          <w:u w:val="single"/>
        </w:rPr>
        <w:t>Section 4: Definitions</w:t>
      </w:r>
    </w:p>
    <w:p w14:paraId="2258178F" w14:textId="0C49B103" w:rsidR="002E5B40" w:rsidRDefault="002E5B40" w:rsidP="00662D4E">
      <w:pPr>
        <w:pStyle w:val="ListParagraph"/>
        <w:numPr>
          <w:ilvl w:val="0"/>
          <w:numId w:val="2"/>
        </w:numPr>
        <w:spacing w:before="360" w:after="120"/>
      </w:pPr>
      <w:r>
        <w:rPr>
          <w:rFonts w:asciiTheme="minorHAnsi" w:hAnsiTheme="minorHAnsi" w:cstheme="minorHAnsi"/>
        </w:rPr>
        <w:t>This section provides definitions for terms used in the Instrument.</w:t>
      </w:r>
      <w:r w:rsidR="002A5BB1">
        <w:rPr>
          <w:rFonts w:asciiTheme="minorHAnsi" w:hAnsiTheme="minorHAnsi" w:cstheme="minorHAnsi"/>
        </w:rPr>
        <w:t xml:space="preserve"> </w:t>
      </w:r>
      <w:r w:rsidR="00B87F65">
        <w:rPr>
          <w:rFonts w:asciiTheme="minorHAnsi" w:hAnsiTheme="minorHAnsi" w:cstheme="minorHAnsi"/>
        </w:rPr>
        <w:t xml:space="preserve">The </w:t>
      </w:r>
      <w:r w:rsidR="001E2C5D">
        <w:rPr>
          <w:rFonts w:asciiTheme="minorHAnsi" w:hAnsiTheme="minorHAnsi" w:cstheme="minorHAnsi"/>
        </w:rPr>
        <w:t>note in that section provides that the terms ‘r</w:t>
      </w:r>
      <w:r w:rsidR="00B87F65" w:rsidRPr="008D5531">
        <w:rPr>
          <w:rFonts w:asciiTheme="minorHAnsi" w:hAnsiTheme="minorHAnsi" w:cstheme="minorHAnsi"/>
        </w:rPr>
        <w:t xml:space="preserve">isk </w:t>
      </w:r>
      <w:r w:rsidR="001E2C5D">
        <w:rPr>
          <w:rFonts w:asciiTheme="minorHAnsi" w:hAnsiTheme="minorHAnsi" w:cstheme="minorHAnsi"/>
        </w:rPr>
        <w:t>r</w:t>
      </w:r>
      <w:r w:rsidR="00B87F65" w:rsidRPr="008D5531">
        <w:rPr>
          <w:rFonts w:asciiTheme="minorHAnsi" w:hAnsiTheme="minorHAnsi" w:cstheme="minorHAnsi"/>
        </w:rPr>
        <w:t xml:space="preserve">ated </w:t>
      </w:r>
      <w:r w:rsidR="001E2C5D">
        <w:rPr>
          <w:rFonts w:asciiTheme="minorHAnsi" w:hAnsiTheme="minorHAnsi" w:cstheme="minorHAnsi"/>
        </w:rPr>
        <w:t>p</w:t>
      </w:r>
      <w:r w:rsidR="00B87F65" w:rsidRPr="008D5531">
        <w:rPr>
          <w:rFonts w:asciiTheme="minorHAnsi" w:hAnsiTheme="minorHAnsi" w:cstheme="minorHAnsi"/>
        </w:rPr>
        <w:t>remium component</w:t>
      </w:r>
      <w:r w:rsidR="001E2C5D">
        <w:rPr>
          <w:rFonts w:asciiTheme="minorHAnsi" w:hAnsiTheme="minorHAnsi" w:cstheme="minorHAnsi"/>
        </w:rPr>
        <w:t>’</w:t>
      </w:r>
      <w:r w:rsidR="00B87F65">
        <w:rPr>
          <w:rFonts w:asciiTheme="minorHAnsi" w:hAnsiTheme="minorHAnsi" w:cstheme="minorHAnsi"/>
          <w:i/>
          <w:iCs/>
        </w:rPr>
        <w:t xml:space="preserve"> </w:t>
      </w:r>
      <w:r w:rsidR="00B87F65">
        <w:rPr>
          <w:rFonts w:asciiTheme="minorHAnsi" w:hAnsiTheme="minorHAnsi" w:cstheme="minorHAnsi"/>
        </w:rPr>
        <w:t xml:space="preserve">and </w:t>
      </w:r>
      <w:r w:rsidR="001E2C5D">
        <w:rPr>
          <w:rFonts w:asciiTheme="minorHAnsi" w:hAnsiTheme="minorHAnsi" w:cstheme="minorHAnsi"/>
        </w:rPr>
        <w:t>‘s</w:t>
      </w:r>
      <w:r w:rsidR="00B87F65" w:rsidRPr="008D5531">
        <w:rPr>
          <w:rFonts w:asciiTheme="minorHAnsi" w:hAnsiTheme="minorHAnsi" w:cstheme="minorHAnsi"/>
        </w:rPr>
        <w:t xml:space="preserve">pecial </w:t>
      </w:r>
      <w:r w:rsidR="001E2C5D">
        <w:rPr>
          <w:rFonts w:asciiTheme="minorHAnsi" w:hAnsiTheme="minorHAnsi" w:cstheme="minorHAnsi"/>
        </w:rPr>
        <w:t>t</w:t>
      </w:r>
      <w:r w:rsidR="00B87F65" w:rsidRPr="008D5531">
        <w:rPr>
          <w:rFonts w:asciiTheme="minorHAnsi" w:hAnsiTheme="minorHAnsi" w:cstheme="minorHAnsi"/>
        </w:rPr>
        <w:t xml:space="preserve">uition </w:t>
      </w:r>
      <w:r w:rsidR="001E2C5D">
        <w:rPr>
          <w:rFonts w:asciiTheme="minorHAnsi" w:hAnsiTheme="minorHAnsi" w:cstheme="minorHAnsi"/>
        </w:rPr>
        <w:t>p</w:t>
      </w:r>
      <w:r w:rsidR="00B87F65" w:rsidRPr="008D5531">
        <w:rPr>
          <w:rFonts w:asciiTheme="minorHAnsi" w:hAnsiTheme="minorHAnsi" w:cstheme="minorHAnsi"/>
        </w:rPr>
        <w:t>rotection component</w:t>
      </w:r>
      <w:r w:rsidR="001E2C5D">
        <w:rPr>
          <w:rFonts w:asciiTheme="minorHAnsi" w:hAnsiTheme="minorHAnsi" w:cstheme="minorHAnsi"/>
        </w:rPr>
        <w:t>’</w:t>
      </w:r>
      <w:r w:rsidR="00B87F65">
        <w:rPr>
          <w:rFonts w:asciiTheme="minorHAnsi" w:hAnsiTheme="minorHAnsi" w:cstheme="minorHAnsi"/>
          <w:i/>
          <w:iCs/>
        </w:rPr>
        <w:t xml:space="preserve"> </w:t>
      </w:r>
      <w:r w:rsidR="00B87F65">
        <w:rPr>
          <w:rFonts w:asciiTheme="minorHAnsi" w:hAnsiTheme="minorHAnsi" w:cstheme="minorHAnsi"/>
        </w:rPr>
        <w:t xml:space="preserve">are defined in the definitions section of the Act. </w:t>
      </w:r>
    </w:p>
    <w:p w14:paraId="288C9647" w14:textId="77777777" w:rsidR="002E5B40" w:rsidRPr="00E631F9" w:rsidRDefault="002E5B40" w:rsidP="002E5B40">
      <w:pPr>
        <w:keepNext/>
        <w:spacing w:before="360" w:after="120"/>
        <w:rPr>
          <w:rFonts w:asciiTheme="minorHAnsi" w:hAnsiTheme="minorHAnsi" w:cstheme="minorHAnsi"/>
        </w:rPr>
      </w:pPr>
      <w:r>
        <w:rPr>
          <w:rFonts w:asciiTheme="minorHAnsi" w:hAnsiTheme="minorHAnsi" w:cstheme="minorHAnsi"/>
          <w:b/>
          <w:u w:val="single"/>
        </w:rPr>
        <w:t>Section 5: Schedules</w:t>
      </w:r>
    </w:p>
    <w:p w14:paraId="346DE6A7" w14:textId="05A62395" w:rsidR="002E5B40" w:rsidRDefault="002E5B40" w:rsidP="002E5B40">
      <w:pPr>
        <w:pStyle w:val="ListParagraph"/>
        <w:numPr>
          <w:ilvl w:val="0"/>
          <w:numId w:val="2"/>
        </w:numPr>
        <w:spacing w:before="360" w:after="120"/>
        <w:rPr>
          <w:rFonts w:asciiTheme="minorHAnsi" w:hAnsiTheme="minorHAnsi" w:cstheme="minorHAnsi"/>
          <w:iCs/>
          <w:szCs w:val="24"/>
        </w:rPr>
      </w:pPr>
      <w:r>
        <w:rPr>
          <w:rFonts w:asciiTheme="minorHAnsi" w:hAnsiTheme="minorHAnsi" w:cstheme="minorHAnsi"/>
          <w:iCs/>
          <w:szCs w:val="24"/>
        </w:rPr>
        <w:t>This section clarifies that Schedule 1 is effective on its terms</w:t>
      </w:r>
      <w:r w:rsidR="00E77B00">
        <w:rPr>
          <w:rFonts w:asciiTheme="minorHAnsi" w:hAnsiTheme="minorHAnsi" w:cstheme="minorHAnsi"/>
          <w:iCs/>
          <w:szCs w:val="24"/>
        </w:rPr>
        <w:t xml:space="preserve"> </w:t>
      </w:r>
      <w:r>
        <w:rPr>
          <w:rFonts w:asciiTheme="minorHAnsi" w:hAnsiTheme="minorHAnsi" w:cstheme="minorHAnsi"/>
          <w:iCs/>
          <w:szCs w:val="24"/>
        </w:rPr>
        <w:t xml:space="preserve">to repeal </w:t>
      </w:r>
      <w:r>
        <w:rPr>
          <w:rFonts w:asciiTheme="minorHAnsi" w:hAnsiTheme="minorHAnsi" w:cstheme="minorHAnsi"/>
          <w:szCs w:val="24"/>
        </w:rPr>
        <w:t xml:space="preserve">the </w:t>
      </w:r>
      <w:r w:rsidR="00E77B00">
        <w:rPr>
          <w:rFonts w:asciiTheme="minorHAnsi" w:hAnsiTheme="minorHAnsi" w:cstheme="minorHAnsi"/>
          <w:szCs w:val="24"/>
        </w:rPr>
        <w:t xml:space="preserve">Former Instrument. </w:t>
      </w:r>
    </w:p>
    <w:p w14:paraId="7DCFE7AE" w14:textId="77777777" w:rsidR="002E5B40" w:rsidRDefault="002E5B40" w:rsidP="002E5B40">
      <w:pPr>
        <w:keepNext/>
        <w:rPr>
          <w:rFonts w:asciiTheme="minorHAnsi" w:hAnsiTheme="minorHAnsi" w:cstheme="minorHAnsi"/>
          <w:b/>
        </w:rPr>
      </w:pPr>
      <w:r>
        <w:rPr>
          <w:rFonts w:asciiTheme="minorHAnsi" w:hAnsiTheme="minorHAnsi" w:cstheme="minorHAnsi"/>
          <w:b/>
        </w:rPr>
        <w:lastRenderedPageBreak/>
        <w:t>PART 2</w:t>
      </w:r>
      <w:r w:rsidRPr="005454BF">
        <w:rPr>
          <w:rFonts w:asciiTheme="minorHAnsi" w:hAnsiTheme="minorHAnsi" w:cstheme="minorHAnsi"/>
          <w:b/>
        </w:rPr>
        <w:t>—</w:t>
      </w:r>
      <w:r>
        <w:rPr>
          <w:rFonts w:asciiTheme="minorHAnsi" w:hAnsiTheme="minorHAnsi" w:cstheme="minorHAnsi"/>
          <w:b/>
        </w:rPr>
        <w:t>RISK FACTORS FOR RISK RATED PREMIUM COMPONENT</w:t>
      </w:r>
    </w:p>
    <w:p w14:paraId="2BF7FD11" w14:textId="7AEEF4F4" w:rsidR="002E5B40" w:rsidRPr="00F43B0B" w:rsidRDefault="002E5B40" w:rsidP="00F8062A">
      <w:pPr>
        <w:keepNext/>
        <w:spacing w:before="360" w:after="120"/>
        <w:rPr>
          <w:rFonts w:asciiTheme="minorHAnsi" w:hAnsiTheme="minorHAnsi" w:cstheme="minorHAnsi"/>
          <w:b/>
          <w:u w:val="single"/>
        </w:rPr>
      </w:pPr>
      <w:r w:rsidRPr="00F43B0B">
        <w:rPr>
          <w:rFonts w:asciiTheme="minorHAnsi" w:hAnsiTheme="minorHAnsi" w:cstheme="minorHAnsi"/>
          <w:b/>
          <w:u w:val="single"/>
        </w:rPr>
        <w:t>Section 6</w:t>
      </w:r>
      <w:r>
        <w:rPr>
          <w:rFonts w:asciiTheme="minorHAnsi" w:hAnsiTheme="minorHAnsi" w:cstheme="minorHAnsi"/>
          <w:b/>
          <w:u w:val="single"/>
        </w:rPr>
        <w:t xml:space="preserve">: </w:t>
      </w:r>
      <w:r w:rsidRPr="00F43B0B">
        <w:rPr>
          <w:rFonts w:asciiTheme="minorHAnsi" w:hAnsiTheme="minorHAnsi" w:cstheme="minorHAnsi"/>
          <w:b/>
          <w:u w:val="single"/>
        </w:rPr>
        <w:t xml:space="preserve">Risk rated premium component </w:t>
      </w:r>
    </w:p>
    <w:p w14:paraId="63B43C95" w14:textId="7EF3D4E5" w:rsidR="002E5B40" w:rsidRPr="00F43B0B" w:rsidRDefault="002E5B40" w:rsidP="002E5B40">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 xml:space="preserve">This section </w:t>
      </w:r>
      <w:r w:rsidRPr="00F43B0B">
        <w:rPr>
          <w:rFonts w:asciiTheme="minorHAnsi" w:hAnsiTheme="minorHAnsi" w:cstheme="minorHAnsi"/>
        </w:rPr>
        <w:t xml:space="preserve">sets out the risk rated premium component of the TPS </w:t>
      </w:r>
      <w:r w:rsidR="00880F6F">
        <w:rPr>
          <w:rFonts w:asciiTheme="minorHAnsi" w:hAnsiTheme="minorHAnsi" w:cstheme="minorHAnsi"/>
        </w:rPr>
        <w:t>l</w:t>
      </w:r>
      <w:r w:rsidRPr="00F43B0B">
        <w:rPr>
          <w:rFonts w:asciiTheme="minorHAnsi" w:hAnsiTheme="minorHAnsi" w:cstheme="minorHAnsi"/>
        </w:rPr>
        <w:t>evy.</w:t>
      </w:r>
    </w:p>
    <w:p w14:paraId="1484FDF1" w14:textId="6B3B6009" w:rsidR="002E5B40" w:rsidRPr="006D3E2C" w:rsidRDefault="002E5B40" w:rsidP="002E5B40">
      <w:pPr>
        <w:pStyle w:val="ListParagraph"/>
        <w:keepNext/>
        <w:numPr>
          <w:ilvl w:val="0"/>
          <w:numId w:val="2"/>
        </w:numPr>
        <w:spacing w:before="360" w:after="120"/>
        <w:rPr>
          <w:rFonts w:asciiTheme="minorHAnsi" w:hAnsiTheme="minorHAnsi" w:cstheme="minorHAnsi"/>
        </w:rPr>
      </w:pPr>
      <w:r w:rsidRPr="00BF7821">
        <w:rPr>
          <w:rFonts w:asciiTheme="minorHAnsi" w:hAnsiTheme="minorHAnsi" w:cstheme="minorHAnsi"/>
        </w:rPr>
        <w:t xml:space="preserve">Subsection 6(1) provides that </w:t>
      </w:r>
      <w:r w:rsidR="00EE3872" w:rsidRPr="00BF7821">
        <w:rPr>
          <w:rFonts w:asciiTheme="minorHAnsi" w:hAnsiTheme="minorHAnsi" w:cstheme="minorHAnsi"/>
        </w:rPr>
        <w:t xml:space="preserve">0.05% </w:t>
      </w:r>
      <w:r w:rsidRPr="00BF7821">
        <w:rPr>
          <w:rFonts w:asciiTheme="minorHAnsi" w:hAnsiTheme="minorHAnsi" w:cstheme="minorHAnsi"/>
        </w:rPr>
        <w:t xml:space="preserve">is the percentage for </w:t>
      </w:r>
      <w:r w:rsidR="00EE3872" w:rsidRPr="006D3E2C">
        <w:rPr>
          <w:rFonts w:asciiTheme="minorHAnsi" w:hAnsiTheme="minorHAnsi" w:cstheme="minorHAnsi"/>
        </w:rPr>
        <w:t>202</w:t>
      </w:r>
      <w:r w:rsidR="00CA235C" w:rsidRPr="008D5531">
        <w:rPr>
          <w:rFonts w:asciiTheme="minorHAnsi" w:hAnsiTheme="minorHAnsi" w:cstheme="minorHAnsi"/>
        </w:rPr>
        <w:t>5</w:t>
      </w:r>
      <w:r w:rsidRPr="006D3E2C">
        <w:rPr>
          <w:rFonts w:asciiTheme="minorHAnsi" w:hAnsiTheme="minorHAnsi" w:cstheme="minorHAnsi"/>
        </w:rPr>
        <w:t xml:space="preserve"> for the purposes of paragraph 9(3)(a) of the Act. </w:t>
      </w:r>
    </w:p>
    <w:p w14:paraId="4D0EC9E9" w14:textId="33525F06" w:rsidR="002E5B40" w:rsidRDefault="002E5B40" w:rsidP="00E77B00">
      <w:pPr>
        <w:pStyle w:val="ListParagraph"/>
        <w:numPr>
          <w:ilvl w:val="0"/>
          <w:numId w:val="2"/>
        </w:numPr>
        <w:spacing w:before="360" w:after="120"/>
        <w:ind w:left="714" w:hanging="357"/>
        <w:rPr>
          <w:rFonts w:asciiTheme="minorHAnsi" w:hAnsiTheme="minorHAnsi" w:cstheme="minorHAnsi"/>
        </w:rPr>
      </w:pPr>
      <w:r w:rsidRPr="006D3E2C">
        <w:rPr>
          <w:rFonts w:asciiTheme="minorHAnsi" w:hAnsiTheme="minorHAnsi" w:cstheme="minorHAnsi"/>
        </w:rPr>
        <w:t>Subsection 6(2) sets out the risk factors specified for the purposes of paragraph 9(3)(b) of the Act.</w:t>
      </w:r>
      <w:r w:rsidR="00E77B00" w:rsidRPr="006D3E2C">
        <w:t xml:space="preserve"> </w:t>
      </w:r>
      <w:r w:rsidR="00E77B00" w:rsidRPr="006D3E2C">
        <w:rPr>
          <w:rFonts w:asciiTheme="minorHAnsi" w:hAnsiTheme="minorHAnsi" w:cstheme="minorHAnsi"/>
        </w:rPr>
        <w:t xml:space="preserve">The five risk factors to be applied in </w:t>
      </w:r>
      <w:r w:rsidR="00EE3872" w:rsidRPr="006D3E2C">
        <w:rPr>
          <w:rFonts w:asciiTheme="minorHAnsi" w:hAnsiTheme="minorHAnsi" w:cstheme="minorHAnsi"/>
        </w:rPr>
        <w:t>202</w:t>
      </w:r>
      <w:r w:rsidR="006D3E2C" w:rsidRPr="008D5531">
        <w:rPr>
          <w:rFonts w:asciiTheme="minorHAnsi" w:hAnsiTheme="minorHAnsi" w:cstheme="minorHAnsi"/>
        </w:rPr>
        <w:t>5</w:t>
      </w:r>
      <w:r w:rsidR="00E77B00" w:rsidRPr="006D3E2C">
        <w:rPr>
          <w:rFonts w:asciiTheme="minorHAnsi" w:hAnsiTheme="minorHAnsi" w:cstheme="minorHAnsi"/>
        </w:rPr>
        <w:t xml:space="preserve"> </w:t>
      </w:r>
      <w:r w:rsidR="00EC35D1" w:rsidRPr="006D3E2C">
        <w:rPr>
          <w:rFonts w:asciiTheme="minorHAnsi" w:hAnsiTheme="minorHAnsi" w:cstheme="minorHAnsi"/>
        </w:rPr>
        <w:t>remain the same</w:t>
      </w:r>
      <w:r w:rsidR="00670364" w:rsidRPr="006D3E2C">
        <w:rPr>
          <w:rFonts w:asciiTheme="minorHAnsi" w:hAnsiTheme="minorHAnsi" w:cstheme="minorHAnsi"/>
        </w:rPr>
        <w:t xml:space="preserve"> from 202</w:t>
      </w:r>
      <w:r w:rsidR="006D3E2C" w:rsidRPr="008D5531">
        <w:rPr>
          <w:rFonts w:asciiTheme="minorHAnsi" w:hAnsiTheme="minorHAnsi" w:cstheme="minorHAnsi"/>
        </w:rPr>
        <w:t>4</w:t>
      </w:r>
      <w:r w:rsidR="00670364" w:rsidRPr="006D3E2C">
        <w:rPr>
          <w:rFonts w:asciiTheme="minorHAnsi" w:hAnsiTheme="minorHAnsi" w:cstheme="minorHAnsi"/>
        </w:rPr>
        <w:t xml:space="preserve"> and </w:t>
      </w:r>
      <w:r w:rsidR="00E77B00" w:rsidRPr="006D3E2C">
        <w:rPr>
          <w:rFonts w:asciiTheme="minorHAnsi" w:hAnsiTheme="minorHAnsi" w:cstheme="minorHAnsi"/>
        </w:rPr>
        <w:t>are as follows: base risk factor; length of operation; volatility</w:t>
      </w:r>
      <w:r w:rsidR="00E77B00" w:rsidRPr="00E77B00">
        <w:rPr>
          <w:rFonts w:asciiTheme="minorHAnsi" w:hAnsiTheme="minorHAnsi" w:cstheme="minorHAnsi"/>
        </w:rPr>
        <w:t xml:space="preserve"> in overseas student enrolments;</w:t>
      </w:r>
      <w:r w:rsidR="00E77B00">
        <w:rPr>
          <w:rFonts w:asciiTheme="minorHAnsi" w:hAnsiTheme="minorHAnsi" w:cstheme="minorHAnsi"/>
        </w:rPr>
        <w:t xml:space="preserve"> </w:t>
      </w:r>
      <w:r w:rsidR="00E77B00" w:rsidRPr="00E77B00">
        <w:rPr>
          <w:rFonts w:asciiTheme="minorHAnsi" w:hAnsiTheme="minorHAnsi" w:cstheme="minorHAnsi"/>
        </w:rPr>
        <w:t>maximum overseas source country concentration; and</w:t>
      </w:r>
      <w:r w:rsidR="00E77B00">
        <w:rPr>
          <w:rFonts w:asciiTheme="minorHAnsi" w:hAnsiTheme="minorHAnsi" w:cstheme="minorHAnsi"/>
        </w:rPr>
        <w:t xml:space="preserve"> </w:t>
      </w:r>
      <w:r w:rsidR="00E77B00" w:rsidRPr="00E77B00">
        <w:rPr>
          <w:rFonts w:asciiTheme="minorHAnsi" w:hAnsiTheme="minorHAnsi" w:cstheme="minorHAnsi"/>
        </w:rPr>
        <w:t>non-compliance and registration renewal.</w:t>
      </w:r>
      <w:r w:rsidR="00E77B00">
        <w:rPr>
          <w:rFonts w:asciiTheme="minorHAnsi" w:hAnsiTheme="minorHAnsi" w:cstheme="minorHAnsi"/>
        </w:rPr>
        <w:t xml:space="preserve"> </w:t>
      </w:r>
    </w:p>
    <w:p w14:paraId="1FE7D6BD" w14:textId="7242B7B0" w:rsidR="00E77B00" w:rsidRPr="00E77B00" w:rsidRDefault="00E77B00" w:rsidP="00E77B00">
      <w:pPr>
        <w:pStyle w:val="ListParagraph"/>
        <w:numPr>
          <w:ilvl w:val="0"/>
          <w:numId w:val="2"/>
        </w:numPr>
        <w:rPr>
          <w:rFonts w:ascii="Calibri" w:hAnsi="Calibri" w:cs="Calibri"/>
        </w:rPr>
      </w:pPr>
      <w:r w:rsidRPr="00E77B00">
        <w:rPr>
          <w:rFonts w:ascii="Calibri" w:hAnsi="Calibri" w:cs="Calibri"/>
        </w:rPr>
        <w:t xml:space="preserve">The risk </w:t>
      </w:r>
      <w:r>
        <w:rPr>
          <w:rFonts w:ascii="Calibri" w:hAnsi="Calibri" w:cs="Calibri"/>
        </w:rPr>
        <w:t xml:space="preserve">rated premium </w:t>
      </w:r>
      <w:r w:rsidRPr="00E77B00">
        <w:rPr>
          <w:rFonts w:ascii="Calibri" w:hAnsi="Calibri" w:cs="Calibri"/>
        </w:rPr>
        <w:t xml:space="preserve">component of a provider’s </w:t>
      </w:r>
      <w:r w:rsidR="00892691">
        <w:rPr>
          <w:rFonts w:ascii="Calibri" w:hAnsi="Calibri" w:cs="Calibri"/>
        </w:rPr>
        <w:t>l</w:t>
      </w:r>
      <w:r w:rsidRPr="00E77B00">
        <w:rPr>
          <w:rFonts w:ascii="Calibri" w:hAnsi="Calibri" w:cs="Calibri"/>
        </w:rPr>
        <w:t xml:space="preserve">evy is worked out for each risk factor in accordance with the formula set out in subsection 9(2) of the </w:t>
      </w:r>
      <w:r w:rsidRPr="00E77B00">
        <w:rPr>
          <w:rFonts w:ascii="Calibri" w:hAnsi="Calibri" w:cs="Calibri"/>
          <w:iCs/>
        </w:rPr>
        <w:t>Act</w:t>
      </w:r>
      <w:r w:rsidRPr="00E77B00">
        <w:rPr>
          <w:rFonts w:ascii="Calibri" w:hAnsi="Calibri" w:cs="Calibri"/>
          <w:i/>
        </w:rPr>
        <w:t>,</w:t>
      </w:r>
      <w:r w:rsidRPr="00E77B00">
        <w:rPr>
          <w:rFonts w:ascii="Calibri" w:hAnsi="Calibri" w:cs="Calibri"/>
        </w:rPr>
        <w:t xml:space="preserve"> which is reproduced below.</w:t>
      </w:r>
    </w:p>
    <w:p w14:paraId="1C25CA0F" w14:textId="77777777" w:rsidR="00E77B00" w:rsidRPr="00E77B00" w:rsidRDefault="00E77B00" w:rsidP="00E77B00">
      <w:pPr>
        <w:pStyle w:val="ListParagraph"/>
        <w:rPr>
          <w:rFonts w:ascii="Calibri" w:hAnsi="Calibri" w:cs="Calibri"/>
        </w:rPr>
      </w:pPr>
      <w:r w:rsidRPr="00330430">
        <w:rPr>
          <w:noProof/>
          <w:lang w:eastAsia="en-AU"/>
        </w:rPr>
        <w:drawing>
          <wp:inline distT="0" distB="0" distL="0" distR="0" wp14:anchorId="70C55A2B" wp14:editId="6FAC8B1A">
            <wp:extent cx="3528000" cy="723191"/>
            <wp:effectExtent l="0" t="0" r="0" b="1270"/>
            <wp:docPr id="3" name="Picture 3" descr="Start formula open bracket specified percentage for the year times increase factor for the risk factor for the year close bracket times provider's overseas student tuition fees for the previous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open bracket specified percentage for the year times increase factor for the risk factor for the year close bracket times provider's overseas student tuition fees for the previous year end formul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14:paraId="4B64D4CC" w14:textId="5241F8A2" w:rsidR="002E5B40" w:rsidRDefault="002E5B40" w:rsidP="00E77B00">
      <w:pPr>
        <w:pStyle w:val="ListParagraph"/>
        <w:numPr>
          <w:ilvl w:val="0"/>
          <w:numId w:val="2"/>
        </w:numPr>
        <w:spacing w:before="360" w:after="120"/>
        <w:ind w:left="714" w:hanging="357"/>
        <w:rPr>
          <w:rFonts w:asciiTheme="minorHAnsi" w:hAnsiTheme="minorHAnsi" w:cstheme="minorHAnsi"/>
        </w:rPr>
      </w:pPr>
      <w:r w:rsidRPr="00F43B0B">
        <w:rPr>
          <w:rFonts w:asciiTheme="minorHAnsi" w:hAnsiTheme="minorHAnsi" w:cstheme="minorHAnsi"/>
        </w:rPr>
        <w:t xml:space="preserve">Each of the risk factors specified at subsection 6(2) are given a numerical value in sections 7 to 11 of the Instrument to provide the relevant increase factors used in the overall calculation of the risk rated premium component of the TPS </w:t>
      </w:r>
      <w:r w:rsidR="00892691">
        <w:rPr>
          <w:rFonts w:asciiTheme="minorHAnsi" w:hAnsiTheme="minorHAnsi" w:cstheme="minorHAnsi"/>
        </w:rPr>
        <w:t>l</w:t>
      </w:r>
      <w:r w:rsidRPr="00F43B0B">
        <w:rPr>
          <w:rFonts w:asciiTheme="minorHAnsi" w:hAnsiTheme="minorHAnsi" w:cstheme="minorHAnsi"/>
        </w:rPr>
        <w:t>evy.</w:t>
      </w:r>
    </w:p>
    <w:p w14:paraId="35522B30" w14:textId="4D8101E0" w:rsidR="00300951" w:rsidRPr="009C50A2" w:rsidRDefault="00300951" w:rsidP="00E77B00">
      <w:pPr>
        <w:pStyle w:val="ListParagraph"/>
        <w:numPr>
          <w:ilvl w:val="0"/>
          <w:numId w:val="2"/>
        </w:numPr>
        <w:spacing w:before="360" w:after="120"/>
        <w:ind w:left="714" w:hanging="357"/>
        <w:rPr>
          <w:rFonts w:asciiTheme="minorHAnsi" w:hAnsiTheme="minorHAnsi" w:cstheme="minorHAnsi"/>
        </w:rPr>
      </w:pPr>
      <w:r w:rsidRPr="00330430">
        <w:rPr>
          <w:rFonts w:ascii="Calibri" w:hAnsi="Calibri" w:cs="Calibri"/>
          <w:color w:val="000000"/>
          <w:szCs w:val="24"/>
          <w:lang w:eastAsia="en-AU"/>
        </w:rPr>
        <w:t xml:space="preserve">In accordance with subsection 9(1) of the </w:t>
      </w:r>
      <w:r w:rsidRPr="00330430">
        <w:rPr>
          <w:rFonts w:ascii="Calibri" w:hAnsi="Calibri" w:cs="Calibri"/>
          <w:iCs/>
          <w:color w:val="000000"/>
          <w:szCs w:val="24"/>
          <w:lang w:eastAsia="en-AU"/>
        </w:rPr>
        <w:t>Act</w:t>
      </w:r>
      <w:r w:rsidRPr="00330430">
        <w:rPr>
          <w:rFonts w:ascii="Calibri" w:hAnsi="Calibri" w:cs="Calibri"/>
          <w:i/>
          <w:color w:val="000000"/>
          <w:szCs w:val="24"/>
          <w:lang w:eastAsia="en-AU"/>
        </w:rPr>
        <w:t>,</w:t>
      </w:r>
      <w:r w:rsidRPr="00330430">
        <w:rPr>
          <w:rFonts w:ascii="Calibri" w:hAnsi="Calibri" w:cs="Calibri"/>
          <w:color w:val="000000"/>
          <w:szCs w:val="24"/>
          <w:lang w:eastAsia="en-AU"/>
        </w:rPr>
        <w:t xml:space="preserve"> if more than one risk factor is applicable for a provider for a year (as set out in subsections 7(1), 8(1), 9(1)</w:t>
      </w:r>
      <w:r w:rsidR="0075279E">
        <w:rPr>
          <w:rFonts w:ascii="Calibri" w:hAnsi="Calibri" w:cs="Calibri"/>
          <w:color w:val="000000"/>
          <w:szCs w:val="24"/>
          <w:lang w:eastAsia="en-AU"/>
        </w:rPr>
        <w:t>-(2)</w:t>
      </w:r>
      <w:r w:rsidRPr="00330430">
        <w:rPr>
          <w:rFonts w:ascii="Calibri" w:hAnsi="Calibri" w:cs="Calibri"/>
          <w:color w:val="000000"/>
          <w:szCs w:val="24"/>
          <w:lang w:eastAsia="en-AU"/>
        </w:rPr>
        <w:t>, 10(1)</w:t>
      </w:r>
      <w:r w:rsidR="0075279E">
        <w:rPr>
          <w:rFonts w:ascii="Calibri" w:hAnsi="Calibri" w:cs="Calibri"/>
          <w:color w:val="000000"/>
          <w:szCs w:val="24"/>
          <w:lang w:eastAsia="en-AU"/>
        </w:rPr>
        <w:t>-(2)</w:t>
      </w:r>
      <w:r w:rsidRPr="00330430">
        <w:rPr>
          <w:rFonts w:ascii="Calibri" w:hAnsi="Calibri" w:cs="Calibri"/>
          <w:color w:val="000000"/>
          <w:szCs w:val="24"/>
          <w:lang w:eastAsia="en-AU"/>
        </w:rPr>
        <w:t xml:space="preserve"> and 11(1) of the Instrument), the provider’s risk components for the relevant factors will be added together to calculate the risk rated premium component of the TPS </w:t>
      </w:r>
      <w:r w:rsidR="00892691">
        <w:rPr>
          <w:rFonts w:ascii="Calibri" w:hAnsi="Calibri" w:cs="Calibri"/>
          <w:color w:val="000000"/>
          <w:szCs w:val="24"/>
          <w:lang w:eastAsia="en-AU"/>
        </w:rPr>
        <w:t>l</w:t>
      </w:r>
      <w:r w:rsidRPr="00330430">
        <w:rPr>
          <w:rFonts w:ascii="Calibri" w:hAnsi="Calibri" w:cs="Calibri"/>
          <w:color w:val="000000"/>
          <w:szCs w:val="24"/>
          <w:lang w:eastAsia="en-AU"/>
        </w:rPr>
        <w:t>evy</w:t>
      </w:r>
      <w:r w:rsidR="00C611E5">
        <w:rPr>
          <w:rFonts w:ascii="Calibri" w:hAnsi="Calibri" w:cs="Calibri"/>
          <w:color w:val="000000"/>
          <w:szCs w:val="24"/>
          <w:lang w:eastAsia="en-AU"/>
        </w:rPr>
        <w:t>.</w:t>
      </w:r>
    </w:p>
    <w:p w14:paraId="76447830" w14:textId="77777777"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Section 7: Risk factor – base risk factor</w:t>
      </w:r>
    </w:p>
    <w:p w14:paraId="3BC3C0B9" w14:textId="7A45291B" w:rsidR="002E5B40" w:rsidRPr="00D2539C"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Section 7 sets out the base risk factor, which applies to all non-exempt providers (subsection 7(1)).</w:t>
      </w:r>
    </w:p>
    <w:p w14:paraId="5FC559A3" w14:textId="567A8FC8" w:rsidR="002E5B40"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7(2) </w:t>
      </w:r>
      <w:r w:rsidR="00897900">
        <w:rPr>
          <w:rFonts w:asciiTheme="minorHAnsi" w:hAnsiTheme="minorHAnsi" w:cstheme="minorHAnsi"/>
        </w:rPr>
        <w:t>specifies a</w:t>
      </w:r>
      <w:r w:rsidRPr="00D2539C">
        <w:rPr>
          <w:rFonts w:asciiTheme="minorHAnsi" w:hAnsiTheme="minorHAnsi" w:cstheme="minorHAnsi"/>
        </w:rPr>
        <w:t xml:space="preserve"> numerical increase factor </w:t>
      </w:r>
      <w:r>
        <w:rPr>
          <w:rFonts w:asciiTheme="minorHAnsi" w:hAnsiTheme="minorHAnsi" w:cstheme="minorHAnsi"/>
        </w:rPr>
        <w:t xml:space="preserve">of 1.0 </w:t>
      </w:r>
      <w:r w:rsidRPr="00D2539C">
        <w:rPr>
          <w:rFonts w:asciiTheme="minorHAnsi" w:hAnsiTheme="minorHAnsi" w:cstheme="minorHAnsi"/>
        </w:rPr>
        <w:t>for the base risk factor for the purposes of paragraph 9(3)(c) of the Act.</w:t>
      </w:r>
    </w:p>
    <w:p w14:paraId="310CB9A7" w14:textId="77777777"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 xml:space="preserve">Section 8: Risk factor – length of operation </w:t>
      </w:r>
    </w:p>
    <w:p w14:paraId="503B03AC" w14:textId="4A46F85B" w:rsidR="002E5B40" w:rsidRPr="00D2539C"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Section 8 sets out the length of operation</w:t>
      </w:r>
      <w:r w:rsidR="004B0512">
        <w:rPr>
          <w:rFonts w:asciiTheme="minorHAnsi" w:hAnsiTheme="minorHAnsi" w:cstheme="minorHAnsi"/>
        </w:rPr>
        <w:t xml:space="preserve"> risk factor</w:t>
      </w:r>
      <w:r w:rsidRPr="00D2539C">
        <w:rPr>
          <w:rFonts w:asciiTheme="minorHAnsi" w:hAnsiTheme="minorHAnsi" w:cstheme="minorHAnsi"/>
        </w:rPr>
        <w:t>, which applies to all non</w:t>
      </w:r>
      <w:r>
        <w:rPr>
          <w:rFonts w:asciiTheme="minorHAnsi" w:hAnsiTheme="minorHAnsi" w:cstheme="minorHAnsi"/>
        </w:rPr>
        <w:noBreakHyphen/>
      </w:r>
      <w:r w:rsidRPr="00D2539C">
        <w:rPr>
          <w:rFonts w:asciiTheme="minorHAnsi" w:hAnsiTheme="minorHAnsi" w:cstheme="minorHAnsi"/>
        </w:rPr>
        <w:t>exempt providers (subsection 8(1)).</w:t>
      </w:r>
    </w:p>
    <w:p w14:paraId="0308CCAF" w14:textId="1FB2852A" w:rsidR="002E5B40" w:rsidRPr="00D2539C"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lastRenderedPageBreak/>
        <w:t xml:space="preserve">Subsection 8(2) provides the numerical increase factors </w:t>
      </w:r>
      <w:r>
        <w:rPr>
          <w:rFonts w:asciiTheme="minorHAnsi" w:hAnsiTheme="minorHAnsi" w:cstheme="minorHAnsi"/>
        </w:rPr>
        <w:t>set out in the table</w:t>
      </w:r>
      <w:r w:rsidRPr="00D2539C">
        <w:rPr>
          <w:rFonts w:asciiTheme="minorHAnsi" w:hAnsiTheme="minorHAnsi" w:cstheme="minorHAnsi"/>
        </w:rPr>
        <w:t xml:space="preserve"> </w:t>
      </w:r>
      <w:r w:rsidR="002033CE">
        <w:rPr>
          <w:rFonts w:asciiTheme="minorHAnsi" w:hAnsiTheme="minorHAnsi" w:cstheme="minorHAnsi"/>
        </w:rPr>
        <w:t>for different provider lengths of operation,</w:t>
      </w:r>
      <w:r w:rsidRPr="00D2539C">
        <w:rPr>
          <w:rFonts w:asciiTheme="minorHAnsi" w:hAnsiTheme="minorHAnsi" w:cstheme="minorHAnsi"/>
        </w:rPr>
        <w:t xml:space="preserve"> for the purposes of paragraph 9(3)(c) of the Act. </w:t>
      </w:r>
    </w:p>
    <w:p w14:paraId="03A0F7F8" w14:textId="77777777"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 xml:space="preserve">Section 9: Risk factor – volatility in overseas student enrolments </w:t>
      </w:r>
    </w:p>
    <w:p w14:paraId="5155A6E2" w14:textId="305D6D19"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Section 9 sets out the volatility in overseas student enrolments</w:t>
      </w:r>
      <w:r w:rsidR="004B0512">
        <w:rPr>
          <w:rFonts w:asciiTheme="minorHAnsi" w:hAnsiTheme="minorHAnsi" w:cstheme="minorHAnsi"/>
        </w:rPr>
        <w:t xml:space="preserve"> risk factor</w:t>
      </w:r>
      <w:r w:rsidRPr="00D2539C">
        <w:rPr>
          <w:rFonts w:asciiTheme="minorHAnsi" w:hAnsiTheme="minorHAnsi" w:cstheme="minorHAnsi"/>
        </w:rPr>
        <w:t xml:space="preserve">, which applies to non-exempt providers that </w:t>
      </w:r>
      <w:r w:rsidR="002033CE">
        <w:rPr>
          <w:rFonts w:asciiTheme="minorHAnsi" w:hAnsiTheme="minorHAnsi" w:cstheme="minorHAnsi"/>
        </w:rPr>
        <w:t>meet</w:t>
      </w:r>
      <w:r w:rsidR="002033CE" w:rsidRPr="00D2539C">
        <w:rPr>
          <w:rFonts w:asciiTheme="minorHAnsi" w:hAnsiTheme="minorHAnsi" w:cstheme="minorHAnsi"/>
        </w:rPr>
        <w:t xml:space="preserve"> </w:t>
      </w:r>
      <w:r w:rsidRPr="00D2539C">
        <w:rPr>
          <w:rFonts w:asciiTheme="minorHAnsi" w:hAnsiTheme="minorHAnsi" w:cstheme="minorHAnsi"/>
        </w:rPr>
        <w:t xml:space="preserve">the criteria specified in </w:t>
      </w:r>
      <w:r w:rsidR="00CE23EA">
        <w:rPr>
          <w:rFonts w:asciiTheme="minorHAnsi" w:hAnsiTheme="minorHAnsi" w:cstheme="minorHAnsi"/>
        </w:rPr>
        <w:t xml:space="preserve">subsection </w:t>
      </w:r>
      <w:r w:rsidR="00C43AE6">
        <w:rPr>
          <w:rFonts w:asciiTheme="minorHAnsi" w:hAnsiTheme="minorHAnsi" w:cstheme="minorHAnsi"/>
        </w:rPr>
        <w:t>9(1)</w:t>
      </w:r>
      <w:r w:rsidRPr="00D2539C">
        <w:rPr>
          <w:rFonts w:asciiTheme="minorHAnsi" w:hAnsiTheme="minorHAnsi" w:cstheme="minorHAnsi"/>
        </w:rPr>
        <w:t>.</w:t>
      </w:r>
    </w:p>
    <w:p w14:paraId="6DF67A46" w14:textId="33AF0CAE" w:rsidR="006D7079" w:rsidRPr="00BF7821" w:rsidRDefault="006D7079" w:rsidP="002E5B40">
      <w:pPr>
        <w:pStyle w:val="ListParagraph"/>
        <w:keepNext/>
        <w:numPr>
          <w:ilvl w:val="0"/>
          <w:numId w:val="2"/>
        </w:numPr>
        <w:spacing w:before="360" w:after="120"/>
        <w:rPr>
          <w:rFonts w:asciiTheme="minorHAnsi" w:hAnsiTheme="minorHAnsi" w:cstheme="minorHAnsi"/>
        </w:rPr>
      </w:pPr>
      <w:r w:rsidRPr="00BF7821">
        <w:rPr>
          <w:rFonts w:asciiTheme="minorHAnsi" w:hAnsiTheme="minorHAnsi" w:cstheme="minorHAnsi"/>
        </w:rPr>
        <w:t>Subsection 9(2)</w:t>
      </w:r>
      <w:r w:rsidR="00F915D6" w:rsidRPr="00BF7821">
        <w:rPr>
          <w:rFonts w:asciiTheme="minorHAnsi" w:hAnsiTheme="minorHAnsi" w:cstheme="minorHAnsi"/>
        </w:rPr>
        <w:t xml:space="preserve"> provides that the risk factor does not apply to non-exempt providers</w:t>
      </w:r>
      <w:r w:rsidR="008C1E5D" w:rsidRPr="00BF7821">
        <w:rPr>
          <w:rFonts w:asciiTheme="minorHAnsi" w:hAnsiTheme="minorHAnsi" w:cstheme="minorHAnsi"/>
        </w:rPr>
        <w:t xml:space="preserve"> where the provider’s proportion of overseas students is less than 20% of its total student population. </w:t>
      </w:r>
      <w:r w:rsidR="009A11C9" w:rsidRPr="00BF7821">
        <w:rPr>
          <w:rFonts w:ascii="Calibri" w:hAnsi="Calibri" w:cs="Calibri"/>
        </w:rPr>
        <w:t>The TPS Director considers that th</w:t>
      </w:r>
      <w:r w:rsidR="00F3284D" w:rsidRPr="00BF7821">
        <w:rPr>
          <w:rFonts w:ascii="Calibri" w:hAnsi="Calibri" w:cs="Calibri"/>
        </w:rPr>
        <w:t>is</w:t>
      </w:r>
      <w:r w:rsidR="009A11C9" w:rsidRPr="00BF7821">
        <w:rPr>
          <w:rFonts w:ascii="Calibri" w:hAnsi="Calibri" w:cs="Calibri"/>
        </w:rPr>
        <w:t xml:space="preserve"> risk factor </w:t>
      </w:r>
      <w:r w:rsidR="002033CE">
        <w:rPr>
          <w:rFonts w:ascii="Calibri" w:hAnsi="Calibri" w:cs="Calibri"/>
        </w:rPr>
        <w:t xml:space="preserve">should not apply </w:t>
      </w:r>
      <w:r w:rsidR="009A11C9" w:rsidRPr="00BF7821">
        <w:rPr>
          <w:rFonts w:ascii="Calibri" w:hAnsi="Calibri" w:cs="Calibri"/>
        </w:rPr>
        <w:t xml:space="preserve">where providers have a small percentage of overseas students proportionate to their overall student population.  </w:t>
      </w:r>
    </w:p>
    <w:p w14:paraId="5DF00900" w14:textId="42846D27"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Subsection 9(</w:t>
      </w:r>
      <w:r w:rsidR="008C1E5D">
        <w:rPr>
          <w:rFonts w:asciiTheme="minorHAnsi" w:hAnsiTheme="minorHAnsi" w:cstheme="minorHAnsi"/>
        </w:rPr>
        <w:t>3</w:t>
      </w:r>
      <w:r w:rsidRPr="00D2539C">
        <w:rPr>
          <w:rFonts w:asciiTheme="minorHAnsi" w:hAnsiTheme="minorHAnsi" w:cstheme="minorHAnsi"/>
        </w:rPr>
        <w:t xml:space="preserve">) </w:t>
      </w:r>
      <w:r w:rsidR="002033CE">
        <w:rPr>
          <w:rFonts w:asciiTheme="minorHAnsi" w:hAnsiTheme="minorHAnsi" w:cstheme="minorHAnsi"/>
        </w:rPr>
        <w:t>sets out in a table</w:t>
      </w:r>
      <w:r w:rsidR="002033CE" w:rsidRPr="00D2539C">
        <w:rPr>
          <w:rFonts w:asciiTheme="minorHAnsi" w:hAnsiTheme="minorHAnsi" w:cstheme="minorHAnsi"/>
        </w:rPr>
        <w:t xml:space="preserve"> </w:t>
      </w:r>
      <w:r w:rsidRPr="00D2539C">
        <w:rPr>
          <w:rFonts w:asciiTheme="minorHAnsi" w:hAnsiTheme="minorHAnsi" w:cstheme="minorHAnsi"/>
        </w:rPr>
        <w:t xml:space="preserve">the increase factors </w:t>
      </w:r>
      <w:r w:rsidR="002033CE">
        <w:rPr>
          <w:rFonts w:asciiTheme="minorHAnsi" w:hAnsiTheme="minorHAnsi" w:cstheme="minorHAnsi"/>
        </w:rPr>
        <w:t>that apply to a registered provider depending on the provider’s</w:t>
      </w:r>
      <w:r w:rsidRPr="00D2539C">
        <w:rPr>
          <w:rFonts w:asciiTheme="minorHAnsi" w:hAnsiTheme="minorHAnsi" w:cstheme="minorHAnsi"/>
        </w:rPr>
        <w:t xml:space="preserve"> volatility </w:t>
      </w:r>
      <w:r w:rsidR="002033CE">
        <w:rPr>
          <w:rFonts w:asciiTheme="minorHAnsi" w:hAnsiTheme="minorHAnsi" w:cstheme="minorHAnsi"/>
        </w:rPr>
        <w:t>in</w:t>
      </w:r>
      <w:r w:rsidR="002033CE" w:rsidRPr="00D2539C">
        <w:rPr>
          <w:rFonts w:asciiTheme="minorHAnsi" w:hAnsiTheme="minorHAnsi" w:cstheme="minorHAnsi"/>
        </w:rPr>
        <w:t xml:space="preserve"> </w:t>
      </w:r>
      <w:r w:rsidRPr="00D2539C">
        <w:rPr>
          <w:rFonts w:asciiTheme="minorHAnsi" w:hAnsiTheme="minorHAnsi" w:cstheme="minorHAnsi"/>
        </w:rPr>
        <w:t xml:space="preserve">overseas student </w:t>
      </w:r>
      <w:proofErr w:type="gramStart"/>
      <w:r w:rsidRPr="00D2539C">
        <w:rPr>
          <w:rFonts w:asciiTheme="minorHAnsi" w:hAnsiTheme="minorHAnsi" w:cstheme="minorHAnsi"/>
        </w:rPr>
        <w:t>enrolments</w:t>
      </w:r>
      <w:r w:rsidR="007173C9">
        <w:rPr>
          <w:rFonts w:asciiTheme="minorHAnsi" w:hAnsiTheme="minorHAnsi" w:cstheme="minorHAnsi"/>
        </w:rPr>
        <w:t xml:space="preserve"> </w:t>
      </w:r>
      <w:r w:rsidR="00300951">
        <w:rPr>
          <w:rFonts w:asciiTheme="minorHAnsi" w:hAnsiTheme="minorHAnsi" w:cstheme="minorHAnsi"/>
        </w:rPr>
        <w:t>.</w:t>
      </w:r>
      <w:proofErr w:type="gramEnd"/>
      <w:r w:rsidR="0087771F">
        <w:rPr>
          <w:rFonts w:asciiTheme="minorHAnsi" w:hAnsiTheme="minorHAnsi" w:cstheme="minorHAnsi"/>
        </w:rPr>
        <w:t xml:space="preserve"> These values </w:t>
      </w:r>
      <w:r w:rsidR="0087771F">
        <w:rPr>
          <w:rFonts w:ascii="Calibri" w:hAnsi="Calibri" w:cs="Calibri"/>
        </w:rPr>
        <w:t xml:space="preserve">differ from </w:t>
      </w:r>
      <w:r w:rsidR="00457FD6">
        <w:rPr>
          <w:rFonts w:ascii="Calibri" w:hAnsi="Calibri" w:cs="Calibri"/>
        </w:rPr>
        <w:t>2023 as the</w:t>
      </w:r>
      <w:r w:rsidR="0087771F">
        <w:rPr>
          <w:rFonts w:ascii="Calibri" w:hAnsi="Calibri" w:cs="Calibri"/>
        </w:rPr>
        <w:t xml:space="preserve"> TPS Director has ceased the temporary COVID-19 setting that waived </w:t>
      </w:r>
      <w:r w:rsidR="00494AB1">
        <w:rPr>
          <w:rFonts w:ascii="Calibri" w:hAnsi="Calibri" w:cs="Calibri"/>
        </w:rPr>
        <w:t>increase factors</w:t>
      </w:r>
      <w:r w:rsidR="0087771F">
        <w:rPr>
          <w:rFonts w:ascii="Calibri" w:hAnsi="Calibri" w:cs="Calibri"/>
        </w:rPr>
        <w:t xml:space="preserve"> for positive volatility (growth) in overseas student enrolments.</w:t>
      </w:r>
    </w:p>
    <w:p w14:paraId="5F4787ED" w14:textId="41CF5CA9" w:rsidR="00FC4683" w:rsidRPr="00BF7821" w:rsidRDefault="00B736BC" w:rsidP="002E5B40">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 xml:space="preserve">Subsection 9(4) provides </w:t>
      </w:r>
      <w:r w:rsidR="006D23E2">
        <w:rPr>
          <w:rFonts w:asciiTheme="minorHAnsi" w:hAnsiTheme="minorHAnsi" w:cstheme="minorHAnsi"/>
        </w:rPr>
        <w:t>for</w:t>
      </w:r>
      <w:r w:rsidR="00CB127C">
        <w:rPr>
          <w:rFonts w:asciiTheme="minorHAnsi" w:hAnsiTheme="minorHAnsi" w:cstheme="minorHAnsi"/>
        </w:rPr>
        <w:t xml:space="preserve"> reductions in the</w:t>
      </w:r>
      <w:r w:rsidR="006D23E2">
        <w:rPr>
          <w:rFonts w:asciiTheme="minorHAnsi" w:hAnsiTheme="minorHAnsi" w:cstheme="minorHAnsi"/>
        </w:rPr>
        <w:t xml:space="preserve"> increase factor</w:t>
      </w:r>
      <w:r w:rsidR="00CB127C">
        <w:rPr>
          <w:rFonts w:asciiTheme="minorHAnsi" w:hAnsiTheme="minorHAnsi" w:cstheme="minorHAnsi"/>
        </w:rPr>
        <w:t xml:space="preserve">s listed in the table in subsection 9(3), </w:t>
      </w:r>
      <w:r w:rsidR="006D23E2">
        <w:rPr>
          <w:rFonts w:asciiTheme="minorHAnsi" w:hAnsiTheme="minorHAnsi" w:cstheme="minorHAnsi"/>
        </w:rPr>
        <w:t>where a registered provider has been operating for less than 5 years</w:t>
      </w:r>
      <w:r w:rsidR="00CB127C">
        <w:rPr>
          <w:rFonts w:asciiTheme="minorHAnsi" w:hAnsiTheme="minorHAnsi" w:cstheme="minorHAnsi"/>
        </w:rPr>
        <w:t>, with different reductions applying depending on the provider’s length of operation</w:t>
      </w:r>
      <w:r w:rsidR="006D23E2">
        <w:rPr>
          <w:rFonts w:asciiTheme="minorHAnsi" w:hAnsiTheme="minorHAnsi" w:cstheme="minorHAnsi"/>
        </w:rPr>
        <w:t xml:space="preserve">. </w:t>
      </w:r>
    </w:p>
    <w:p w14:paraId="409E4DC1" w14:textId="06524BAC" w:rsidR="00777AFE" w:rsidRDefault="00220CA7" w:rsidP="00001EB9">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Subsections 9(</w:t>
      </w:r>
      <w:r w:rsidR="00277DB8">
        <w:rPr>
          <w:rFonts w:asciiTheme="minorHAnsi" w:hAnsiTheme="minorHAnsi" w:cstheme="minorHAnsi"/>
        </w:rPr>
        <w:t>5</w:t>
      </w:r>
      <w:r>
        <w:rPr>
          <w:rFonts w:asciiTheme="minorHAnsi" w:hAnsiTheme="minorHAnsi" w:cstheme="minorHAnsi"/>
        </w:rPr>
        <w:t>) and 9(</w:t>
      </w:r>
      <w:r w:rsidR="00277DB8">
        <w:rPr>
          <w:rFonts w:asciiTheme="minorHAnsi" w:hAnsiTheme="minorHAnsi" w:cstheme="minorHAnsi"/>
        </w:rPr>
        <w:t>6</w:t>
      </w:r>
      <w:r>
        <w:rPr>
          <w:rFonts w:asciiTheme="minorHAnsi" w:hAnsiTheme="minorHAnsi" w:cstheme="minorHAnsi"/>
        </w:rPr>
        <w:t xml:space="preserve">) provide the method for working out a registered provider’s volatility in overseas student enrolments. </w:t>
      </w:r>
      <w:r w:rsidR="002E5B40" w:rsidRPr="00001EB9">
        <w:rPr>
          <w:rFonts w:asciiTheme="minorHAnsi" w:hAnsiTheme="minorHAnsi" w:cstheme="minorHAnsi"/>
        </w:rPr>
        <w:t>Subsection 9(</w:t>
      </w:r>
      <w:r w:rsidR="00277DB8">
        <w:rPr>
          <w:rFonts w:asciiTheme="minorHAnsi" w:hAnsiTheme="minorHAnsi" w:cstheme="minorHAnsi"/>
        </w:rPr>
        <w:t>5</w:t>
      </w:r>
      <w:r w:rsidR="002E5B40" w:rsidRPr="00001EB9">
        <w:rPr>
          <w:rFonts w:asciiTheme="minorHAnsi" w:hAnsiTheme="minorHAnsi" w:cstheme="minorHAnsi"/>
        </w:rPr>
        <w:t>)</w:t>
      </w:r>
      <w:r>
        <w:rPr>
          <w:rFonts w:asciiTheme="minorHAnsi" w:hAnsiTheme="minorHAnsi" w:cstheme="minorHAnsi"/>
        </w:rPr>
        <w:t xml:space="preserve"> provides that</w:t>
      </w:r>
      <w:r w:rsidR="00670F96" w:rsidRPr="00BF7821">
        <w:rPr>
          <w:rFonts w:asciiTheme="minorHAnsi" w:hAnsiTheme="minorHAnsi" w:cstheme="minorHAnsi"/>
        </w:rPr>
        <w:t>,</w:t>
      </w:r>
      <w:r w:rsidRPr="00BF7821">
        <w:rPr>
          <w:rFonts w:asciiTheme="minorHAnsi" w:hAnsiTheme="minorHAnsi" w:cstheme="minorHAnsi"/>
        </w:rPr>
        <w:t xml:space="preserve"> if a registered provider did not have overseas enrolments in </w:t>
      </w:r>
      <w:r w:rsidR="00744754" w:rsidRPr="00BF7821">
        <w:rPr>
          <w:rFonts w:asciiTheme="minorHAnsi" w:hAnsiTheme="minorHAnsi" w:cstheme="minorHAnsi"/>
        </w:rPr>
        <w:t>202</w:t>
      </w:r>
      <w:r w:rsidR="006D23E2">
        <w:rPr>
          <w:rFonts w:asciiTheme="minorHAnsi" w:hAnsiTheme="minorHAnsi" w:cstheme="minorHAnsi"/>
        </w:rPr>
        <w:t>4</w:t>
      </w:r>
      <w:r w:rsidRPr="00BF7821">
        <w:rPr>
          <w:rFonts w:asciiTheme="minorHAnsi" w:hAnsiTheme="minorHAnsi" w:cstheme="minorHAnsi"/>
        </w:rPr>
        <w:t>, the registered provider’s volatility in overseas student enrolments is 0%.</w:t>
      </w:r>
      <w:r w:rsidR="002E5B40" w:rsidRPr="00001EB9">
        <w:rPr>
          <w:rFonts w:asciiTheme="minorHAnsi" w:hAnsiTheme="minorHAnsi" w:cstheme="minorHAnsi"/>
        </w:rPr>
        <w:t xml:space="preserve"> </w:t>
      </w:r>
      <w:r>
        <w:rPr>
          <w:rFonts w:asciiTheme="minorHAnsi" w:hAnsiTheme="minorHAnsi" w:cstheme="minorHAnsi"/>
        </w:rPr>
        <w:t>Subsection</w:t>
      </w:r>
      <w:r w:rsidRPr="00001EB9">
        <w:rPr>
          <w:rFonts w:asciiTheme="minorHAnsi" w:hAnsiTheme="minorHAnsi" w:cstheme="minorHAnsi"/>
        </w:rPr>
        <w:t xml:space="preserve"> </w:t>
      </w:r>
      <w:r w:rsidR="002E5B40" w:rsidRPr="00001EB9">
        <w:rPr>
          <w:rFonts w:asciiTheme="minorHAnsi" w:hAnsiTheme="minorHAnsi" w:cstheme="minorHAnsi"/>
        </w:rPr>
        <w:t>9(</w:t>
      </w:r>
      <w:r w:rsidR="002E4F1A">
        <w:rPr>
          <w:rFonts w:asciiTheme="minorHAnsi" w:hAnsiTheme="minorHAnsi" w:cstheme="minorHAnsi"/>
        </w:rPr>
        <w:t>6</w:t>
      </w:r>
      <w:r w:rsidR="002E5B40" w:rsidRPr="00001EB9">
        <w:rPr>
          <w:rFonts w:asciiTheme="minorHAnsi" w:hAnsiTheme="minorHAnsi" w:cstheme="minorHAnsi"/>
        </w:rPr>
        <w:t>) provide</w:t>
      </w:r>
      <w:r>
        <w:rPr>
          <w:rFonts w:asciiTheme="minorHAnsi" w:hAnsiTheme="minorHAnsi" w:cstheme="minorHAnsi"/>
        </w:rPr>
        <w:t>s</w:t>
      </w:r>
      <w:r w:rsidR="002E5B40" w:rsidRPr="00001EB9">
        <w:rPr>
          <w:rFonts w:asciiTheme="minorHAnsi" w:hAnsiTheme="minorHAnsi" w:cstheme="minorHAnsi"/>
        </w:rPr>
        <w:t xml:space="preserve"> </w:t>
      </w:r>
      <w:r>
        <w:rPr>
          <w:rFonts w:asciiTheme="minorHAnsi" w:hAnsiTheme="minorHAnsi" w:cstheme="minorHAnsi"/>
        </w:rPr>
        <w:t>a</w:t>
      </w:r>
      <w:r w:rsidRPr="00001EB9">
        <w:rPr>
          <w:rFonts w:asciiTheme="minorHAnsi" w:hAnsiTheme="minorHAnsi" w:cstheme="minorHAnsi"/>
        </w:rPr>
        <w:t xml:space="preserve"> </w:t>
      </w:r>
      <w:r w:rsidR="002E5B40" w:rsidRPr="00001EB9">
        <w:rPr>
          <w:rFonts w:asciiTheme="minorHAnsi" w:hAnsiTheme="minorHAnsi" w:cstheme="minorHAnsi"/>
        </w:rPr>
        <w:t>formula to work out the percentage of a registered provider’s volatility in overseas student enrolments. The resulting percentage is used to determine which numerical increase factor applies under subsection 9(</w:t>
      </w:r>
      <w:r w:rsidR="002E4F1A">
        <w:rPr>
          <w:rFonts w:asciiTheme="minorHAnsi" w:hAnsiTheme="minorHAnsi" w:cstheme="minorHAnsi"/>
        </w:rPr>
        <w:t>3</w:t>
      </w:r>
      <w:r w:rsidR="002E5B40" w:rsidRPr="00001EB9">
        <w:rPr>
          <w:rFonts w:asciiTheme="minorHAnsi" w:hAnsiTheme="minorHAnsi" w:cstheme="minorHAnsi"/>
        </w:rPr>
        <w:t xml:space="preserve">). </w:t>
      </w:r>
      <w:r w:rsidR="00E72CCB">
        <w:rPr>
          <w:rFonts w:asciiTheme="minorHAnsi" w:hAnsiTheme="minorHAnsi" w:cstheme="minorHAnsi"/>
        </w:rPr>
        <w:t>The</w:t>
      </w:r>
      <w:r w:rsidR="00AD1232">
        <w:rPr>
          <w:rFonts w:asciiTheme="minorHAnsi" w:hAnsiTheme="minorHAnsi" w:cstheme="minorHAnsi"/>
        </w:rPr>
        <w:t xml:space="preserve"> amended</w:t>
      </w:r>
      <w:r w:rsidR="00E72CCB">
        <w:rPr>
          <w:rFonts w:asciiTheme="minorHAnsi" w:hAnsiTheme="minorHAnsi" w:cstheme="minorHAnsi"/>
        </w:rPr>
        <w:t xml:space="preserve"> formula </w:t>
      </w:r>
      <w:r w:rsidR="00AD1232">
        <w:rPr>
          <w:rFonts w:asciiTheme="minorHAnsi" w:hAnsiTheme="minorHAnsi" w:cstheme="minorHAnsi"/>
        </w:rPr>
        <w:t>clarifies</w:t>
      </w:r>
      <w:r w:rsidR="00E72CCB">
        <w:rPr>
          <w:rFonts w:asciiTheme="minorHAnsi" w:hAnsiTheme="minorHAnsi" w:cstheme="minorHAnsi"/>
        </w:rPr>
        <w:t xml:space="preserve"> the intended operation</w:t>
      </w:r>
      <w:r w:rsidR="00AD1232">
        <w:rPr>
          <w:rFonts w:asciiTheme="minorHAnsi" w:hAnsiTheme="minorHAnsi" w:cstheme="minorHAnsi"/>
        </w:rPr>
        <w:t xml:space="preserve"> </w:t>
      </w:r>
      <w:r w:rsidR="0070245E">
        <w:rPr>
          <w:rFonts w:asciiTheme="minorHAnsi" w:hAnsiTheme="minorHAnsi" w:cstheme="minorHAnsi"/>
        </w:rPr>
        <w:t>of the calculation</w:t>
      </w:r>
      <w:r w:rsidR="00AD1232">
        <w:rPr>
          <w:rFonts w:asciiTheme="minorHAnsi" w:hAnsiTheme="minorHAnsi" w:cstheme="minorHAnsi"/>
        </w:rPr>
        <w:t>.</w:t>
      </w:r>
    </w:p>
    <w:p w14:paraId="4737E2B1" w14:textId="183B11A0" w:rsidR="007A7972" w:rsidRPr="00BF7821" w:rsidRDefault="007A7972" w:rsidP="007A7972">
      <w:pPr>
        <w:pStyle w:val="ListParagraph"/>
        <w:keepNext/>
        <w:numPr>
          <w:ilvl w:val="0"/>
          <w:numId w:val="2"/>
        </w:numPr>
        <w:spacing w:before="360" w:after="120"/>
        <w:rPr>
          <w:rFonts w:asciiTheme="minorHAnsi" w:hAnsiTheme="minorHAnsi" w:cstheme="minorHAnsi"/>
        </w:rPr>
      </w:pPr>
      <w:r w:rsidRPr="00BF7821">
        <w:rPr>
          <w:rFonts w:asciiTheme="minorHAnsi" w:hAnsiTheme="minorHAnsi" w:cstheme="minorHAnsi"/>
        </w:rPr>
        <w:t>Examples</w:t>
      </w:r>
      <w:r w:rsidR="00220CA7" w:rsidRPr="00BF7821">
        <w:rPr>
          <w:rFonts w:asciiTheme="minorHAnsi" w:hAnsiTheme="minorHAnsi" w:cstheme="minorHAnsi"/>
        </w:rPr>
        <w:t xml:space="preserve"> of how the risk factor for</w:t>
      </w:r>
      <w:r w:rsidRPr="00BF7821">
        <w:rPr>
          <w:rFonts w:asciiTheme="minorHAnsi" w:hAnsiTheme="minorHAnsi" w:cstheme="minorHAnsi"/>
        </w:rPr>
        <w:t xml:space="preserve"> volatility in overseas student enrolments is calculated for</w:t>
      </w:r>
      <w:r w:rsidR="00220CA7" w:rsidRPr="00BF7821">
        <w:rPr>
          <w:rFonts w:asciiTheme="minorHAnsi" w:hAnsiTheme="minorHAnsi" w:cstheme="minorHAnsi"/>
        </w:rPr>
        <w:t xml:space="preserve"> a </w:t>
      </w:r>
      <w:r w:rsidR="003F115C" w:rsidRPr="00BF7821">
        <w:rPr>
          <w:rFonts w:asciiTheme="minorHAnsi" w:hAnsiTheme="minorHAnsi" w:cstheme="minorHAnsi"/>
        </w:rPr>
        <w:t>registered provider</w:t>
      </w:r>
      <w:r w:rsidR="00220CA7" w:rsidRPr="00BF7821">
        <w:rPr>
          <w:rFonts w:asciiTheme="minorHAnsi" w:hAnsiTheme="minorHAnsi" w:cstheme="minorHAnsi"/>
        </w:rPr>
        <w:t xml:space="preserve"> </w:t>
      </w:r>
      <w:r w:rsidR="00857737" w:rsidRPr="00BF7821">
        <w:rPr>
          <w:rFonts w:asciiTheme="minorHAnsi" w:hAnsiTheme="minorHAnsi" w:cstheme="minorHAnsi"/>
        </w:rPr>
        <w:t>are</w:t>
      </w:r>
      <w:r w:rsidR="00AD261A" w:rsidRPr="00BF7821">
        <w:rPr>
          <w:rFonts w:asciiTheme="minorHAnsi" w:hAnsiTheme="minorHAnsi" w:cstheme="minorHAnsi"/>
        </w:rPr>
        <w:t xml:space="preserve"> </w:t>
      </w:r>
      <w:r w:rsidRPr="00BF7821">
        <w:rPr>
          <w:rFonts w:asciiTheme="minorHAnsi" w:hAnsiTheme="minorHAnsi" w:cstheme="minorHAnsi"/>
        </w:rPr>
        <w:t xml:space="preserve">set out below. </w:t>
      </w:r>
    </w:p>
    <w:p w14:paraId="503F0D05" w14:textId="3676BEEB" w:rsidR="007A7972" w:rsidRPr="00BF7821" w:rsidRDefault="007A7972" w:rsidP="007A7972">
      <w:pPr>
        <w:pStyle w:val="ListParagraph"/>
        <w:keepNext/>
        <w:numPr>
          <w:ilvl w:val="0"/>
          <w:numId w:val="5"/>
        </w:numPr>
        <w:spacing w:before="360" w:after="120"/>
        <w:rPr>
          <w:rFonts w:asciiTheme="minorHAnsi" w:hAnsiTheme="minorHAnsi" w:cstheme="minorHAnsi"/>
        </w:rPr>
      </w:pPr>
      <w:r w:rsidRPr="00BF7821">
        <w:rPr>
          <w:rFonts w:asciiTheme="minorHAnsi" w:hAnsiTheme="minorHAnsi" w:cstheme="minorHAnsi"/>
        </w:rPr>
        <w:t xml:space="preserve">A non-exempt </w:t>
      </w:r>
      <w:r w:rsidR="003F115C" w:rsidRPr="00BF7821">
        <w:rPr>
          <w:rFonts w:asciiTheme="minorHAnsi" w:hAnsiTheme="minorHAnsi" w:cstheme="minorHAnsi"/>
        </w:rPr>
        <w:t>registered</w:t>
      </w:r>
      <w:r w:rsidRPr="00BF7821">
        <w:rPr>
          <w:rFonts w:asciiTheme="minorHAnsi" w:hAnsiTheme="minorHAnsi" w:cstheme="minorHAnsi"/>
        </w:rPr>
        <w:t xml:space="preserve"> provider, that has been in operation for 4 years, has more than 20 </w:t>
      </w:r>
      <w:r w:rsidR="00F642CB">
        <w:rPr>
          <w:rFonts w:asciiTheme="minorHAnsi" w:hAnsiTheme="minorHAnsi" w:cstheme="minorHAnsi"/>
        </w:rPr>
        <w:t xml:space="preserve">overseas </w:t>
      </w:r>
      <w:r w:rsidRPr="00BF7821">
        <w:rPr>
          <w:rFonts w:asciiTheme="minorHAnsi" w:hAnsiTheme="minorHAnsi" w:cstheme="minorHAnsi"/>
        </w:rPr>
        <w:t>student enrolments and $600,000</w:t>
      </w:r>
      <w:r w:rsidR="00220CA7" w:rsidRPr="00BF7821">
        <w:rPr>
          <w:rFonts w:asciiTheme="minorHAnsi" w:hAnsiTheme="minorHAnsi" w:cstheme="minorHAnsi"/>
        </w:rPr>
        <w:t xml:space="preserve"> </w:t>
      </w:r>
      <w:r w:rsidRPr="00BF7821">
        <w:rPr>
          <w:rFonts w:asciiTheme="minorHAnsi" w:hAnsiTheme="minorHAnsi" w:cstheme="minorHAnsi"/>
        </w:rPr>
        <w:t>in tuition fee income,</w:t>
      </w:r>
      <w:r w:rsidR="00645AE0">
        <w:rPr>
          <w:rFonts w:asciiTheme="minorHAnsi" w:hAnsiTheme="minorHAnsi" w:cstheme="minorHAnsi"/>
        </w:rPr>
        <w:t xml:space="preserve"> whose proportion of overseas student enrolments is 20% or more of its total student population,</w:t>
      </w:r>
      <w:r w:rsidRPr="00BF7821">
        <w:rPr>
          <w:rFonts w:asciiTheme="minorHAnsi" w:hAnsiTheme="minorHAnsi" w:cstheme="minorHAnsi"/>
        </w:rPr>
        <w:t xml:space="preserve"> had 40 </w:t>
      </w:r>
      <w:r w:rsidR="00F642CB">
        <w:rPr>
          <w:rFonts w:asciiTheme="minorHAnsi" w:hAnsiTheme="minorHAnsi" w:cstheme="minorHAnsi"/>
        </w:rPr>
        <w:t xml:space="preserve">overseas </w:t>
      </w:r>
      <w:r w:rsidRPr="00BF7821">
        <w:rPr>
          <w:rFonts w:asciiTheme="minorHAnsi" w:hAnsiTheme="minorHAnsi" w:cstheme="minorHAnsi"/>
        </w:rPr>
        <w:t>student enrolments in</w:t>
      </w:r>
      <w:r w:rsidR="00715A36" w:rsidRPr="00BF7821">
        <w:rPr>
          <w:rFonts w:asciiTheme="minorHAnsi" w:hAnsiTheme="minorHAnsi" w:cstheme="minorHAnsi"/>
        </w:rPr>
        <w:t xml:space="preserve"> 202</w:t>
      </w:r>
      <w:r w:rsidR="00896362">
        <w:rPr>
          <w:rFonts w:asciiTheme="minorHAnsi" w:hAnsiTheme="minorHAnsi" w:cstheme="minorHAnsi"/>
        </w:rPr>
        <w:t>4</w:t>
      </w:r>
      <w:r w:rsidRPr="00BF7821">
        <w:rPr>
          <w:rFonts w:asciiTheme="minorHAnsi" w:hAnsiTheme="minorHAnsi" w:cstheme="minorHAnsi"/>
        </w:rPr>
        <w:t xml:space="preserve"> and 150 </w:t>
      </w:r>
      <w:r w:rsidR="00F642CB">
        <w:rPr>
          <w:rFonts w:asciiTheme="minorHAnsi" w:hAnsiTheme="minorHAnsi" w:cstheme="minorHAnsi"/>
        </w:rPr>
        <w:t xml:space="preserve">overseas </w:t>
      </w:r>
      <w:r w:rsidRPr="00BF7821">
        <w:rPr>
          <w:rFonts w:asciiTheme="minorHAnsi" w:hAnsiTheme="minorHAnsi" w:cstheme="minorHAnsi"/>
        </w:rPr>
        <w:t xml:space="preserve">student enrolments in </w:t>
      </w:r>
      <w:r w:rsidR="00715A36" w:rsidRPr="00BF7821">
        <w:rPr>
          <w:rFonts w:asciiTheme="minorHAnsi" w:hAnsiTheme="minorHAnsi" w:cstheme="minorHAnsi"/>
        </w:rPr>
        <w:t>202</w:t>
      </w:r>
      <w:r w:rsidR="00896362">
        <w:rPr>
          <w:rFonts w:asciiTheme="minorHAnsi" w:hAnsiTheme="minorHAnsi" w:cstheme="minorHAnsi"/>
        </w:rPr>
        <w:t>3</w:t>
      </w:r>
      <w:r w:rsidRPr="00BF7821">
        <w:rPr>
          <w:rFonts w:asciiTheme="minorHAnsi" w:hAnsiTheme="minorHAnsi" w:cstheme="minorHAnsi"/>
        </w:rPr>
        <w:t xml:space="preserve">. The percentage of </w:t>
      </w:r>
      <w:r w:rsidR="009A433E" w:rsidRPr="00BF7821">
        <w:rPr>
          <w:rFonts w:asciiTheme="minorHAnsi" w:hAnsiTheme="minorHAnsi" w:cstheme="minorHAnsi"/>
        </w:rPr>
        <w:t>the</w:t>
      </w:r>
      <w:r w:rsidRPr="00BF7821">
        <w:rPr>
          <w:rFonts w:asciiTheme="minorHAnsi" w:hAnsiTheme="minorHAnsi" w:cstheme="minorHAnsi"/>
        </w:rPr>
        <w:t xml:space="preserve"> registered provider’s volatility in overseas student enrolments using the formula in </w:t>
      </w:r>
      <w:r w:rsidRPr="00BF7821">
        <w:rPr>
          <w:rFonts w:asciiTheme="minorHAnsi" w:hAnsiTheme="minorHAnsi" w:cstheme="minorHAnsi"/>
        </w:rPr>
        <w:lastRenderedPageBreak/>
        <w:t>subsection 9(</w:t>
      </w:r>
      <w:r w:rsidR="00A52DCB" w:rsidRPr="00BF7821">
        <w:rPr>
          <w:rFonts w:asciiTheme="minorHAnsi" w:hAnsiTheme="minorHAnsi" w:cstheme="minorHAnsi"/>
        </w:rPr>
        <w:t>6</w:t>
      </w:r>
      <w:r w:rsidRPr="00BF7821">
        <w:rPr>
          <w:rFonts w:asciiTheme="minorHAnsi" w:hAnsiTheme="minorHAnsi" w:cstheme="minorHAnsi"/>
        </w:rPr>
        <w:t xml:space="preserve">) would be </w:t>
      </w:r>
      <w:r w:rsidR="000D5A9B">
        <w:rPr>
          <w:rFonts w:asciiTheme="minorHAnsi" w:hAnsiTheme="minorHAnsi" w:cstheme="minorHAnsi"/>
        </w:rPr>
        <w:t>-</w:t>
      </w:r>
      <w:r w:rsidRPr="00BF7821">
        <w:rPr>
          <w:rFonts w:asciiTheme="minorHAnsi" w:hAnsiTheme="minorHAnsi" w:cstheme="minorHAnsi"/>
        </w:rPr>
        <w:t xml:space="preserve">73%. As the provider has been in operation for 4 years, </w:t>
      </w:r>
      <w:r w:rsidR="009A433E" w:rsidRPr="00BF7821">
        <w:rPr>
          <w:rFonts w:asciiTheme="minorHAnsi" w:hAnsiTheme="minorHAnsi" w:cstheme="minorHAnsi"/>
        </w:rPr>
        <w:t>its</w:t>
      </w:r>
      <w:r w:rsidRPr="00BF7821">
        <w:rPr>
          <w:rFonts w:asciiTheme="minorHAnsi" w:hAnsiTheme="minorHAnsi" w:cstheme="minorHAnsi"/>
        </w:rPr>
        <w:t xml:space="preserve"> </w:t>
      </w:r>
      <w:r w:rsidR="00716F7D">
        <w:rPr>
          <w:rFonts w:asciiTheme="minorHAnsi" w:hAnsiTheme="minorHAnsi" w:cstheme="minorHAnsi"/>
        </w:rPr>
        <w:t>increase</w:t>
      </w:r>
      <w:r w:rsidRPr="00BF7821">
        <w:rPr>
          <w:rFonts w:asciiTheme="minorHAnsi" w:hAnsiTheme="minorHAnsi" w:cstheme="minorHAnsi"/>
        </w:rPr>
        <w:t xml:space="preserve"> factor would be 2.6.</w:t>
      </w:r>
    </w:p>
    <w:p w14:paraId="28B1F1DB" w14:textId="10AADBA8" w:rsidR="007A7972" w:rsidRPr="00BF7821" w:rsidRDefault="007A7972" w:rsidP="009C50A2">
      <w:pPr>
        <w:pStyle w:val="ListParagraph"/>
        <w:keepNext/>
        <w:numPr>
          <w:ilvl w:val="0"/>
          <w:numId w:val="5"/>
        </w:numPr>
        <w:spacing w:before="360" w:after="120"/>
        <w:rPr>
          <w:rFonts w:asciiTheme="minorHAnsi" w:hAnsiTheme="minorHAnsi" w:cstheme="minorHAnsi"/>
        </w:rPr>
      </w:pPr>
      <w:r w:rsidRPr="00BF7821">
        <w:rPr>
          <w:rFonts w:asciiTheme="minorHAnsi" w:hAnsiTheme="minorHAnsi" w:cstheme="minorHAnsi"/>
        </w:rPr>
        <w:t xml:space="preserve">A non-exempt </w:t>
      </w:r>
      <w:r w:rsidR="003F115C" w:rsidRPr="00BF7821">
        <w:rPr>
          <w:rFonts w:asciiTheme="minorHAnsi" w:hAnsiTheme="minorHAnsi" w:cstheme="minorHAnsi"/>
        </w:rPr>
        <w:t>registered</w:t>
      </w:r>
      <w:r w:rsidRPr="00BF7821">
        <w:rPr>
          <w:rFonts w:asciiTheme="minorHAnsi" w:hAnsiTheme="minorHAnsi" w:cstheme="minorHAnsi"/>
        </w:rPr>
        <w:t xml:space="preserve"> provider, that has been in operation for 6 years, has more than 20 </w:t>
      </w:r>
      <w:r w:rsidR="00F642CB">
        <w:rPr>
          <w:rFonts w:asciiTheme="minorHAnsi" w:hAnsiTheme="minorHAnsi" w:cstheme="minorHAnsi"/>
        </w:rPr>
        <w:t xml:space="preserve">overseas </w:t>
      </w:r>
      <w:r w:rsidRPr="00BF7821">
        <w:rPr>
          <w:rFonts w:asciiTheme="minorHAnsi" w:hAnsiTheme="minorHAnsi" w:cstheme="minorHAnsi"/>
        </w:rPr>
        <w:t xml:space="preserve">student enrolments and $760,000 </w:t>
      </w:r>
      <w:r w:rsidR="00350784" w:rsidRPr="00BF7821">
        <w:rPr>
          <w:rFonts w:asciiTheme="minorHAnsi" w:hAnsiTheme="minorHAnsi" w:cstheme="minorHAnsi"/>
        </w:rPr>
        <w:t xml:space="preserve">in tuition fee income, </w:t>
      </w:r>
      <w:r w:rsidR="00A40CB1">
        <w:rPr>
          <w:rFonts w:asciiTheme="minorHAnsi" w:hAnsiTheme="minorHAnsi" w:cstheme="minorHAnsi"/>
        </w:rPr>
        <w:t>whose proportion of overseas student enrolments is 20% or more of its total student population,</w:t>
      </w:r>
      <w:r w:rsidR="00A40CB1" w:rsidRPr="00BF7821">
        <w:rPr>
          <w:rFonts w:asciiTheme="minorHAnsi" w:hAnsiTheme="minorHAnsi" w:cstheme="minorHAnsi"/>
        </w:rPr>
        <w:t xml:space="preserve"> </w:t>
      </w:r>
      <w:r w:rsidR="00350784" w:rsidRPr="00BF7821">
        <w:rPr>
          <w:rFonts w:asciiTheme="minorHAnsi" w:hAnsiTheme="minorHAnsi" w:cstheme="minorHAnsi"/>
        </w:rPr>
        <w:t xml:space="preserve">had 300 </w:t>
      </w:r>
      <w:r w:rsidR="00F642CB">
        <w:rPr>
          <w:rFonts w:asciiTheme="minorHAnsi" w:hAnsiTheme="minorHAnsi" w:cstheme="minorHAnsi"/>
        </w:rPr>
        <w:t xml:space="preserve">overseas </w:t>
      </w:r>
      <w:r w:rsidR="00350784" w:rsidRPr="00BF7821">
        <w:rPr>
          <w:rFonts w:asciiTheme="minorHAnsi" w:hAnsiTheme="minorHAnsi" w:cstheme="minorHAnsi"/>
        </w:rPr>
        <w:t xml:space="preserve">student enrolments in </w:t>
      </w:r>
      <w:r w:rsidR="00715A36" w:rsidRPr="00BF7821">
        <w:rPr>
          <w:rFonts w:asciiTheme="minorHAnsi" w:hAnsiTheme="minorHAnsi" w:cstheme="minorHAnsi"/>
        </w:rPr>
        <w:t>202</w:t>
      </w:r>
      <w:r w:rsidR="00F85613">
        <w:rPr>
          <w:rFonts w:asciiTheme="minorHAnsi" w:hAnsiTheme="minorHAnsi" w:cstheme="minorHAnsi"/>
        </w:rPr>
        <w:t>4</w:t>
      </w:r>
      <w:r w:rsidR="00350784" w:rsidRPr="00BF7821">
        <w:rPr>
          <w:rFonts w:asciiTheme="minorHAnsi" w:hAnsiTheme="minorHAnsi" w:cstheme="minorHAnsi"/>
        </w:rPr>
        <w:t xml:space="preserve"> and 210 </w:t>
      </w:r>
      <w:r w:rsidR="00F642CB">
        <w:rPr>
          <w:rFonts w:asciiTheme="minorHAnsi" w:hAnsiTheme="minorHAnsi" w:cstheme="minorHAnsi"/>
        </w:rPr>
        <w:t xml:space="preserve">overseas </w:t>
      </w:r>
      <w:r w:rsidR="00350784" w:rsidRPr="00BF7821">
        <w:rPr>
          <w:rFonts w:asciiTheme="minorHAnsi" w:hAnsiTheme="minorHAnsi" w:cstheme="minorHAnsi"/>
        </w:rPr>
        <w:t xml:space="preserve">student enrolments in </w:t>
      </w:r>
      <w:r w:rsidR="00715A36" w:rsidRPr="00BF7821">
        <w:rPr>
          <w:rFonts w:asciiTheme="minorHAnsi" w:hAnsiTheme="minorHAnsi" w:cstheme="minorHAnsi"/>
        </w:rPr>
        <w:t>202</w:t>
      </w:r>
      <w:r w:rsidR="00F85613">
        <w:rPr>
          <w:rFonts w:asciiTheme="minorHAnsi" w:hAnsiTheme="minorHAnsi" w:cstheme="minorHAnsi"/>
        </w:rPr>
        <w:t>3</w:t>
      </w:r>
      <w:r w:rsidR="00350784" w:rsidRPr="00BF7821">
        <w:rPr>
          <w:rFonts w:asciiTheme="minorHAnsi" w:hAnsiTheme="minorHAnsi" w:cstheme="minorHAnsi"/>
        </w:rPr>
        <w:t xml:space="preserve">. The </w:t>
      </w:r>
      <w:r w:rsidR="00153BDA">
        <w:rPr>
          <w:rFonts w:asciiTheme="minorHAnsi" w:hAnsiTheme="minorHAnsi" w:cstheme="minorHAnsi"/>
        </w:rPr>
        <w:t xml:space="preserve">percentage of the </w:t>
      </w:r>
      <w:r w:rsidR="00350784" w:rsidRPr="00BF7821">
        <w:rPr>
          <w:rFonts w:asciiTheme="minorHAnsi" w:hAnsiTheme="minorHAnsi" w:cstheme="minorHAnsi"/>
        </w:rPr>
        <w:t>registered provider</w:t>
      </w:r>
      <w:r w:rsidR="00153BDA">
        <w:rPr>
          <w:rFonts w:asciiTheme="minorHAnsi" w:hAnsiTheme="minorHAnsi" w:cstheme="minorHAnsi"/>
        </w:rPr>
        <w:t>’s volatility in overseas</w:t>
      </w:r>
      <w:r w:rsidR="00F1139B">
        <w:rPr>
          <w:rFonts w:asciiTheme="minorHAnsi" w:hAnsiTheme="minorHAnsi" w:cstheme="minorHAnsi"/>
        </w:rPr>
        <w:t xml:space="preserve"> student enrolments using the formula in subsection 9(6) would be 43%</w:t>
      </w:r>
      <w:r w:rsidR="00350784" w:rsidRPr="00BF7821">
        <w:rPr>
          <w:rFonts w:asciiTheme="minorHAnsi" w:hAnsiTheme="minorHAnsi" w:cstheme="minorHAnsi"/>
        </w:rPr>
        <w:t>.</w:t>
      </w:r>
      <w:r w:rsidR="00EC3669">
        <w:rPr>
          <w:rFonts w:asciiTheme="minorHAnsi" w:hAnsiTheme="minorHAnsi" w:cstheme="minorHAnsi"/>
        </w:rPr>
        <w:t xml:space="preserve"> As the provider has been in operation for 6</w:t>
      </w:r>
      <w:r w:rsidR="008D5531">
        <w:rPr>
          <w:rFonts w:asciiTheme="minorHAnsi" w:hAnsiTheme="minorHAnsi" w:cstheme="minorHAnsi"/>
        </w:rPr>
        <w:t> </w:t>
      </w:r>
      <w:r w:rsidR="00EC3669">
        <w:rPr>
          <w:rFonts w:asciiTheme="minorHAnsi" w:hAnsiTheme="minorHAnsi" w:cstheme="minorHAnsi"/>
        </w:rPr>
        <w:t>years</w:t>
      </w:r>
      <w:r w:rsidR="00E44A95">
        <w:rPr>
          <w:rFonts w:asciiTheme="minorHAnsi" w:hAnsiTheme="minorHAnsi" w:cstheme="minorHAnsi"/>
        </w:rPr>
        <w:t xml:space="preserve">, its </w:t>
      </w:r>
      <w:r w:rsidR="00915707">
        <w:rPr>
          <w:rFonts w:asciiTheme="minorHAnsi" w:hAnsiTheme="minorHAnsi" w:cstheme="minorHAnsi"/>
        </w:rPr>
        <w:t>increase</w:t>
      </w:r>
      <w:r w:rsidR="00E44A95">
        <w:rPr>
          <w:rFonts w:asciiTheme="minorHAnsi" w:hAnsiTheme="minorHAnsi" w:cstheme="minorHAnsi"/>
        </w:rPr>
        <w:t xml:space="preserve"> factor would be </w:t>
      </w:r>
      <w:r w:rsidR="008F0D06">
        <w:rPr>
          <w:rFonts w:asciiTheme="minorHAnsi" w:hAnsiTheme="minorHAnsi" w:cstheme="minorHAnsi"/>
        </w:rPr>
        <w:t>0.4</w:t>
      </w:r>
      <w:r w:rsidR="00E44A95">
        <w:rPr>
          <w:rFonts w:asciiTheme="minorHAnsi" w:hAnsiTheme="minorHAnsi" w:cstheme="minorHAnsi"/>
        </w:rPr>
        <w:t>.</w:t>
      </w:r>
      <w:r w:rsidR="00350784" w:rsidRPr="00BF7821">
        <w:rPr>
          <w:rFonts w:asciiTheme="minorHAnsi" w:hAnsiTheme="minorHAnsi" w:cstheme="minorHAnsi"/>
        </w:rPr>
        <w:t xml:space="preserve"> </w:t>
      </w:r>
    </w:p>
    <w:p w14:paraId="6F9987E2" w14:textId="77777777"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 xml:space="preserve">Section 10: Risk factor – maximum overseas source country concentration </w:t>
      </w:r>
    </w:p>
    <w:p w14:paraId="6FFEE495" w14:textId="16E32400"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Section 10 sets out the maximum overseas source country concentration</w:t>
      </w:r>
      <w:r w:rsidR="00334A0C">
        <w:rPr>
          <w:rFonts w:asciiTheme="minorHAnsi" w:hAnsiTheme="minorHAnsi" w:cstheme="minorHAnsi"/>
        </w:rPr>
        <w:t xml:space="preserve"> risk factor</w:t>
      </w:r>
      <w:r w:rsidRPr="00D2539C">
        <w:rPr>
          <w:rFonts w:asciiTheme="minorHAnsi" w:hAnsiTheme="minorHAnsi" w:cstheme="minorHAnsi"/>
        </w:rPr>
        <w:t>, which applies to non-exempt providers that fulfil the criteria specified in subsection 10(1).</w:t>
      </w:r>
    </w:p>
    <w:p w14:paraId="27F46435" w14:textId="7E31E8DE" w:rsidR="00647830" w:rsidRPr="00BF7821" w:rsidRDefault="00647830" w:rsidP="002E5B40">
      <w:pPr>
        <w:pStyle w:val="ListParagraph"/>
        <w:keepNext/>
        <w:numPr>
          <w:ilvl w:val="0"/>
          <w:numId w:val="2"/>
        </w:numPr>
        <w:spacing w:before="360" w:after="120"/>
        <w:rPr>
          <w:rFonts w:asciiTheme="minorHAnsi" w:hAnsiTheme="minorHAnsi" w:cstheme="minorHAnsi"/>
        </w:rPr>
      </w:pPr>
      <w:r w:rsidRPr="00BF7821">
        <w:rPr>
          <w:rFonts w:asciiTheme="minorHAnsi" w:hAnsiTheme="minorHAnsi" w:cstheme="minorHAnsi"/>
        </w:rPr>
        <w:t>Subsection 10(2) provides</w:t>
      </w:r>
      <w:r w:rsidR="009A11C9" w:rsidRPr="00BF7821">
        <w:rPr>
          <w:rFonts w:asciiTheme="minorHAnsi" w:hAnsiTheme="minorHAnsi" w:cstheme="minorHAnsi"/>
        </w:rPr>
        <w:t xml:space="preserve"> that the risk factor does not apply to non-exempt providers where the provider’s proportion of overseas students is less than 20% of its total student population. </w:t>
      </w:r>
      <w:r w:rsidR="009A11C9" w:rsidRPr="00BF7821">
        <w:rPr>
          <w:rFonts w:ascii="Calibri" w:hAnsi="Calibri" w:cs="Calibri"/>
        </w:rPr>
        <w:t>The TPS Director considers that th</w:t>
      </w:r>
      <w:r w:rsidR="00E34F82" w:rsidRPr="00BF7821">
        <w:rPr>
          <w:rFonts w:ascii="Calibri" w:hAnsi="Calibri" w:cs="Calibri"/>
        </w:rPr>
        <w:t>is</w:t>
      </w:r>
      <w:r w:rsidR="009A11C9" w:rsidRPr="00BF7821">
        <w:rPr>
          <w:rFonts w:ascii="Calibri" w:hAnsi="Calibri" w:cs="Calibri"/>
        </w:rPr>
        <w:t xml:space="preserve"> risk </w:t>
      </w:r>
      <w:r w:rsidR="00CB127C">
        <w:rPr>
          <w:rFonts w:ascii="Calibri" w:hAnsi="Calibri" w:cs="Calibri"/>
        </w:rPr>
        <w:t xml:space="preserve">should not apply </w:t>
      </w:r>
      <w:r w:rsidR="009A11C9" w:rsidRPr="00BF7821">
        <w:rPr>
          <w:rFonts w:ascii="Calibri" w:hAnsi="Calibri" w:cs="Calibri"/>
        </w:rPr>
        <w:t xml:space="preserve">where providers have a small percentage of overseas students proportionate to their overall student population.  </w:t>
      </w:r>
    </w:p>
    <w:p w14:paraId="20940F28" w14:textId="1EF19071"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Subsection 10(</w:t>
      </w:r>
      <w:r w:rsidR="00DE0860">
        <w:rPr>
          <w:rFonts w:asciiTheme="minorHAnsi" w:hAnsiTheme="minorHAnsi" w:cstheme="minorHAnsi"/>
        </w:rPr>
        <w:t>3</w:t>
      </w:r>
      <w:r w:rsidRPr="00D2539C">
        <w:rPr>
          <w:rFonts w:asciiTheme="minorHAnsi" w:hAnsiTheme="minorHAnsi" w:cstheme="minorHAnsi"/>
        </w:rPr>
        <w:t xml:space="preserve">) </w:t>
      </w:r>
      <w:r w:rsidR="00CB127C">
        <w:rPr>
          <w:rFonts w:asciiTheme="minorHAnsi" w:hAnsiTheme="minorHAnsi" w:cstheme="minorHAnsi"/>
        </w:rPr>
        <w:t>sets out in a table</w:t>
      </w:r>
      <w:r w:rsidR="00CB127C" w:rsidRPr="00D2539C">
        <w:rPr>
          <w:rFonts w:asciiTheme="minorHAnsi" w:hAnsiTheme="minorHAnsi" w:cstheme="minorHAnsi"/>
        </w:rPr>
        <w:t xml:space="preserve"> </w:t>
      </w:r>
      <w:r w:rsidRPr="00D2539C">
        <w:rPr>
          <w:rFonts w:asciiTheme="minorHAnsi" w:hAnsiTheme="minorHAnsi" w:cstheme="minorHAnsi"/>
        </w:rPr>
        <w:t>the increase factors</w:t>
      </w:r>
      <w:r>
        <w:rPr>
          <w:rFonts w:asciiTheme="minorHAnsi" w:hAnsiTheme="minorHAnsi" w:cstheme="minorHAnsi"/>
        </w:rPr>
        <w:t xml:space="preserve"> </w:t>
      </w:r>
      <w:r w:rsidR="00CB127C">
        <w:rPr>
          <w:rFonts w:asciiTheme="minorHAnsi" w:hAnsiTheme="minorHAnsi" w:cstheme="minorHAnsi"/>
        </w:rPr>
        <w:t>that apply to a registered provider depending on the provider’s</w:t>
      </w:r>
      <w:r w:rsidR="00CB127C" w:rsidRPr="00D2539C">
        <w:rPr>
          <w:rFonts w:asciiTheme="minorHAnsi" w:hAnsiTheme="minorHAnsi" w:cstheme="minorHAnsi"/>
        </w:rPr>
        <w:t xml:space="preserve"> </w:t>
      </w:r>
      <w:r w:rsidRPr="00D2539C">
        <w:rPr>
          <w:rFonts w:asciiTheme="minorHAnsi" w:hAnsiTheme="minorHAnsi" w:cstheme="minorHAnsi"/>
        </w:rPr>
        <w:t>maximum overseas source country concentration broken down as a percentage for the purposes of paragraph 9(3)(c) of the Act.</w:t>
      </w:r>
    </w:p>
    <w:p w14:paraId="4A2813D4" w14:textId="77777777" w:rsidR="002E5B40" w:rsidRPr="008D5531" w:rsidRDefault="002E5B40" w:rsidP="007648E1">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Subsection 10(</w:t>
      </w:r>
      <w:r w:rsidR="00A252A8">
        <w:rPr>
          <w:rFonts w:asciiTheme="minorHAnsi" w:hAnsiTheme="minorHAnsi" w:cstheme="minorHAnsi"/>
        </w:rPr>
        <w:t>4</w:t>
      </w:r>
      <w:r w:rsidRPr="00D2539C">
        <w:rPr>
          <w:rFonts w:asciiTheme="minorHAnsi" w:hAnsiTheme="minorHAnsi" w:cstheme="minorHAnsi"/>
        </w:rPr>
        <w:t>) provides the formula to work out the</w:t>
      </w:r>
      <w:r w:rsidRPr="008D5531">
        <w:rPr>
          <w:rFonts w:asciiTheme="minorHAnsi" w:hAnsiTheme="minorHAnsi" w:cstheme="minorHAnsi"/>
        </w:rPr>
        <w:t xml:space="preserve"> maximum overseas source country concentration percentage and defines the terms ‘largest number of overseas student enrolments for a country’ and ‘total number of overseas student </w:t>
      </w:r>
      <w:proofErr w:type="gramStart"/>
      <w:r w:rsidRPr="008D5531">
        <w:rPr>
          <w:rFonts w:asciiTheme="minorHAnsi" w:hAnsiTheme="minorHAnsi" w:cstheme="minorHAnsi"/>
        </w:rPr>
        <w:t>enrolments’</w:t>
      </w:r>
      <w:proofErr w:type="gramEnd"/>
      <w:r w:rsidRPr="008D5531">
        <w:rPr>
          <w:rFonts w:asciiTheme="minorHAnsi" w:hAnsiTheme="minorHAnsi" w:cstheme="minorHAnsi"/>
        </w:rPr>
        <w:t>.</w:t>
      </w:r>
    </w:p>
    <w:p w14:paraId="4FF1DD38" w14:textId="77777777"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 xml:space="preserve">Section 11: Risk factor – non-compliance and registration renewal </w:t>
      </w:r>
    </w:p>
    <w:p w14:paraId="0CC0932D" w14:textId="343F0F9A"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Section 11 sets out the non-compliance and registration renewal</w:t>
      </w:r>
      <w:r w:rsidR="00B0469E">
        <w:rPr>
          <w:rFonts w:asciiTheme="minorHAnsi" w:hAnsiTheme="minorHAnsi" w:cstheme="minorHAnsi"/>
        </w:rPr>
        <w:t xml:space="preserve"> risk factor</w:t>
      </w:r>
      <w:r w:rsidRPr="00D2539C">
        <w:rPr>
          <w:rFonts w:asciiTheme="minorHAnsi" w:hAnsiTheme="minorHAnsi" w:cstheme="minorHAnsi"/>
        </w:rPr>
        <w:t>, which applies to all non-exempt providers (subsection 11(1)).</w:t>
      </w:r>
    </w:p>
    <w:p w14:paraId="5A69A56C" w14:textId="3DC37193" w:rsidR="00292810" w:rsidRPr="008D5531" w:rsidRDefault="002E5B40" w:rsidP="002943CA">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11(2) </w:t>
      </w:r>
      <w:r w:rsidR="00CB127C">
        <w:rPr>
          <w:rFonts w:asciiTheme="minorHAnsi" w:hAnsiTheme="minorHAnsi" w:cstheme="minorHAnsi"/>
        </w:rPr>
        <w:t>sets out in a table</w:t>
      </w:r>
      <w:r w:rsidR="00CB127C" w:rsidRPr="00D2539C">
        <w:rPr>
          <w:rFonts w:asciiTheme="minorHAnsi" w:hAnsiTheme="minorHAnsi" w:cstheme="minorHAnsi"/>
        </w:rPr>
        <w:t xml:space="preserve"> </w:t>
      </w:r>
      <w:r w:rsidRPr="00D2539C">
        <w:rPr>
          <w:rFonts w:asciiTheme="minorHAnsi" w:hAnsiTheme="minorHAnsi" w:cstheme="minorHAnsi"/>
        </w:rPr>
        <w:t>the increase factor</w:t>
      </w:r>
      <w:r>
        <w:rPr>
          <w:rFonts w:asciiTheme="minorHAnsi" w:hAnsiTheme="minorHAnsi" w:cstheme="minorHAnsi"/>
        </w:rPr>
        <w:t>s</w:t>
      </w:r>
      <w:r w:rsidRPr="00D2539C">
        <w:rPr>
          <w:rFonts w:asciiTheme="minorHAnsi" w:hAnsiTheme="minorHAnsi" w:cstheme="minorHAnsi"/>
        </w:rPr>
        <w:t xml:space="preserve"> </w:t>
      </w:r>
      <w:r w:rsidR="00CB127C">
        <w:rPr>
          <w:rFonts w:asciiTheme="minorHAnsi" w:hAnsiTheme="minorHAnsi" w:cstheme="minorHAnsi"/>
        </w:rPr>
        <w:t>that apply for a registered provider’s</w:t>
      </w:r>
      <w:r w:rsidRPr="00D2539C">
        <w:rPr>
          <w:rFonts w:asciiTheme="minorHAnsi" w:hAnsiTheme="minorHAnsi" w:cstheme="minorHAnsi"/>
        </w:rPr>
        <w:t xml:space="preserve"> non-compliance and registration renewal</w:t>
      </w:r>
      <w:r w:rsidR="00CB127C">
        <w:rPr>
          <w:rFonts w:asciiTheme="minorHAnsi" w:hAnsiTheme="minorHAnsi" w:cstheme="minorHAnsi"/>
        </w:rPr>
        <w:t xml:space="preserve"> risk factor</w:t>
      </w:r>
      <w:r w:rsidRPr="00D2539C">
        <w:rPr>
          <w:rFonts w:asciiTheme="minorHAnsi" w:hAnsiTheme="minorHAnsi" w:cstheme="minorHAnsi"/>
        </w:rPr>
        <w:t xml:space="preserve"> for the purposes of paragraph 9(3)(c) of the Act.</w:t>
      </w:r>
      <w:r w:rsidR="0030234B">
        <w:rPr>
          <w:rFonts w:asciiTheme="minorHAnsi" w:hAnsiTheme="minorHAnsi" w:cstheme="minorHAnsi"/>
        </w:rPr>
        <w:t xml:space="preserve"> </w:t>
      </w:r>
      <w:r w:rsidR="00292810" w:rsidRPr="00292810">
        <w:rPr>
          <w:rFonts w:asciiTheme="minorHAnsi" w:hAnsiTheme="minorHAnsi" w:cstheme="minorHAnsi"/>
        </w:rPr>
        <w:t xml:space="preserve">Risk management is defined </w:t>
      </w:r>
      <w:r w:rsidR="00292810">
        <w:rPr>
          <w:rFonts w:asciiTheme="minorHAnsi" w:hAnsiTheme="minorHAnsi" w:cstheme="minorHAnsi"/>
        </w:rPr>
        <w:t xml:space="preserve">in section </w:t>
      </w:r>
      <w:r w:rsidR="002E2164">
        <w:rPr>
          <w:rFonts w:asciiTheme="minorHAnsi" w:hAnsiTheme="minorHAnsi" w:cstheme="minorHAnsi"/>
        </w:rPr>
        <w:t>4</w:t>
      </w:r>
      <w:r w:rsidR="00292810">
        <w:rPr>
          <w:rFonts w:asciiTheme="minorHAnsi" w:hAnsiTheme="minorHAnsi" w:cstheme="minorHAnsi"/>
        </w:rPr>
        <w:t xml:space="preserve"> </w:t>
      </w:r>
      <w:r w:rsidR="00292810" w:rsidRPr="00292810">
        <w:rPr>
          <w:rFonts w:asciiTheme="minorHAnsi" w:hAnsiTheme="minorHAnsi" w:cstheme="minorHAnsi"/>
        </w:rPr>
        <w:t>for the purposes of item 6 of the table in subsection 11(2)</w:t>
      </w:r>
      <w:r w:rsidR="00292810">
        <w:rPr>
          <w:rFonts w:asciiTheme="minorHAnsi" w:hAnsiTheme="minorHAnsi" w:cstheme="minorHAnsi"/>
        </w:rPr>
        <w:t>.</w:t>
      </w:r>
      <w:r w:rsidR="002943CA">
        <w:rPr>
          <w:rFonts w:asciiTheme="minorHAnsi" w:hAnsiTheme="minorHAnsi" w:cstheme="minorHAnsi"/>
        </w:rPr>
        <w:t xml:space="preserve"> </w:t>
      </w:r>
      <w:r w:rsidR="00292810" w:rsidRPr="008D5531">
        <w:rPr>
          <w:rFonts w:asciiTheme="minorHAnsi" w:hAnsiTheme="minorHAnsi" w:cstheme="minorHAnsi"/>
        </w:rPr>
        <w:t xml:space="preserve">Item 6 provides that an increase factor applies to a provider where the provider applies for renewal of registration </w:t>
      </w:r>
      <w:r w:rsidR="00292810" w:rsidRPr="008D5531">
        <w:rPr>
          <w:rFonts w:asciiTheme="minorHAnsi" w:hAnsiTheme="minorHAnsi" w:cstheme="minorHAnsi"/>
        </w:rPr>
        <w:lastRenderedPageBreak/>
        <w:t>and, due to risk management, is renewed for a period less than the maximum period allowed. The maximum period allowed under the ESOS Act is seven years.</w:t>
      </w:r>
    </w:p>
    <w:p w14:paraId="52DAD30E" w14:textId="38B22145" w:rsidR="002E5B40" w:rsidRPr="008D5531" w:rsidRDefault="00292810" w:rsidP="00570912">
      <w:pPr>
        <w:pStyle w:val="ListParagraph"/>
        <w:keepNext/>
        <w:numPr>
          <w:ilvl w:val="0"/>
          <w:numId w:val="2"/>
        </w:numPr>
        <w:spacing w:before="360" w:after="120"/>
        <w:rPr>
          <w:rFonts w:asciiTheme="minorHAnsi" w:hAnsiTheme="minorHAnsi" w:cstheme="minorHAnsi"/>
        </w:rPr>
      </w:pPr>
      <w:r w:rsidRPr="00292810">
        <w:rPr>
          <w:rFonts w:asciiTheme="minorHAnsi" w:hAnsiTheme="minorHAnsi" w:cstheme="minorHAnsi"/>
        </w:rPr>
        <w:t xml:space="preserve">The definition of risk management ensures that providers who are renewed for a period less than the maximum period allowed are not penalised if the shorter renewal is for administrative purposes. Only providers who are renewed for a shorter period because the ESOS agency considers there are risks involved with a longer renewal period are subject to the increase factor of 1.0 at item 6 of subsection 11(2). This will only be attributed to providers who, due to their risk profile, are given shortened registration renewals. </w:t>
      </w:r>
    </w:p>
    <w:p w14:paraId="2FDF9249" w14:textId="3019ADCD"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The increase factor</w:t>
      </w:r>
      <w:r w:rsidR="001C4EDB">
        <w:rPr>
          <w:rFonts w:asciiTheme="minorHAnsi" w:hAnsiTheme="minorHAnsi" w:cstheme="minorHAnsi"/>
        </w:rPr>
        <w:t>s</w:t>
      </w:r>
      <w:r w:rsidRPr="00D2539C">
        <w:rPr>
          <w:rFonts w:asciiTheme="minorHAnsi" w:hAnsiTheme="minorHAnsi" w:cstheme="minorHAnsi"/>
        </w:rPr>
        <w:t xml:space="preserve"> set out in the table under subsection 11(2) </w:t>
      </w:r>
      <w:r w:rsidR="009C5BA0">
        <w:rPr>
          <w:rFonts w:asciiTheme="minorHAnsi" w:hAnsiTheme="minorHAnsi" w:cstheme="minorHAnsi"/>
        </w:rPr>
        <w:t xml:space="preserve">are </w:t>
      </w:r>
      <w:r w:rsidRPr="00D2539C">
        <w:rPr>
          <w:rFonts w:asciiTheme="minorHAnsi" w:hAnsiTheme="minorHAnsi" w:cstheme="minorHAnsi"/>
        </w:rPr>
        <w:t xml:space="preserve">subject to subsection 11(3). </w:t>
      </w:r>
      <w:r w:rsidR="00CB127C">
        <w:rPr>
          <w:rFonts w:asciiTheme="minorHAnsi" w:hAnsiTheme="minorHAnsi" w:cstheme="minorHAnsi"/>
        </w:rPr>
        <w:t>Subsection 11(3) provides that where more than one item in the table in subsection 11(2) applies, the increase factor that applies is the sum of the factors (i.e. more than one increase factor can apply to a registered provider).</w:t>
      </w:r>
      <w:r w:rsidRPr="00D2539C">
        <w:rPr>
          <w:rFonts w:asciiTheme="minorHAnsi" w:hAnsiTheme="minorHAnsi" w:cstheme="minorHAnsi"/>
        </w:rPr>
        <w:t xml:space="preserve"> </w:t>
      </w:r>
    </w:p>
    <w:p w14:paraId="2EFBB7F6" w14:textId="56ADA832"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The table </w:t>
      </w:r>
      <w:r w:rsidR="0011237C">
        <w:rPr>
          <w:rFonts w:asciiTheme="minorHAnsi" w:hAnsiTheme="minorHAnsi" w:cstheme="minorHAnsi"/>
        </w:rPr>
        <w:t xml:space="preserve">in subsection 11(2) </w:t>
      </w:r>
      <w:r w:rsidRPr="00D2539C">
        <w:rPr>
          <w:rFonts w:asciiTheme="minorHAnsi" w:hAnsiTheme="minorHAnsi" w:cstheme="minorHAnsi"/>
        </w:rPr>
        <w:t>is intended to operate on the basis that only one of items 1-4 can apply (given that a provider can only have one late payment measure, depending on whether, and how late, it has paid its charges and levies in the past), but that items 5 and 6 could apply as well (depending on whether compliance action was taken against the provider under s</w:t>
      </w:r>
      <w:r>
        <w:rPr>
          <w:rFonts w:asciiTheme="minorHAnsi" w:hAnsiTheme="minorHAnsi" w:cstheme="minorHAnsi"/>
        </w:rPr>
        <w:t xml:space="preserve">ection </w:t>
      </w:r>
      <w:r w:rsidRPr="00D2539C">
        <w:rPr>
          <w:rFonts w:asciiTheme="minorHAnsi" w:hAnsiTheme="minorHAnsi" w:cstheme="minorHAnsi"/>
        </w:rPr>
        <w:t>83 of the ESOS Act, or whether the</w:t>
      </w:r>
      <w:r>
        <w:rPr>
          <w:rFonts w:asciiTheme="minorHAnsi" w:hAnsiTheme="minorHAnsi" w:cstheme="minorHAnsi"/>
        </w:rPr>
        <w:t xml:space="preserve"> provider was renewed for less than the maximum period due to risk management</w:t>
      </w:r>
      <w:r w:rsidRPr="00D2539C">
        <w:rPr>
          <w:rFonts w:asciiTheme="minorHAnsi" w:hAnsiTheme="minorHAnsi" w:cstheme="minorHAnsi"/>
        </w:rPr>
        <w:t>). This means that a provider may have an applicable factor in column 3</w:t>
      </w:r>
      <w:r w:rsidR="0011237C">
        <w:rPr>
          <w:rFonts w:asciiTheme="minorHAnsi" w:hAnsiTheme="minorHAnsi" w:cstheme="minorHAnsi"/>
        </w:rPr>
        <w:t xml:space="preserve"> of the table in subsection 11(2)</w:t>
      </w:r>
      <w:r w:rsidRPr="00D2539C">
        <w:rPr>
          <w:rFonts w:asciiTheme="minorHAnsi" w:hAnsiTheme="minorHAnsi" w:cstheme="minorHAnsi"/>
        </w:rPr>
        <w:t xml:space="preserve"> for one, two or three items (that is, one of items 1-4, and possibly also the factor that applies for items 5 and/or 6).</w:t>
      </w:r>
    </w:p>
    <w:p w14:paraId="09CD301D" w14:textId="6FAD63FC" w:rsidR="002E5B40" w:rsidRPr="00D2539C" w:rsidRDefault="002E5B40" w:rsidP="008D5531">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For example, if a registered provider has a weighted late payment measure of 30 days or more (item 1), had action mentioned in section 83 of the ESOS Act taken against it in </w:t>
      </w:r>
      <w:r w:rsidR="006F14A3">
        <w:rPr>
          <w:rFonts w:asciiTheme="minorHAnsi" w:hAnsiTheme="minorHAnsi" w:cstheme="minorHAnsi"/>
        </w:rPr>
        <w:t>2023</w:t>
      </w:r>
      <w:r w:rsidR="006F14A3" w:rsidRPr="00D2539C">
        <w:rPr>
          <w:rFonts w:asciiTheme="minorHAnsi" w:hAnsiTheme="minorHAnsi" w:cstheme="minorHAnsi"/>
        </w:rPr>
        <w:t xml:space="preserve"> </w:t>
      </w:r>
      <w:r w:rsidRPr="00D2539C">
        <w:rPr>
          <w:rFonts w:asciiTheme="minorHAnsi" w:hAnsiTheme="minorHAnsi" w:cstheme="minorHAnsi"/>
        </w:rPr>
        <w:t xml:space="preserve">(item 5) and also applied under section 10D of the ESOS Act to renew its registration and, for risk management reasons, the period of registration in the notice is less than the maximum period allowed (item 6), then the increase factor would be 4 (2.0 plus 1.0 plus 1.0). </w:t>
      </w:r>
    </w:p>
    <w:p w14:paraId="1FBB708D" w14:textId="77360F6A" w:rsidR="002E5B40" w:rsidRPr="00BF7821"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Subsection 11(4) provides the formula to work out the weighted late payment measure (paragraphs (a) to (c)</w:t>
      </w:r>
      <w:proofErr w:type="gramStart"/>
      <w:r w:rsidRPr="00D2539C">
        <w:rPr>
          <w:rFonts w:asciiTheme="minorHAnsi" w:hAnsiTheme="minorHAnsi" w:cstheme="minorHAnsi"/>
        </w:rPr>
        <w:t>), and</w:t>
      </w:r>
      <w:proofErr w:type="gramEnd"/>
      <w:r w:rsidRPr="00D2539C">
        <w:rPr>
          <w:rFonts w:asciiTheme="minorHAnsi" w:hAnsiTheme="minorHAnsi" w:cstheme="minorHAnsi"/>
        </w:rPr>
        <w:t xml:space="preserve"> defines the terms </w:t>
      </w:r>
      <w:r w:rsidR="00263766">
        <w:rPr>
          <w:rFonts w:asciiTheme="minorHAnsi" w:hAnsiTheme="minorHAnsi" w:cstheme="minorHAnsi"/>
        </w:rPr>
        <w:t>‘CARC’</w:t>
      </w:r>
      <w:r w:rsidR="00570912">
        <w:rPr>
          <w:rFonts w:asciiTheme="minorHAnsi" w:hAnsiTheme="minorHAnsi" w:cstheme="minorHAnsi"/>
        </w:rPr>
        <w:t xml:space="preserve"> </w:t>
      </w:r>
      <w:r w:rsidRPr="00D2539C">
        <w:rPr>
          <w:rFonts w:asciiTheme="minorHAnsi" w:hAnsiTheme="minorHAnsi" w:cstheme="minorHAnsi"/>
        </w:rPr>
        <w:t>and ‘TPSL’.</w:t>
      </w:r>
      <w:r w:rsidR="00BE0310">
        <w:rPr>
          <w:rFonts w:asciiTheme="minorHAnsi" w:hAnsiTheme="minorHAnsi" w:cstheme="minorHAnsi"/>
        </w:rPr>
        <w:t xml:space="preserve"> </w:t>
      </w:r>
    </w:p>
    <w:p w14:paraId="74D9848C" w14:textId="3F3FD143" w:rsidR="002E5B40" w:rsidRPr="00A958F5" w:rsidRDefault="002E5B40" w:rsidP="00293E3F">
      <w:pPr>
        <w:spacing w:before="360" w:after="120"/>
        <w:rPr>
          <w:rFonts w:asciiTheme="minorHAnsi" w:hAnsiTheme="minorHAnsi" w:cstheme="minorHAnsi"/>
          <w:b/>
          <w:u w:val="single"/>
        </w:rPr>
      </w:pPr>
      <w:r w:rsidRPr="00A958F5">
        <w:rPr>
          <w:rFonts w:asciiTheme="minorHAnsi" w:hAnsiTheme="minorHAnsi" w:cstheme="minorHAnsi"/>
          <w:b/>
          <w:u w:val="single"/>
        </w:rPr>
        <w:t xml:space="preserve">Section 12: Recalculation of risk factors when registrations amalgamated and national registration on CRICOS is finalised during </w:t>
      </w:r>
      <w:r w:rsidR="006F14A3" w:rsidRPr="00A958F5">
        <w:rPr>
          <w:rFonts w:asciiTheme="minorHAnsi" w:hAnsiTheme="minorHAnsi" w:cstheme="minorHAnsi"/>
          <w:b/>
          <w:u w:val="single"/>
        </w:rPr>
        <w:t>2023</w:t>
      </w:r>
    </w:p>
    <w:p w14:paraId="57BED8F5" w14:textId="6FFA5A47" w:rsidR="002E5B40" w:rsidRPr="00A958F5" w:rsidRDefault="002E5B40" w:rsidP="002E5B40">
      <w:pPr>
        <w:pStyle w:val="ListParagraph"/>
        <w:keepNext/>
        <w:numPr>
          <w:ilvl w:val="0"/>
          <w:numId w:val="2"/>
        </w:numPr>
        <w:spacing w:before="360" w:after="120"/>
        <w:rPr>
          <w:rFonts w:asciiTheme="minorHAnsi" w:hAnsiTheme="minorHAnsi" w:cstheme="minorHAnsi"/>
        </w:rPr>
      </w:pPr>
      <w:r w:rsidRPr="00A958F5">
        <w:rPr>
          <w:rFonts w:asciiTheme="minorHAnsi" w:hAnsiTheme="minorHAnsi" w:cstheme="minorHAnsi"/>
        </w:rPr>
        <w:t xml:space="preserve">Section 12 sets out the recalculation of risk factors when a provider amalgamates 2 or more registrations on </w:t>
      </w:r>
      <w:r w:rsidR="00772103" w:rsidRPr="00A958F5">
        <w:rPr>
          <w:rFonts w:asciiTheme="minorHAnsi" w:hAnsiTheme="minorHAnsi" w:cstheme="minorHAnsi"/>
        </w:rPr>
        <w:t xml:space="preserve">CRICOS </w:t>
      </w:r>
      <w:r w:rsidRPr="00A958F5">
        <w:rPr>
          <w:rFonts w:asciiTheme="minorHAnsi" w:hAnsiTheme="minorHAnsi" w:cstheme="minorHAnsi"/>
        </w:rPr>
        <w:t xml:space="preserve">into a single registration through the national registration process in </w:t>
      </w:r>
      <w:r w:rsidR="006F14A3" w:rsidRPr="00A958F5">
        <w:rPr>
          <w:rFonts w:asciiTheme="minorHAnsi" w:hAnsiTheme="minorHAnsi" w:cstheme="minorHAnsi"/>
        </w:rPr>
        <w:t>202</w:t>
      </w:r>
      <w:r w:rsidR="00DC3908">
        <w:rPr>
          <w:rFonts w:asciiTheme="minorHAnsi" w:hAnsiTheme="minorHAnsi" w:cstheme="minorHAnsi"/>
        </w:rPr>
        <w:t>4</w:t>
      </w:r>
      <w:r w:rsidRPr="00A958F5">
        <w:rPr>
          <w:rFonts w:asciiTheme="minorHAnsi" w:hAnsiTheme="minorHAnsi" w:cstheme="minorHAnsi"/>
        </w:rPr>
        <w:t>.</w:t>
      </w:r>
      <w:r w:rsidR="00300951" w:rsidRPr="00A958F5">
        <w:rPr>
          <w:rFonts w:asciiTheme="minorHAnsi" w:hAnsiTheme="minorHAnsi" w:cstheme="minorHAnsi"/>
        </w:rPr>
        <w:t xml:space="preserve"> If a provider has amalgamated registrations on CRICOS, its overseas student tuition fees should represent all fees the provider received </w:t>
      </w:r>
      <w:r w:rsidR="00300951" w:rsidRPr="00A958F5">
        <w:rPr>
          <w:rFonts w:asciiTheme="minorHAnsi" w:hAnsiTheme="minorHAnsi" w:cstheme="minorHAnsi"/>
        </w:rPr>
        <w:lastRenderedPageBreak/>
        <w:t>across all courses the provider delivers at all locations for its amalgamated registration.</w:t>
      </w:r>
    </w:p>
    <w:p w14:paraId="4F9610A3" w14:textId="726650E6" w:rsidR="002E5B40" w:rsidRPr="00A958F5" w:rsidRDefault="002E5B40" w:rsidP="002E5B40">
      <w:pPr>
        <w:pStyle w:val="ListParagraph"/>
        <w:keepNext/>
        <w:numPr>
          <w:ilvl w:val="0"/>
          <w:numId w:val="2"/>
        </w:numPr>
        <w:spacing w:before="360" w:after="120"/>
        <w:rPr>
          <w:rFonts w:asciiTheme="minorHAnsi" w:hAnsiTheme="minorHAnsi" w:cstheme="minorHAnsi"/>
        </w:rPr>
      </w:pPr>
      <w:r w:rsidRPr="00A958F5">
        <w:rPr>
          <w:rFonts w:asciiTheme="minorHAnsi" w:hAnsiTheme="minorHAnsi" w:cstheme="minorHAnsi"/>
        </w:rPr>
        <w:t>Paragraph 12(2)(a) provides for the recalculation of the length of operation</w:t>
      </w:r>
      <w:r w:rsidR="00DC3908">
        <w:rPr>
          <w:rFonts w:asciiTheme="minorHAnsi" w:hAnsiTheme="minorHAnsi" w:cstheme="minorHAnsi"/>
        </w:rPr>
        <w:t xml:space="preserve"> risk factor</w:t>
      </w:r>
      <w:r w:rsidRPr="00A958F5">
        <w:rPr>
          <w:rFonts w:asciiTheme="minorHAnsi" w:hAnsiTheme="minorHAnsi" w:cstheme="minorHAnsi"/>
        </w:rPr>
        <w:t>. The recalculated risk factor applies to the resultant amalgamated registration.</w:t>
      </w:r>
    </w:p>
    <w:p w14:paraId="4B090AB1" w14:textId="5A3A722D" w:rsidR="002E5B40" w:rsidRPr="00A958F5" w:rsidRDefault="002E5B40" w:rsidP="002E5B40">
      <w:pPr>
        <w:pStyle w:val="ListParagraph"/>
        <w:keepNext/>
        <w:numPr>
          <w:ilvl w:val="0"/>
          <w:numId w:val="2"/>
        </w:numPr>
        <w:spacing w:before="360" w:after="120"/>
        <w:rPr>
          <w:rFonts w:asciiTheme="minorHAnsi" w:hAnsiTheme="minorHAnsi" w:cstheme="minorHAnsi"/>
        </w:rPr>
      </w:pPr>
      <w:r w:rsidRPr="00A958F5">
        <w:rPr>
          <w:rFonts w:asciiTheme="minorHAnsi" w:hAnsiTheme="minorHAnsi" w:cstheme="minorHAnsi"/>
        </w:rPr>
        <w:t>Paragraph 12(2)(b) provides for the recalculation of the volatility in overseas student enrolments</w:t>
      </w:r>
      <w:r w:rsidR="00DC3908">
        <w:rPr>
          <w:rFonts w:asciiTheme="minorHAnsi" w:hAnsiTheme="minorHAnsi" w:cstheme="minorHAnsi"/>
        </w:rPr>
        <w:t xml:space="preserve"> risk factor</w:t>
      </w:r>
      <w:r w:rsidRPr="00A958F5">
        <w:rPr>
          <w:rFonts w:asciiTheme="minorHAnsi" w:hAnsiTheme="minorHAnsi" w:cstheme="minorHAnsi"/>
        </w:rPr>
        <w:t xml:space="preserve">, </w:t>
      </w:r>
      <w:r w:rsidR="00491627" w:rsidRPr="00A958F5">
        <w:rPr>
          <w:rFonts w:asciiTheme="minorHAnsi" w:hAnsiTheme="minorHAnsi" w:cstheme="minorHAnsi"/>
        </w:rPr>
        <w:t xml:space="preserve">based on treating </w:t>
      </w:r>
      <w:r w:rsidRPr="00A958F5">
        <w:rPr>
          <w:rFonts w:asciiTheme="minorHAnsi" w:hAnsiTheme="minorHAnsi" w:cstheme="minorHAnsi"/>
        </w:rPr>
        <w:t xml:space="preserve">the number of overseas student enrolments for a year </w:t>
      </w:r>
      <w:r w:rsidR="00135FA9" w:rsidRPr="00A958F5">
        <w:rPr>
          <w:rFonts w:asciiTheme="minorHAnsi" w:hAnsiTheme="minorHAnsi" w:cstheme="minorHAnsi"/>
        </w:rPr>
        <w:t xml:space="preserve">as </w:t>
      </w:r>
      <w:r w:rsidRPr="00A958F5">
        <w:rPr>
          <w:rFonts w:asciiTheme="minorHAnsi" w:hAnsiTheme="minorHAnsi" w:cstheme="minorHAnsi"/>
        </w:rPr>
        <w:t>the sum of all student enrolments for all registrations.</w:t>
      </w:r>
    </w:p>
    <w:p w14:paraId="34EBFB19" w14:textId="268519AC" w:rsidR="002E5B40" w:rsidRPr="00A958F5" w:rsidRDefault="002E5B40" w:rsidP="002E5B40">
      <w:pPr>
        <w:pStyle w:val="ListParagraph"/>
        <w:keepNext/>
        <w:numPr>
          <w:ilvl w:val="0"/>
          <w:numId w:val="2"/>
        </w:numPr>
        <w:spacing w:before="360" w:after="120"/>
        <w:rPr>
          <w:rFonts w:asciiTheme="minorHAnsi" w:hAnsiTheme="minorHAnsi" w:cstheme="minorHAnsi"/>
        </w:rPr>
      </w:pPr>
      <w:r w:rsidRPr="00A958F5">
        <w:rPr>
          <w:rFonts w:asciiTheme="minorHAnsi" w:hAnsiTheme="minorHAnsi" w:cstheme="minorHAnsi"/>
        </w:rPr>
        <w:t>Paragraph 12(2)(c) provides for the recalculation of the maximum overseas source country concentration</w:t>
      </w:r>
      <w:r w:rsidR="00DC3908">
        <w:rPr>
          <w:rFonts w:asciiTheme="minorHAnsi" w:hAnsiTheme="minorHAnsi" w:cstheme="minorHAnsi"/>
        </w:rPr>
        <w:t xml:space="preserve"> risk factor</w:t>
      </w:r>
      <w:r w:rsidRPr="00A958F5">
        <w:rPr>
          <w:rFonts w:asciiTheme="minorHAnsi" w:hAnsiTheme="minorHAnsi" w:cstheme="minorHAnsi"/>
        </w:rPr>
        <w:t xml:space="preserve">, </w:t>
      </w:r>
      <w:r w:rsidR="00141E55" w:rsidRPr="00A958F5">
        <w:rPr>
          <w:rFonts w:asciiTheme="minorHAnsi" w:hAnsiTheme="minorHAnsi" w:cstheme="minorHAnsi"/>
        </w:rPr>
        <w:t>specifying</w:t>
      </w:r>
      <w:r w:rsidRPr="00A958F5">
        <w:rPr>
          <w:rFonts w:asciiTheme="minorHAnsi" w:hAnsiTheme="minorHAnsi" w:cstheme="minorHAnsi"/>
        </w:rPr>
        <w:t xml:space="preserve"> that the sum </w:t>
      </w:r>
      <w:r w:rsidR="00AF4D47" w:rsidRPr="00A958F5">
        <w:rPr>
          <w:rFonts w:asciiTheme="minorHAnsi" w:hAnsiTheme="minorHAnsi" w:cstheme="minorHAnsi"/>
        </w:rPr>
        <w:t xml:space="preserve">of enrolments </w:t>
      </w:r>
      <w:r w:rsidRPr="00A958F5">
        <w:rPr>
          <w:rFonts w:asciiTheme="minorHAnsi" w:hAnsiTheme="minorHAnsi" w:cstheme="minorHAnsi"/>
        </w:rPr>
        <w:t>for all registrations must be used for the number of enrolments for that overseas source country and for the total number of enrolments.</w:t>
      </w:r>
    </w:p>
    <w:p w14:paraId="5C0CBCE8" w14:textId="6E563803" w:rsidR="002E5B40" w:rsidRPr="00A958F5" w:rsidRDefault="002E5B40" w:rsidP="002E5B40">
      <w:pPr>
        <w:pStyle w:val="ListParagraph"/>
        <w:keepNext/>
        <w:numPr>
          <w:ilvl w:val="0"/>
          <w:numId w:val="2"/>
        </w:numPr>
        <w:spacing w:before="360" w:after="120"/>
        <w:rPr>
          <w:rFonts w:asciiTheme="minorHAnsi" w:hAnsiTheme="minorHAnsi" w:cstheme="minorHAnsi"/>
        </w:rPr>
      </w:pPr>
      <w:r w:rsidRPr="00A958F5">
        <w:rPr>
          <w:rFonts w:asciiTheme="minorHAnsi" w:hAnsiTheme="minorHAnsi" w:cstheme="minorHAnsi"/>
        </w:rPr>
        <w:t>Paragraph 12(2)(d) provides for the recalculation of the non-compliance and registration renewal</w:t>
      </w:r>
      <w:r w:rsidR="00DC3908">
        <w:rPr>
          <w:rFonts w:asciiTheme="minorHAnsi" w:hAnsiTheme="minorHAnsi" w:cstheme="minorHAnsi"/>
        </w:rPr>
        <w:t xml:space="preserve"> risk factor</w:t>
      </w:r>
      <w:r w:rsidRPr="00A958F5">
        <w:rPr>
          <w:rFonts w:asciiTheme="minorHAnsi" w:hAnsiTheme="minorHAnsi" w:cstheme="minorHAnsi"/>
        </w:rPr>
        <w:t xml:space="preserve">. The recalculated risk factor applies to the resultant amalgamated registration. </w:t>
      </w:r>
    </w:p>
    <w:p w14:paraId="6FB7ED6A" w14:textId="5101F07E" w:rsidR="002E5B40" w:rsidRPr="00A958F5" w:rsidRDefault="002E5B40" w:rsidP="002E5B40">
      <w:pPr>
        <w:pStyle w:val="ListParagraph"/>
        <w:keepNext/>
        <w:numPr>
          <w:ilvl w:val="0"/>
          <w:numId w:val="2"/>
        </w:numPr>
        <w:spacing w:before="360" w:after="120"/>
        <w:rPr>
          <w:rFonts w:asciiTheme="minorHAnsi" w:hAnsiTheme="minorHAnsi" w:cstheme="minorHAnsi"/>
        </w:rPr>
      </w:pPr>
      <w:r w:rsidRPr="00A958F5">
        <w:rPr>
          <w:rFonts w:asciiTheme="minorHAnsi" w:hAnsiTheme="minorHAnsi" w:cstheme="minorHAnsi"/>
        </w:rPr>
        <w:t xml:space="preserve">Paragraph 12(2)(e) provides that the overseas student’s tuition fee income for the </w:t>
      </w:r>
      <w:r w:rsidR="00AB022F" w:rsidRPr="00A958F5">
        <w:rPr>
          <w:rFonts w:asciiTheme="minorHAnsi" w:hAnsiTheme="minorHAnsi" w:cstheme="minorHAnsi"/>
        </w:rPr>
        <w:t xml:space="preserve">2023 </w:t>
      </w:r>
      <w:r w:rsidRPr="00A958F5">
        <w:rPr>
          <w:rFonts w:asciiTheme="minorHAnsi" w:hAnsiTheme="minorHAnsi" w:cstheme="minorHAnsi"/>
        </w:rPr>
        <w:t>year is to be calculated as the sum of the overseas students’ tuition fee income for the courses in relation to all registrations that were amalgamated into the single registration.</w:t>
      </w:r>
    </w:p>
    <w:p w14:paraId="7E1BF33D" w14:textId="77777777" w:rsidR="002E5B40" w:rsidRPr="00D2539C" w:rsidRDefault="002E5B40" w:rsidP="002E5B40">
      <w:pPr>
        <w:keepNext/>
        <w:rPr>
          <w:rFonts w:asciiTheme="minorHAnsi" w:hAnsiTheme="minorHAnsi" w:cstheme="minorHAnsi"/>
          <w:b/>
        </w:rPr>
      </w:pPr>
      <w:r w:rsidRPr="00D2539C">
        <w:rPr>
          <w:rFonts w:asciiTheme="minorHAnsi" w:hAnsiTheme="minorHAnsi" w:cstheme="minorHAnsi"/>
          <w:b/>
        </w:rPr>
        <w:t xml:space="preserve">PART 3 – SPECIAL TUITION PROTECTION COMPONENT </w:t>
      </w:r>
    </w:p>
    <w:p w14:paraId="114F758E" w14:textId="77777777"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Section 13: Special tuition protection component</w:t>
      </w:r>
    </w:p>
    <w:p w14:paraId="498BDB70" w14:textId="7330766D" w:rsidR="00300951" w:rsidRPr="00300951" w:rsidRDefault="00300951" w:rsidP="00300951">
      <w:pPr>
        <w:pStyle w:val="ListParagraph"/>
        <w:numPr>
          <w:ilvl w:val="0"/>
          <w:numId w:val="2"/>
        </w:numPr>
        <w:rPr>
          <w:rFonts w:ascii="Calibri" w:hAnsi="Calibri" w:cs="Calibri"/>
        </w:rPr>
      </w:pPr>
      <w:r w:rsidRPr="00300951">
        <w:rPr>
          <w:rFonts w:ascii="Calibri" w:hAnsi="Calibri" w:cs="Calibri"/>
        </w:rPr>
        <w:t xml:space="preserve">Under subsection 10(2) of the Act, before the beginning of each year, the TPS Director must, by legislative instrument, specify a percentage for a special tuition protection component of the TPS </w:t>
      </w:r>
      <w:r w:rsidR="00420E0F">
        <w:rPr>
          <w:rFonts w:ascii="Calibri" w:hAnsi="Calibri" w:cs="Calibri"/>
        </w:rPr>
        <w:t>l</w:t>
      </w:r>
      <w:r w:rsidRPr="00300951">
        <w:rPr>
          <w:rFonts w:ascii="Calibri" w:hAnsi="Calibri" w:cs="Calibri"/>
        </w:rPr>
        <w:t xml:space="preserve">evy for that year. Subsection 10(3) of the </w:t>
      </w:r>
      <w:r w:rsidRPr="00300951">
        <w:rPr>
          <w:rFonts w:ascii="Calibri" w:hAnsi="Calibri" w:cs="Calibri"/>
          <w:iCs/>
        </w:rPr>
        <w:t>Act</w:t>
      </w:r>
      <w:r w:rsidRPr="00300951">
        <w:rPr>
          <w:rFonts w:ascii="Calibri" w:hAnsi="Calibri" w:cs="Calibri"/>
        </w:rPr>
        <w:t xml:space="preserve"> provides that the percentage specified can be zero. </w:t>
      </w:r>
    </w:p>
    <w:p w14:paraId="305D8EF2" w14:textId="7AB000AF"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Section 13 sets the specified percentage of the special tuition protection component for </w:t>
      </w:r>
      <w:r w:rsidR="00AB022F">
        <w:rPr>
          <w:rFonts w:asciiTheme="minorHAnsi" w:hAnsiTheme="minorHAnsi" w:cstheme="minorHAnsi"/>
        </w:rPr>
        <w:t>202</w:t>
      </w:r>
      <w:r w:rsidR="00DC3908">
        <w:rPr>
          <w:rFonts w:asciiTheme="minorHAnsi" w:hAnsiTheme="minorHAnsi" w:cstheme="minorHAnsi"/>
        </w:rPr>
        <w:t>5</w:t>
      </w:r>
      <w:r w:rsidR="0092226C">
        <w:rPr>
          <w:rFonts w:asciiTheme="minorHAnsi" w:hAnsiTheme="minorHAnsi" w:cstheme="minorHAnsi"/>
        </w:rPr>
        <w:t xml:space="preserve"> </w:t>
      </w:r>
      <w:r w:rsidRPr="00D2539C">
        <w:rPr>
          <w:rFonts w:asciiTheme="minorHAnsi" w:hAnsiTheme="minorHAnsi" w:cstheme="minorHAnsi"/>
        </w:rPr>
        <w:t>as zero for the purposes of subsection 10(2) of the Act.</w:t>
      </w:r>
    </w:p>
    <w:p w14:paraId="0CC40383" w14:textId="11F80D16" w:rsidR="00412C40" w:rsidRPr="00412C40" w:rsidRDefault="00412C40" w:rsidP="00412C40">
      <w:pPr>
        <w:pStyle w:val="ListParagraph"/>
        <w:numPr>
          <w:ilvl w:val="0"/>
          <w:numId w:val="2"/>
        </w:numPr>
        <w:rPr>
          <w:rFonts w:ascii="Calibri" w:hAnsi="Calibri" w:cs="Calibri"/>
        </w:rPr>
      </w:pPr>
      <w:r w:rsidRPr="00412C40">
        <w:rPr>
          <w:rFonts w:ascii="Calibri" w:hAnsi="Calibri" w:cs="Calibri"/>
        </w:rPr>
        <w:t xml:space="preserve">The purpose of </w:t>
      </w:r>
      <w:r w:rsidR="00281C1B">
        <w:rPr>
          <w:rFonts w:ascii="Calibri" w:hAnsi="Calibri" w:cs="Calibri"/>
        </w:rPr>
        <w:t>t</w:t>
      </w:r>
      <w:r w:rsidRPr="00412C40">
        <w:rPr>
          <w:rFonts w:ascii="Calibri" w:hAnsi="Calibri" w:cs="Calibri"/>
        </w:rPr>
        <w:t xml:space="preserve">he special tuition protection component is to build additional insurance in the Overseas Tuition Protection Fund (the Fund). The Fund is currently within its target range and therefore </w:t>
      </w:r>
      <w:r w:rsidR="00281C1B">
        <w:rPr>
          <w:rFonts w:ascii="Calibri" w:hAnsi="Calibri" w:cs="Calibri"/>
        </w:rPr>
        <w:t>the TPS Director considers it is not necessary</w:t>
      </w:r>
      <w:r w:rsidRPr="00412C40">
        <w:rPr>
          <w:rFonts w:ascii="Calibri" w:hAnsi="Calibri" w:cs="Calibri"/>
        </w:rPr>
        <w:t xml:space="preserve"> to impose a value for the special tuition protection component</w:t>
      </w:r>
      <w:r w:rsidR="009A21C1">
        <w:rPr>
          <w:rFonts w:ascii="Calibri" w:hAnsi="Calibri" w:cs="Calibri"/>
        </w:rPr>
        <w:t xml:space="preserve"> of the </w:t>
      </w:r>
      <w:r w:rsidR="00420E0F">
        <w:rPr>
          <w:rFonts w:ascii="Calibri" w:hAnsi="Calibri" w:cs="Calibri"/>
        </w:rPr>
        <w:t>l</w:t>
      </w:r>
      <w:r w:rsidR="009A21C1">
        <w:rPr>
          <w:rFonts w:ascii="Calibri" w:hAnsi="Calibri" w:cs="Calibri"/>
        </w:rPr>
        <w:t>evy</w:t>
      </w:r>
      <w:r w:rsidRPr="00412C40">
        <w:rPr>
          <w:rFonts w:ascii="Calibri" w:hAnsi="Calibri" w:cs="Calibri"/>
        </w:rPr>
        <w:t>.</w:t>
      </w:r>
    </w:p>
    <w:p w14:paraId="3BDF9E2D" w14:textId="77777777" w:rsidR="00412C40" w:rsidRPr="00D2539C" w:rsidRDefault="00412C40" w:rsidP="009C50A2">
      <w:pPr>
        <w:pStyle w:val="ListParagraph"/>
        <w:keepNext/>
        <w:spacing w:before="360" w:after="120"/>
        <w:ind w:left="786"/>
        <w:rPr>
          <w:rFonts w:asciiTheme="minorHAnsi" w:hAnsiTheme="minorHAnsi" w:cstheme="minorHAnsi"/>
        </w:rPr>
      </w:pPr>
    </w:p>
    <w:p w14:paraId="1041A2E6" w14:textId="77777777" w:rsidR="002E5B40" w:rsidRDefault="002E5B40" w:rsidP="002E5B40">
      <w:pPr>
        <w:keepNext/>
        <w:rPr>
          <w:rFonts w:asciiTheme="minorHAnsi" w:hAnsiTheme="minorHAnsi" w:cstheme="minorHAnsi"/>
          <w:b/>
        </w:rPr>
      </w:pPr>
      <w:r w:rsidRPr="005454BF">
        <w:rPr>
          <w:rFonts w:asciiTheme="minorHAnsi" w:hAnsiTheme="minorHAnsi" w:cstheme="minorHAnsi"/>
          <w:b/>
        </w:rPr>
        <w:t>SCHEDULE 1—</w:t>
      </w:r>
      <w:r>
        <w:rPr>
          <w:rFonts w:asciiTheme="minorHAnsi" w:hAnsiTheme="minorHAnsi" w:cstheme="minorHAnsi"/>
          <w:b/>
        </w:rPr>
        <w:t>REPEALS</w:t>
      </w:r>
    </w:p>
    <w:p w14:paraId="411301E2" w14:textId="16B2247B" w:rsidR="002E5B40" w:rsidRPr="00D2539C" w:rsidRDefault="002E5B40" w:rsidP="00293E3F">
      <w:pPr>
        <w:spacing w:before="360" w:after="120"/>
        <w:rPr>
          <w:rFonts w:asciiTheme="minorHAnsi" w:hAnsiTheme="minorHAnsi" w:cstheme="minorHAnsi"/>
          <w:b/>
          <w:u w:val="single"/>
        </w:rPr>
      </w:pPr>
      <w:r w:rsidRPr="00D2539C">
        <w:rPr>
          <w:rFonts w:asciiTheme="minorHAnsi" w:hAnsiTheme="minorHAnsi" w:cstheme="minorHAnsi"/>
          <w:b/>
          <w:u w:val="single"/>
        </w:rPr>
        <w:t xml:space="preserve">Item 1: </w:t>
      </w:r>
      <w:r w:rsidR="00293E3F">
        <w:rPr>
          <w:rFonts w:asciiTheme="minorHAnsi" w:hAnsiTheme="minorHAnsi" w:cstheme="minorHAnsi"/>
          <w:b/>
          <w:u w:val="single"/>
        </w:rPr>
        <w:t>T</w:t>
      </w:r>
      <w:r w:rsidRPr="00D2539C">
        <w:rPr>
          <w:rFonts w:asciiTheme="minorHAnsi" w:hAnsiTheme="minorHAnsi" w:cstheme="minorHAnsi"/>
          <w:b/>
          <w:u w:val="single"/>
        </w:rPr>
        <w:t>he whole of the instrument</w:t>
      </w:r>
    </w:p>
    <w:p w14:paraId="113C1B03" w14:textId="10AE466C" w:rsidR="002E5B40" w:rsidRPr="0017164B" w:rsidRDefault="002E5B40" w:rsidP="002E5B40">
      <w:pPr>
        <w:pStyle w:val="ListParagraph"/>
        <w:keepNext/>
        <w:numPr>
          <w:ilvl w:val="0"/>
          <w:numId w:val="2"/>
        </w:numPr>
        <w:rPr>
          <w:rFonts w:asciiTheme="minorHAnsi" w:hAnsiTheme="minorHAnsi" w:cstheme="minorHAnsi"/>
          <w:b/>
        </w:rPr>
      </w:pPr>
      <w:r w:rsidRPr="00D2539C">
        <w:rPr>
          <w:rFonts w:asciiTheme="minorHAnsi" w:hAnsiTheme="minorHAnsi" w:cstheme="minorHAnsi"/>
          <w:iCs/>
          <w:szCs w:val="24"/>
        </w:rPr>
        <w:t xml:space="preserve">Schedule 1 to the Instrument repeals the </w:t>
      </w:r>
      <w:r w:rsidR="00300951">
        <w:rPr>
          <w:rFonts w:asciiTheme="minorHAnsi" w:hAnsiTheme="minorHAnsi" w:cstheme="minorHAnsi"/>
          <w:iCs/>
          <w:szCs w:val="24"/>
        </w:rPr>
        <w:t>F</w:t>
      </w:r>
      <w:r w:rsidRPr="00D2539C">
        <w:rPr>
          <w:rFonts w:asciiTheme="minorHAnsi" w:hAnsiTheme="minorHAnsi" w:cstheme="minorHAnsi"/>
          <w:iCs/>
          <w:szCs w:val="24"/>
        </w:rPr>
        <w:t xml:space="preserve">ormer </w:t>
      </w:r>
      <w:r w:rsidR="00300951">
        <w:rPr>
          <w:rFonts w:asciiTheme="minorHAnsi" w:hAnsiTheme="minorHAnsi" w:cstheme="minorHAnsi"/>
          <w:iCs/>
          <w:szCs w:val="24"/>
        </w:rPr>
        <w:t>I</w:t>
      </w:r>
      <w:r w:rsidRPr="00D2539C">
        <w:rPr>
          <w:rFonts w:asciiTheme="minorHAnsi" w:hAnsiTheme="minorHAnsi" w:cstheme="minorHAnsi"/>
          <w:iCs/>
          <w:szCs w:val="24"/>
        </w:rPr>
        <w:t xml:space="preserve">nstrument from </w:t>
      </w:r>
      <w:r w:rsidRPr="00BF7821">
        <w:rPr>
          <w:rFonts w:asciiTheme="minorHAnsi" w:hAnsiTheme="minorHAnsi" w:cstheme="minorHAnsi"/>
          <w:iCs/>
          <w:szCs w:val="24"/>
        </w:rPr>
        <w:t xml:space="preserve">1 January </w:t>
      </w:r>
      <w:r w:rsidR="00AB022F" w:rsidRPr="00BF7821">
        <w:rPr>
          <w:rFonts w:asciiTheme="minorHAnsi" w:hAnsiTheme="minorHAnsi" w:cstheme="minorHAnsi"/>
          <w:iCs/>
          <w:szCs w:val="24"/>
        </w:rPr>
        <w:t>202</w:t>
      </w:r>
      <w:r w:rsidR="00614FC5">
        <w:rPr>
          <w:rFonts w:asciiTheme="minorHAnsi" w:hAnsiTheme="minorHAnsi" w:cstheme="minorHAnsi"/>
          <w:iCs/>
          <w:szCs w:val="24"/>
        </w:rPr>
        <w:t>5</w:t>
      </w:r>
      <w:r w:rsidRPr="00BF7821">
        <w:rPr>
          <w:rFonts w:asciiTheme="minorHAnsi" w:hAnsiTheme="minorHAnsi" w:cstheme="minorHAnsi"/>
          <w:iCs/>
          <w:szCs w:val="24"/>
        </w:rPr>
        <w:t>.</w:t>
      </w:r>
    </w:p>
    <w:p w14:paraId="344BE4E1" w14:textId="77777777" w:rsidR="00725269" w:rsidRDefault="00725269" w:rsidP="002E5B40">
      <w:pPr>
        <w:spacing w:before="120" w:after="120"/>
      </w:pPr>
    </w:p>
    <w:sectPr w:rsidR="007252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B0308" w14:textId="77777777" w:rsidR="005C4256" w:rsidRDefault="005C4256" w:rsidP="00300951">
      <w:pPr>
        <w:spacing w:after="0" w:line="240" w:lineRule="auto"/>
      </w:pPr>
      <w:r>
        <w:separator/>
      </w:r>
    </w:p>
  </w:endnote>
  <w:endnote w:type="continuationSeparator" w:id="0">
    <w:p w14:paraId="65143479" w14:textId="77777777" w:rsidR="005C4256" w:rsidRDefault="005C4256" w:rsidP="00300951">
      <w:pPr>
        <w:spacing w:after="0" w:line="240" w:lineRule="auto"/>
      </w:pPr>
      <w:r>
        <w:continuationSeparator/>
      </w:r>
    </w:p>
  </w:endnote>
  <w:endnote w:type="continuationNotice" w:id="1">
    <w:p w14:paraId="23AA1E55" w14:textId="77777777" w:rsidR="005C4256" w:rsidRDefault="005C4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3A45" w14:textId="77777777" w:rsidR="00B918A5" w:rsidRDefault="00B91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58E4" w14:textId="77777777" w:rsidR="00B918A5" w:rsidRDefault="00B91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4871" w14:textId="77777777" w:rsidR="00B918A5" w:rsidRDefault="00B9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82BB1" w14:textId="77777777" w:rsidR="005C4256" w:rsidRDefault="005C4256" w:rsidP="00300951">
      <w:pPr>
        <w:spacing w:after="0" w:line="240" w:lineRule="auto"/>
      </w:pPr>
      <w:r>
        <w:separator/>
      </w:r>
    </w:p>
  </w:footnote>
  <w:footnote w:type="continuationSeparator" w:id="0">
    <w:p w14:paraId="478FEF6C" w14:textId="77777777" w:rsidR="005C4256" w:rsidRDefault="005C4256" w:rsidP="00300951">
      <w:pPr>
        <w:spacing w:after="0" w:line="240" w:lineRule="auto"/>
      </w:pPr>
      <w:r>
        <w:continuationSeparator/>
      </w:r>
    </w:p>
  </w:footnote>
  <w:footnote w:type="continuationNotice" w:id="1">
    <w:p w14:paraId="05EC5329" w14:textId="77777777" w:rsidR="005C4256" w:rsidRDefault="005C4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5458" w14:textId="77777777" w:rsidR="00B918A5" w:rsidRDefault="00B91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00ED7" w14:textId="77777777" w:rsidR="00B918A5" w:rsidRDefault="00B91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17D9" w14:textId="77777777" w:rsidR="00B918A5" w:rsidRDefault="00B9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E4F"/>
    <w:multiLevelType w:val="hybridMultilevel"/>
    <w:tmpl w:val="6DC47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455EE"/>
    <w:multiLevelType w:val="hybridMultilevel"/>
    <w:tmpl w:val="7C06873C"/>
    <w:lvl w:ilvl="0" w:tplc="F56253A2">
      <w:start w:val="1"/>
      <w:numFmt w:val="decimal"/>
      <w:suff w:val="space"/>
      <w:lvlText w:val="%1."/>
      <w:lvlJc w:val="left"/>
      <w:pPr>
        <w:ind w:left="786"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E33370"/>
    <w:multiLevelType w:val="hybridMultilevel"/>
    <w:tmpl w:val="29D8AFC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D06AFA"/>
    <w:multiLevelType w:val="hybridMultilevel"/>
    <w:tmpl w:val="89983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1E4525"/>
    <w:multiLevelType w:val="hybridMultilevel"/>
    <w:tmpl w:val="DA28B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6A7D3F"/>
    <w:multiLevelType w:val="hybridMultilevel"/>
    <w:tmpl w:val="80FA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1798817">
    <w:abstractNumId w:val="5"/>
  </w:num>
  <w:num w:numId="2" w16cid:durableId="663318323">
    <w:abstractNumId w:val="1"/>
  </w:num>
  <w:num w:numId="3" w16cid:durableId="1594165030">
    <w:abstractNumId w:val="0"/>
  </w:num>
  <w:num w:numId="4" w16cid:durableId="477766503">
    <w:abstractNumId w:val="7"/>
  </w:num>
  <w:num w:numId="5" w16cid:durableId="140660962">
    <w:abstractNumId w:val="2"/>
  </w:num>
  <w:num w:numId="6" w16cid:durableId="1758986503">
    <w:abstractNumId w:val="3"/>
  </w:num>
  <w:num w:numId="7" w16cid:durableId="1376738776">
    <w:abstractNumId w:val="6"/>
  </w:num>
  <w:num w:numId="8" w16cid:durableId="250822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43"/>
    <w:rsid w:val="0000188E"/>
    <w:rsid w:val="00001EB9"/>
    <w:rsid w:val="00002684"/>
    <w:rsid w:val="00002D20"/>
    <w:rsid w:val="000036DF"/>
    <w:rsid w:val="00004B46"/>
    <w:rsid w:val="0000580D"/>
    <w:rsid w:val="00005F74"/>
    <w:rsid w:val="00007B14"/>
    <w:rsid w:val="0001224B"/>
    <w:rsid w:val="00020122"/>
    <w:rsid w:val="0002700E"/>
    <w:rsid w:val="00032FFC"/>
    <w:rsid w:val="00033FAF"/>
    <w:rsid w:val="0004338F"/>
    <w:rsid w:val="00050DAE"/>
    <w:rsid w:val="000544A1"/>
    <w:rsid w:val="0005587A"/>
    <w:rsid w:val="000560E9"/>
    <w:rsid w:val="000605BC"/>
    <w:rsid w:val="00061A26"/>
    <w:rsid w:val="000717A7"/>
    <w:rsid w:val="00076492"/>
    <w:rsid w:val="000765CD"/>
    <w:rsid w:val="00081B8C"/>
    <w:rsid w:val="00081E38"/>
    <w:rsid w:val="00083407"/>
    <w:rsid w:val="00086021"/>
    <w:rsid w:val="00086E0E"/>
    <w:rsid w:val="000927F5"/>
    <w:rsid w:val="000A3A51"/>
    <w:rsid w:val="000A591E"/>
    <w:rsid w:val="000A5C68"/>
    <w:rsid w:val="000A6AF3"/>
    <w:rsid w:val="000A725D"/>
    <w:rsid w:val="000B1844"/>
    <w:rsid w:val="000B39BA"/>
    <w:rsid w:val="000B4D03"/>
    <w:rsid w:val="000B5A45"/>
    <w:rsid w:val="000B7039"/>
    <w:rsid w:val="000B7D0B"/>
    <w:rsid w:val="000B7FDA"/>
    <w:rsid w:val="000C7091"/>
    <w:rsid w:val="000D0671"/>
    <w:rsid w:val="000D0EA7"/>
    <w:rsid w:val="000D2AF9"/>
    <w:rsid w:val="000D5A9B"/>
    <w:rsid w:val="000D7F92"/>
    <w:rsid w:val="000E0203"/>
    <w:rsid w:val="000E1539"/>
    <w:rsid w:val="000E589E"/>
    <w:rsid w:val="000E6EB0"/>
    <w:rsid w:val="000F2523"/>
    <w:rsid w:val="000F62E0"/>
    <w:rsid w:val="00105BCD"/>
    <w:rsid w:val="0011237C"/>
    <w:rsid w:val="00113413"/>
    <w:rsid w:val="0011503C"/>
    <w:rsid w:val="001201B0"/>
    <w:rsid w:val="0012031F"/>
    <w:rsid w:val="0012083E"/>
    <w:rsid w:val="0012129C"/>
    <w:rsid w:val="0012349B"/>
    <w:rsid w:val="00126094"/>
    <w:rsid w:val="00127BDA"/>
    <w:rsid w:val="001305EB"/>
    <w:rsid w:val="00130F43"/>
    <w:rsid w:val="00132DBA"/>
    <w:rsid w:val="001345AA"/>
    <w:rsid w:val="00135FA9"/>
    <w:rsid w:val="0013715D"/>
    <w:rsid w:val="001378ED"/>
    <w:rsid w:val="00141E55"/>
    <w:rsid w:val="00142569"/>
    <w:rsid w:val="00143931"/>
    <w:rsid w:val="00143E4B"/>
    <w:rsid w:val="001534E5"/>
    <w:rsid w:val="00153BDA"/>
    <w:rsid w:val="00154BFE"/>
    <w:rsid w:val="00156E2B"/>
    <w:rsid w:val="0016225D"/>
    <w:rsid w:val="001622D4"/>
    <w:rsid w:val="00162E10"/>
    <w:rsid w:val="001630C5"/>
    <w:rsid w:val="0016569A"/>
    <w:rsid w:val="00166CA9"/>
    <w:rsid w:val="00172280"/>
    <w:rsid w:val="00175265"/>
    <w:rsid w:val="001816B5"/>
    <w:rsid w:val="001829C7"/>
    <w:rsid w:val="001838AA"/>
    <w:rsid w:val="00190220"/>
    <w:rsid w:val="00190CD7"/>
    <w:rsid w:val="00195FDE"/>
    <w:rsid w:val="001961AF"/>
    <w:rsid w:val="001A0550"/>
    <w:rsid w:val="001A4180"/>
    <w:rsid w:val="001A4D84"/>
    <w:rsid w:val="001A5AB0"/>
    <w:rsid w:val="001A68C7"/>
    <w:rsid w:val="001A6E3A"/>
    <w:rsid w:val="001A7368"/>
    <w:rsid w:val="001C0945"/>
    <w:rsid w:val="001C1F54"/>
    <w:rsid w:val="001C2FC4"/>
    <w:rsid w:val="001C2FC9"/>
    <w:rsid w:val="001C4EDB"/>
    <w:rsid w:val="001C5779"/>
    <w:rsid w:val="001C5ABE"/>
    <w:rsid w:val="001D0952"/>
    <w:rsid w:val="001D2A26"/>
    <w:rsid w:val="001E2233"/>
    <w:rsid w:val="001E2C5D"/>
    <w:rsid w:val="001E3219"/>
    <w:rsid w:val="001E44AD"/>
    <w:rsid w:val="001E4E03"/>
    <w:rsid w:val="001E4F2C"/>
    <w:rsid w:val="001F56D3"/>
    <w:rsid w:val="001F7EEC"/>
    <w:rsid w:val="0020082B"/>
    <w:rsid w:val="00201332"/>
    <w:rsid w:val="00201F4F"/>
    <w:rsid w:val="002023B7"/>
    <w:rsid w:val="00203155"/>
    <w:rsid w:val="002033CE"/>
    <w:rsid w:val="002141B3"/>
    <w:rsid w:val="00214E8E"/>
    <w:rsid w:val="00217449"/>
    <w:rsid w:val="00217E53"/>
    <w:rsid w:val="00220CA7"/>
    <w:rsid w:val="00221269"/>
    <w:rsid w:val="002254D4"/>
    <w:rsid w:val="0022784D"/>
    <w:rsid w:val="00235DC5"/>
    <w:rsid w:val="002365BA"/>
    <w:rsid w:val="0023718D"/>
    <w:rsid w:val="00240995"/>
    <w:rsid w:val="002435F4"/>
    <w:rsid w:val="00243E94"/>
    <w:rsid w:val="00244ADD"/>
    <w:rsid w:val="00246676"/>
    <w:rsid w:val="00246EC8"/>
    <w:rsid w:val="00252C04"/>
    <w:rsid w:val="00253EDF"/>
    <w:rsid w:val="002613F2"/>
    <w:rsid w:val="00262371"/>
    <w:rsid w:val="00262684"/>
    <w:rsid w:val="0026355B"/>
    <w:rsid w:val="00263766"/>
    <w:rsid w:val="0026430E"/>
    <w:rsid w:val="002669A5"/>
    <w:rsid w:val="0027125D"/>
    <w:rsid w:val="0027176B"/>
    <w:rsid w:val="00271CB1"/>
    <w:rsid w:val="00271E83"/>
    <w:rsid w:val="00273F20"/>
    <w:rsid w:val="0027420E"/>
    <w:rsid w:val="0027712F"/>
    <w:rsid w:val="002778C7"/>
    <w:rsid w:val="00277DB8"/>
    <w:rsid w:val="00281C1B"/>
    <w:rsid w:val="00284AE6"/>
    <w:rsid w:val="00284EC8"/>
    <w:rsid w:val="00284F4C"/>
    <w:rsid w:val="002924AD"/>
    <w:rsid w:val="00292810"/>
    <w:rsid w:val="0029303B"/>
    <w:rsid w:val="00293311"/>
    <w:rsid w:val="00293E3F"/>
    <w:rsid w:val="002943CA"/>
    <w:rsid w:val="00294DBB"/>
    <w:rsid w:val="00297622"/>
    <w:rsid w:val="002A13F3"/>
    <w:rsid w:val="002A2471"/>
    <w:rsid w:val="002A5BB1"/>
    <w:rsid w:val="002A63A0"/>
    <w:rsid w:val="002A7902"/>
    <w:rsid w:val="002B25CF"/>
    <w:rsid w:val="002B3138"/>
    <w:rsid w:val="002B3589"/>
    <w:rsid w:val="002B738E"/>
    <w:rsid w:val="002C2759"/>
    <w:rsid w:val="002D0223"/>
    <w:rsid w:val="002D4E4A"/>
    <w:rsid w:val="002E2164"/>
    <w:rsid w:val="002E3920"/>
    <w:rsid w:val="002E4F1A"/>
    <w:rsid w:val="002E5B40"/>
    <w:rsid w:val="002F2BC1"/>
    <w:rsid w:val="002F59B6"/>
    <w:rsid w:val="00300951"/>
    <w:rsid w:val="00301B60"/>
    <w:rsid w:val="0030234B"/>
    <w:rsid w:val="0030538C"/>
    <w:rsid w:val="00305892"/>
    <w:rsid w:val="003100D9"/>
    <w:rsid w:val="0031442D"/>
    <w:rsid w:val="00315EEB"/>
    <w:rsid w:val="00316424"/>
    <w:rsid w:val="003237E4"/>
    <w:rsid w:val="00331B11"/>
    <w:rsid w:val="00332467"/>
    <w:rsid w:val="00334A0C"/>
    <w:rsid w:val="00340A4A"/>
    <w:rsid w:val="00345182"/>
    <w:rsid w:val="00350784"/>
    <w:rsid w:val="00356ADC"/>
    <w:rsid w:val="003602CB"/>
    <w:rsid w:val="00360B7E"/>
    <w:rsid w:val="00361CD2"/>
    <w:rsid w:val="00362478"/>
    <w:rsid w:val="00362D58"/>
    <w:rsid w:val="00364642"/>
    <w:rsid w:val="00385D8C"/>
    <w:rsid w:val="00391523"/>
    <w:rsid w:val="00391C5A"/>
    <w:rsid w:val="003923E4"/>
    <w:rsid w:val="003929A9"/>
    <w:rsid w:val="0039572A"/>
    <w:rsid w:val="00395A6F"/>
    <w:rsid w:val="003A1B10"/>
    <w:rsid w:val="003A2E67"/>
    <w:rsid w:val="003A3FA8"/>
    <w:rsid w:val="003A6493"/>
    <w:rsid w:val="003A791D"/>
    <w:rsid w:val="003A7F28"/>
    <w:rsid w:val="003C791F"/>
    <w:rsid w:val="003D0FA0"/>
    <w:rsid w:val="003D114E"/>
    <w:rsid w:val="003D1F03"/>
    <w:rsid w:val="003D35A4"/>
    <w:rsid w:val="003D4755"/>
    <w:rsid w:val="003D5523"/>
    <w:rsid w:val="003D6AFC"/>
    <w:rsid w:val="003E0E36"/>
    <w:rsid w:val="003F115C"/>
    <w:rsid w:val="003F3FFB"/>
    <w:rsid w:val="003F5AD6"/>
    <w:rsid w:val="0040043F"/>
    <w:rsid w:val="004039E4"/>
    <w:rsid w:val="00405488"/>
    <w:rsid w:val="004063B6"/>
    <w:rsid w:val="00407652"/>
    <w:rsid w:val="00407EF3"/>
    <w:rsid w:val="00412C40"/>
    <w:rsid w:val="00413FA5"/>
    <w:rsid w:val="00414FBF"/>
    <w:rsid w:val="00417337"/>
    <w:rsid w:val="00420E0F"/>
    <w:rsid w:val="004375CC"/>
    <w:rsid w:val="00441175"/>
    <w:rsid w:val="004520E5"/>
    <w:rsid w:val="0045278C"/>
    <w:rsid w:val="0045366A"/>
    <w:rsid w:val="00454BE8"/>
    <w:rsid w:val="00456640"/>
    <w:rsid w:val="00457FD6"/>
    <w:rsid w:val="004607C8"/>
    <w:rsid w:val="004672D8"/>
    <w:rsid w:val="00471BAB"/>
    <w:rsid w:val="0047229C"/>
    <w:rsid w:val="004757F1"/>
    <w:rsid w:val="0048165A"/>
    <w:rsid w:val="00481E48"/>
    <w:rsid w:val="00486C40"/>
    <w:rsid w:val="00491627"/>
    <w:rsid w:val="00491F45"/>
    <w:rsid w:val="00493A58"/>
    <w:rsid w:val="00494453"/>
    <w:rsid w:val="0049452F"/>
    <w:rsid w:val="00494AB1"/>
    <w:rsid w:val="004A04D2"/>
    <w:rsid w:val="004A2BB4"/>
    <w:rsid w:val="004A4BBE"/>
    <w:rsid w:val="004A4E4A"/>
    <w:rsid w:val="004A633A"/>
    <w:rsid w:val="004A6984"/>
    <w:rsid w:val="004B0512"/>
    <w:rsid w:val="004B4D14"/>
    <w:rsid w:val="004B52B5"/>
    <w:rsid w:val="004B5BB3"/>
    <w:rsid w:val="004C5A48"/>
    <w:rsid w:val="004C5AC1"/>
    <w:rsid w:val="004C67F4"/>
    <w:rsid w:val="004C701F"/>
    <w:rsid w:val="004D2654"/>
    <w:rsid w:val="004D38E8"/>
    <w:rsid w:val="004D3FCB"/>
    <w:rsid w:val="004D47C3"/>
    <w:rsid w:val="004E3016"/>
    <w:rsid w:val="004E31E5"/>
    <w:rsid w:val="004E456F"/>
    <w:rsid w:val="004E615F"/>
    <w:rsid w:val="004E6FB1"/>
    <w:rsid w:val="004F109B"/>
    <w:rsid w:val="004F1C9F"/>
    <w:rsid w:val="004F6061"/>
    <w:rsid w:val="00502987"/>
    <w:rsid w:val="00502DBC"/>
    <w:rsid w:val="00507FF7"/>
    <w:rsid w:val="005113EB"/>
    <w:rsid w:val="00514350"/>
    <w:rsid w:val="005161D0"/>
    <w:rsid w:val="005217B1"/>
    <w:rsid w:val="00523B92"/>
    <w:rsid w:val="005243E3"/>
    <w:rsid w:val="00524504"/>
    <w:rsid w:val="00531ADC"/>
    <w:rsid w:val="005402E1"/>
    <w:rsid w:val="0054261E"/>
    <w:rsid w:val="005449D1"/>
    <w:rsid w:val="00546C83"/>
    <w:rsid w:val="00555285"/>
    <w:rsid w:val="00555E42"/>
    <w:rsid w:val="00556DC4"/>
    <w:rsid w:val="00562417"/>
    <w:rsid w:val="0057041B"/>
    <w:rsid w:val="00570912"/>
    <w:rsid w:val="00572ABF"/>
    <w:rsid w:val="005753F0"/>
    <w:rsid w:val="005819B0"/>
    <w:rsid w:val="00582180"/>
    <w:rsid w:val="0058221D"/>
    <w:rsid w:val="0058525B"/>
    <w:rsid w:val="00587335"/>
    <w:rsid w:val="0059034E"/>
    <w:rsid w:val="00592D8E"/>
    <w:rsid w:val="00593724"/>
    <w:rsid w:val="005A1547"/>
    <w:rsid w:val="005A250D"/>
    <w:rsid w:val="005A2CDA"/>
    <w:rsid w:val="005A3107"/>
    <w:rsid w:val="005B116D"/>
    <w:rsid w:val="005B3393"/>
    <w:rsid w:val="005B4321"/>
    <w:rsid w:val="005B4659"/>
    <w:rsid w:val="005C4256"/>
    <w:rsid w:val="005C475C"/>
    <w:rsid w:val="005C53EE"/>
    <w:rsid w:val="005D0EEC"/>
    <w:rsid w:val="005D1339"/>
    <w:rsid w:val="005D496B"/>
    <w:rsid w:val="005D5D2A"/>
    <w:rsid w:val="005D64F5"/>
    <w:rsid w:val="005D7073"/>
    <w:rsid w:val="005E0637"/>
    <w:rsid w:val="005E0FAB"/>
    <w:rsid w:val="005E2BCF"/>
    <w:rsid w:val="005E3426"/>
    <w:rsid w:val="005E45DB"/>
    <w:rsid w:val="005E567F"/>
    <w:rsid w:val="005F1699"/>
    <w:rsid w:val="005F7FBB"/>
    <w:rsid w:val="00604725"/>
    <w:rsid w:val="00614448"/>
    <w:rsid w:val="00614FC5"/>
    <w:rsid w:val="006221E3"/>
    <w:rsid w:val="00625B71"/>
    <w:rsid w:val="00632C00"/>
    <w:rsid w:val="00635CF9"/>
    <w:rsid w:val="00637618"/>
    <w:rsid w:val="006401BE"/>
    <w:rsid w:val="00642CE3"/>
    <w:rsid w:val="00643329"/>
    <w:rsid w:val="00644066"/>
    <w:rsid w:val="006457F4"/>
    <w:rsid w:val="00645AE0"/>
    <w:rsid w:val="00647830"/>
    <w:rsid w:val="006513FF"/>
    <w:rsid w:val="00653394"/>
    <w:rsid w:val="00654CDA"/>
    <w:rsid w:val="006561A5"/>
    <w:rsid w:val="00656B50"/>
    <w:rsid w:val="006622A6"/>
    <w:rsid w:val="00662D4E"/>
    <w:rsid w:val="006631C9"/>
    <w:rsid w:val="00663299"/>
    <w:rsid w:val="00665502"/>
    <w:rsid w:val="00665658"/>
    <w:rsid w:val="006657BF"/>
    <w:rsid w:val="006669AA"/>
    <w:rsid w:val="00670364"/>
    <w:rsid w:val="0067058D"/>
    <w:rsid w:val="00670F96"/>
    <w:rsid w:val="00672CEA"/>
    <w:rsid w:val="00673902"/>
    <w:rsid w:val="00674AB6"/>
    <w:rsid w:val="00674BE7"/>
    <w:rsid w:val="00675350"/>
    <w:rsid w:val="00675DB2"/>
    <w:rsid w:val="00676363"/>
    <w:rsid w:val="0068049E"/>
    <w:rsid w:val="00682726"/>
    <w:rsid w:val="00684D4B"/>
    <w:rsid w:val="006903C2"/>
    <w:rsid w:val="006910C8"/>
    <w:rsid w:val="00693729"/>
    <w:rsid w:val="00693C32"/>
    <w:rsid w:val="00694A13"/>
    <w:rsid w:val="0069773D"/>
    <w:rsid w:val="006A2CE1"/>
    <w:rsid w:val="006A37F6"/>
    <w:rsid w:val="006A5B22"/>
    <w:rsid w:val="006B0066"/>
    <w:rsid w:val="006B1DD8"/>
    <w:rsid w:val="006B3DF3"/>
    <w:rsid w:val="006B46B4"/>
    <w:rsid w:val="006B5490"/>
    <w:rsid w:val="006B5F34"/>
    <w:rsid w:val="006C31B8"/>
    <w:rsid w:val="006C5613"/>
    <w:rsid w:val="006C6649"/>
    <w:rsid w:val="006C6E63"/>
    <w:rsid w:val="006C73E4"/>
    <w:rsid w:val="006D0DA0"/>
    <w:rsid w:val="006D23E2"/>
    <w:rsid w:val="006D2B03"/>
    <w:rsid w:val="006D3E2C"/>
    <w:rsid w:val="006D6964"/>
    <w:rsid w:val="006D7079"/>
    <w:rsid w:val="006D7DFF"/>
    <w:rsid w:val="006E06AE"/>
    <w:rsid w:val="006E7FD8"/>
    <w:rsid w:val="006F14A3"/>
    <w:rsid w:val="006F1639"/>
    <w:rsid w:val="006F2844"/>
    <w:rsid w:val="006F3E04"/>
    <w:rsid w:val="00700244"/>
    <w:rsid w:val="0070245E"/>
    <w:rsid w:val="007037CE"/>
    <w:rsid w:val="00704D3F"/>
    <w:rsid w:val="007126CE"/>
    <w:rsid w:val="00715415"/>
    <w:rsid w:val="00715A36"/>
    <w:rsid w:val="00716F7D"/>
    <w:rsid w:val="007173C9"/>
    <w:rsid w:val="00725269"/>
    <w:rsid w:val="00730923"/>
    <w:rsid w:val="007318A7"/>
    <w:rsid w:val="0073375B"/>
    <w:rsid w:val="00737482"/>
    <w:rsid w:val="00737AED"/>
    <w:rsid w:val="00741009"/>
    <w:rsid w:val="00744754"/>
    <w:rsid w:val="00744854"/>
    <w:rsid w:val="00746348"/>
    <w:rsid w:val="00746DED"/>
    <w:rsid w:val="0075279E"/>
    <w:rsid w:val="00756550"/>
    <w:rsid w:val="00756A91"/>
    <w:rsid w:val="00761F47"/>
    <w:rsid w:val="007648E1"/>
    <w:rsid w:val="00771398"/>
    <w:rsid w:val="00772103"/>
    <w:rsid w:val="00777AFE"/>
    <w:rsid w:val="00781559"/>
    <w:rsid w:val="00784128"/>
    <w:rsid w:val="00785DC2"/>
    <w:rsid w:val="0078624E"/>
    <w:rsid w:val="00786346"/>
    <w:rsid w:val="00791F1C"/>
    <w:rsid w:val="0079236B"/>
    <w:rsid w:val="007946D6"/>
    <w:rsid w:val="00794D34"/>
    <w:rsid w:val="007A3751"/>
    <w:rsid w:val="007A7462"/>
    <w:rsid w:val="007A7844"/>
    <w:rsid w:val="007A7972"/>
    <w:rsid w:val="007B2C87"/>
    <w:rsid w:val="007B447F"/>
    <w:rsid w:val="007C135B"/>
    <w:rsid w:val="007C3196"/>
    <w:rsid w:val="007C4FD9"/>
    <w:rsid w:val="007C6B2D"/>
    <w:rsid w:val="007C739A"/>
    <w:rsid w:val="007D0417"/>
    <w:rsid w:val="007D2025"/>
    <w:rsid w:val="007D32B4"/>
    <w:rsid w:val="007D577B"/>
    <w:rsid w:val="007D78BB"/>
    <w:rsid w:val="007F124E"/>
    <w:rsid w:val="00800148"/>
    <w:rsid w:val="0080288D"/>
    <w:rsid w:val="00805F8F"/>
    <w:rsid w:val="00810785"/>
    <w:rsid w:val="008124C7"/>
    <w:rsid w:val="0081417B"/>
    <w:rsid w:val="008142E0"/>
    <w:rsid w:val="00816513"/>
    <w:rsid w:val="00816D26"/>
    <w:rsid w:val="00822D48"/>
    <w:rsid w:val="00823E26"/>
    <w:rsid w:val="008257BD"/>
    <w:rsid w:val="008276E1"/>
    <w:rsid w:val="008309DD"/>
    <w:rsid w:val="008347B2"/>
    <w:rsid w:val="008408AF"/>
    <w:rsid w:val="008428F0"/>
    <w:rsid w:val="0084374B"/>
    <w:rsid w:val="0084512A"/>
    <w:rsid w:val="00851365"/>
    <w:rsid w:val="00853EAE"/>
    <w:rsid w:val="00853F34"/>
    <w:rsid w:val="0085660F"/>
    <w:rsid w:val="008566AB"/>
    <w:rsid w:val="00857737"/>
    <w:rsid w:val="00863454"/>
    <w:rsid w:val="00867301"/>
    <w:rsid w:val="008700F0"/>
    <w:rsid w:val="0087207B"/>
    <w:rsid w:val="0087572E"/>
    <w:rsid w:val="0087675E"/>
    <w:rsid w:val="0087771F"/>
    <w:rsid w:val="008808D6"/>
    <w:rsid w:val="00880F6F"/>
    <w:rsid w:val="0088265C"/>
    <w:rsid w:val="008836C1"/>
    <w:rsid w:val="00887628"/>
    <w:rsid w:val="00892691"/>
    <w:rsid w:val="00892D8B"/>
    <w:rsid w:val="00893233"/>
    <w:rsid w:val="00895C80"/>
    <w:rsid w:val="00896362"/>
    <w:rsid w:val="008967D8"/>
    <w:rsid w:val="00896FF5"/>
    <w:rsid w:val="00897220"/>
    <w:rsid w:val="00897900"/>
    <w:rsid w:val="00897A55"/>
    <w:rsid w:val="008A214E"/>
    <w:rsid w:val="008B01A1"/>
    <w:rsid w:val="008B4C96"/>
    <w:rsid w:val="008B68B0"/>
    <w:rsid w:val="008C0F36"/>
    <w:rsid w:val="008C1E5D"/>
    <w:rsid w:val="008C2DC3"/>
    <w:rsid w:val="008C50C9"/>
    <w:rsid w:val="008C5C40"/>
    <w:rsid w:val="008C6148"/>
    <w:rsid w:val="008C7C76"/>
    <w:rsid w:val="008D5531"/>
    <w:rsid w:val="008D69AF"/>
    <w:rsid w:val="008E2F49"/>
    <w:rsid w:val="008E3CBA"/>
    <w:rsid w:val="008E6777"/>
    <w:rsid w:val="008F07C3"/>
    <w:rsid w:val="008F0D06"/>
    <w:rsid w:val="008F4765"/>
    <w:rsid w:val="008F6147"/>
    <w:rsid w:val="008F78E9"/>
    <w:rsid w:val="00900CC5"/>
    <w:rsid w:val="009010D9"/>
    <w:rsid w:val="00904ABF"/>
    <w:rsid w:val="0090501F"/>
    <w:rsid w:val="00905115"/>
    <w:rsid w:val="00906384"/>
    <w:rsid w:val="00906545"/>
    <w:rsid w:val="0090674D"/>
    <w:rsid w:val="00906EEE"/>
    <w:rsid w:val="00907B4D"/>
    <w:rsid w:val="00911259"/>
    <w:rsid w:val="00911D31"/>
    <w:rsid w:val="00915707"/>
    <w:rsid w:val="0092226C"/>
    <w:rsid w:val="00922BD3"/>
    <w:rsid w:val="00923E5B"/>
    <w:rsid w:val="00923FA9"/>
    <w:rsid w:val="0093052B"/>
    <w:rsid w:val="009319CA"/>
    <w:rsid w:val="00936957"/>
    <w:rsid w:val="00936A1C"/>
    <w:rsid w:val="00937237"/>
    <w:rsid w:val="0094144D"/>
    <w:rsid w:val="00942804"/>
    <w:rsid w:val="00945540"/>
    <w:rsid w:val="00947C12"/>
    <w:rsid w:val="009515BA"/>
    <w:rsid w:val="0095497E"/>
    <w:rsid w:val="00956028"/>
    <w:rsid w:val="00960F42"/>
    <w:rsid w:val="0096551B"/>
    <w:rsid w:val="009666C4"/>
    <w:rsid w:val="00971CB0"/>
    <w:rsid w:val="00973756"/>
    <w:rsid w:val="00973BC7"/>
    <w:rsid w:val="00974B3C"/>
    <w:rsid w:val="00976CEB"/>
    <w:rsid w:val="00985766"/>
    <w:rsid w:val="00986EB2"/>
    <w:rsid w:val="0099171F"/>
    <w:rsid w:val="00991852"/>
    <w:rsid w:val="00993EAF"/>
    <w:rsid w:val="0099493A"/>
    <w:rsid w:val="0099501D"/>
    <w:rsid w:val="00996E9A"/>
    <w:rsid w:val="00997065"/>
    <w:rsid w:val="00997DCC"/>
    <w:rsid w:val="009A0620"/>
    <w:rsid w:val="009A11C9"/>
    <w:rsid w:val="009A21C1"/>
    <w:rsid w:val="009A433E"/>
    <w:rsid w:val="009C3359"/>
    <w:rsid w:val="009C50A2"/>
    <w:rsid w:val="009C5BA0"/>
    <w:rsid w:val="009C6C12"/>
    <w:rsid w:val="009E052F"/>
    <w:rsid w:val="009E0E0A"/>
    <w:rsid w:val="009E4E59"/>
    <w:rsid w:val="009E6B78"/>
    <w:rsid w:val="009F267A"/>
    <w:rsid w:val="009F4641"/>
    <w:rsid w:val="009F4FBE"/>
    <w:rsid w:val="00A01D53"/>
    <w:rsid w:val="00A04AEE"/>
    <w:rsid w:val="00A04B60"/>
    <w:rsid w:val="00A2398C"/>
    <w:rsid w:val="00A25290"/>
    <w:rsid w:val="00A252A8"/>
    <w:rsid w:val="00A264D4"/>
    <w:rsid w:val="00A2764F"/>
    <w:rsid w:val="00A27A38"/>
    <w:rsid w:val="00A318B2"/>
    <w:rsid w:val="00A34130"/>
    <w:rsid w:val="00A35A4A"/>
    <w:rsid w:val="00A36850"/>
    <w:rsid w:val="00A40CB1"/>
    <w:rsid w:val="00A42A9A"/>
    <w:rsid w:val="00A443CC"/>
    <w:rsid w:val="00A4730C"/>
    <w:rsid w:val="00A50423"/>
    <w:rsid w:val="00A512CA"/>
    <w:rsid w:val="00A52DCB"/>
    <w:rsid w:val="00A53CF5"/>
    <w:rsid w:val="00A545B8"/>
    <w:rsid w:val="00A5619D"/>
    <w:rsid w:val="00A578AF"/>
    <w:rsid w:val="00A6194C"/>
    <w:rsid w:val="00A62988"/>
    <w:rsid w:val="00A63B6E"/>
    <w:rsid w:val="00A646F0"/>
    <w:rsid w:val="00A654BE"/>
    <w:rsid w:val="00A71CA4"/>
    <w:rsid w:val="00A7271E"/>
    <w:rsid w:val="00A738A3"/>
    <w:rsid w:val="00A73E43"/>
    <w:rsid w:val="00A759B6"/>
    <w:rsid w:val="00A84DF5"/>
    <w:rsid w:val="00A85446"/>
    <w:rsid w:val="00A9230D"/>
    <w:rsid w:val="00A9522F"/>
    <w:rsid w:val="00A958F5"/>
    <w:rsid w:val="00AA0AB2"/>
    <w:rsid w:val="00AA1FC6"/>
    <w:rsid w:val="00AA4A00"/>
    <w:rsid w:val="00AA5C33"/>
    <w:rsid w:val="00AA6C1F"/>
    <w:rsid w:val="00AB022F"/>
    <w:rsid w:val="00AB26B4"/>
    <w:rsid w:val="00AB3A07"/>
    <w:rsid w:val="00AB3FF3"/>
    <w:rsid w:val="00AB41B3"/>
    <w:rsid w:val="00AB50D2"/>
    <w:rsid w:val="00AC72DB"/>
    <w:rsid w:val="00AD1232"/>
    <w:rsid w:val="00AD261A"/>
    <w:rsid w:val="00AD4450"/>
    <w:rsid w:val="00AD52D9"/>
    <w:rsid w:val="00AD77A0"/>
    <w:rsid w:val="00AD7BFA"/>
    <w:rsid w:val="00AF1CD9"/>
    <w:rsid w:val="00AF4A8F"/>
    <w:rsid w:val="00AF4D47"/>
    <w:rsid w:val="00AF70C4"/>
    <w:rsid w:val="00B0469E"/>
    <w:rsid w:val="00B07571"/>
    <w:rsid w:val="00B10C2F"/>
    <w:rsid w:val="00B12630"/>
    <w:rsid w:val="00B31ED6"/>
    <w:rsid w:val="00B33E19"/>
    <w:rsid w:val="00B365B3"/>
    <w:rsid w:val="00B37001"/>
    <w:rsid w:val="00B43FEE"/>
    <w:rsid w:val="00B4490A"/>
    <w:rsid w:val="00B44E36"/>
    <w:rsid w:val="00B457FC"/>
    <w:rsid w:val="00B62EE3"/>
    <w:rsid w:val="00B64001"/>
    <w:rsid w:val="00B736BC"/>
    <w:rsid w:val="00B73ABB"/>
    <w:rsid w:val="00B7499B"/>
    <w:rsid w:val="00B75853"/>
    <w:rsid w:val="00B75996"/>
    <w:rsid w:val="00B77090"/>
    <w:rsid w:val="00B77326"/>
    <w:rsid w:val="00B77A69"/>
    <w:rsid w:val="00B8492D"/>
    <w:rsid w:val="00B86A58"/>
    <w:rsid w:val="00B87AC6"/>
    <w:rsid w:val="00B87F65"/>
    <w:rsid w:val="00B918A5"/>
    <w:rsid w:val="00BA1616"/>
    <w:rsid w:val="00BA789D"/>
    <w:rsid w:val="00BB4022"/>
    <w:rsid w:val="00BB6228"/>
    <w:rsid w:val="00BC080D"/>
    <w:rsid w:val="00BC1518"/>
    <w:rsid w:val="00BC5DEF"/>
    <w:rsid w:val="00BD448A"/>
    <w:rsid w:val="00BD4827"/>
    <w:rsid w:val="00BD77DA"/>
    <w:rsid w:val="00BD7C56"/>
    <w:rsid w:val="00BE0310"/>
    <w:rsid w:val="00BE281F"/>
    <w:rsid w:val="00BE42B5"/>
    <w:rsid w:val="00BE7A68"/>
    <w:rsid w:val="00BF1D10"/>
    <w:rsid w:val="00BF49A6"/>
    <w:rsid w:val="00BF71C3"/>
    <w:rsid w:val="00BF7821"/>
    <w:rsid w:val="00C04A6F"/>
    <w:rsid w:val="00C07E0F"/>
    <w:rsid w:val="00C119D8"/>
    <w:rsid w:val="00C14455"/>
    <w:rsid w:val="00C1644D"/>
    <w:rsid w:val="00C222D2"/>
    <w:rsid w:val="00C2566B"/>
    <w:rsid w:val="00C2590D"/>
    <w:rsid w:val="00C25943"/>
    <w:rsid w:val="00C362AE"/>
    <w:rsid w:val="00C42B37"/>
    <w:rsid w:val="00C42CD9"/>
    <w:rsid w:val="00C43AE6"/>
    <w:rsid w:val="00C44B64"/>
    <w:rsid w:val="00C5141D"/>
    <w:rsid w:val="00C57C18"/>
    <w:rsid w:val="00C606AB"/>
    <w:rsid w:val="00C611E5"/>
    <w:rsid w:val="00C65355"/>
    <w:rsid w:val="00C653B8"/>
    <w:rsid w:val="00C6562E"/>
    <w:rsid w:val="00C66A44"/>
    <w:rsid w:val="00C708D0"/>
    <w:rsid w:val="00C72573"/>
    <w:rsid w:val="00C74369"/>
    <w:rsid w:val="00C74647"/>
    <w:rsid w:val="00C75C99"/>
    <w:rsid w:val="00C77AAA"/>
    <w:rsid w:val="00C81015"/>
    <w:rsid w:val="00C84455"/>
    <w:rsid w:val="00C84ADD"/>
    <w:rsid w:val="00C85761"/>
    <w:rsid w:val="00C86B00"/>
    <w:rsid w:val="00C91F01"/>
    <w:rsid w:val="00C93A27"/>
    <w:rsid w:val="00C94606"/>
    <w:rsid w:val="00CA235C"/>
    <w:rsid w:val="00CA2C7C"/>
    <w:rsid w:val="00CA46B7"/>
    <w:rsid w:val="00CA72BA"/>
    <w:rsid w:val="00CB127C"/>
    <w:rsid w:val="00CB1328"/>
    <w:rsid w:val="00CB40F3"/>
    <w:rsid w:val="00CC0547"/>
    <w:rsid w:val="00CC1EB7"/>
    <w:rsid w:val="00CC4267"/>
    <w:rsid w:val="00CC4479"/>
    <w:rsid w:val="00CC52DA"/>
    <w:rsid w:val="00CC57A6"/>
    <w:rsid w:val="00CC7B69"/>
    <w:rsid w:val="00CD62E3"/>
    <w:rsid w:val="00CE120B"/>
    <w:rsid w:val="00CE2099"/>
    <w:rsid w:val="00CE23EA"/>
    <w:rsid w:val="00CF13F0"/>
    <w:rsid w:val="00CF7D45"/>
    <w:rsid w:val="00D003B5"/>
    <w:rsid w:val="00D01369"/>
    <w:rsid w:val="00D017FA"/>
    <w:rsid w:val="00D02950"/>
    <w:rsid w:val="00D15FFC"/>
    <w:rsid w:val="00D20719"/>
    <w:rsid w:val="00D23CE2"/>
    <w:rsid w:val="00D27B43"/>
    <w:rsid w:val="00D33275"/>
    <w:rsid w:val="00D33EB5"/>
    <w:rsid w:val="00D367EA"/>
    <w:rsid w:val="00D37ACD"/>
    <w:rsid w:val="00D40315"/>
    <w:rsid w:val="00D41345"/>
    <w:rsid w:val="00D42256"/>
    <w:rsid w:val="00D42297"/>
    <w:rsid w:val="00D52A63"/>
    <w:rsid w:val="00D53265"/>
    <w:rsid w:val="00D5717E"/>
    <w:rsid w:val="00D61210"/>
    <w:rsid w:val="00D62855"/>
    <w:rsid w:val="00D6366F"/>
    <w:rsid w:val="00D6627E"/>
    <w:rsid w:val="00D71CA2"/>
    <w:rsid w:val="00D721EF"/>
    <w:rsid w:val="00D770A6"/>
    <w:rsid w:val="00D80666"/>
    <w:rsid w:val="00D819CC"/>
    <w:rsid w:val="00D81A99"/>
    <w:rsid w:val="00D8611C"/>
    <w:rsid w:val="00D87A51"/>
    <w:rsid w:val="00D91BD3"/>
    <w:rsid w:val="00D925F6"/>
    <w:rsid w:val="00DA3719"/>
    <w:rsid w:val="00DA5525"/>
    <w:rsid w:val="00DA7174"/>
    <w:rsid w:val="00DB3CDE"/>
    <w:rsid w:val="00DB4073"/>
    <w:rsid w:val="00DB565F"/>
    <w:rsid w:val="00DB6AEB"/>
    <w:rsid w:val="00DC139E"/>
    <w:rsid w:val="00DC3908"/>
    <w:rsid w:val="00DC5FD0"/>
    <w:rsid w:val="00DD14AE"/>
    <w:rsid w:val="00DD3866"/>
    <w:rsid w:val="00DD53E7"/>
    <w:rsid w:val="00DE0860"/>
    <w:rsid w:val="00DE1A2C"/>
    <w:rsid w:val="00DE7A91"/>
    <w:rsid w:val="00DF0F0F"/>
    <w:rsid w:val="00DF4AB1"/>
    <w:rsid w:val="00DF51A6"/>
    <w:rsid w:val="00DF5EAD"/>
    <w:rsid w:val="00DF6AAD"/>
    <w:rsid w:val="00DF7769"/>
    <w:rsid w:val="00E0045E"/>
    <w:rsid w:val="00E01B05"/>
    <w:rsid w:val="00E01B2F"/>
    <w:rsid w:val="00E03B17"/>
    <w:rsid w:val="00E06EF9"/>
    <w:rsid w:val="00E0769C"/>
    <w:rsid w:val="00E10080"/>
    <w:rsid w:val="00E10D09"/>
    <w:rsid w:val="00E14F38"/>
    <w:rsid w:val="00E154A3"/>
    <w:rsid w:val="00E169EF"/>
    <w:rsid w:val="00E21563"/>
    <w:rsid w:val="00E21ED5"/>
    <w:rsid w:val="00E24EDD"/>
    <w:rsid w:val="00E31AC7"/>
    <w:rsid w:val="00E32A23"/>
    <w:rsid w:val="00E341C1"/>
    <w:rsid w:val="00E34F82"/>
    <w:rsid w:val="00E35B5D"/>
    <w:rsid w:val="00E405CB"/>
    <w:rsid w:val="00E409E7"/>
    <w:rsid w:val="00E41A17"/>
    <w:rsid w:val="00E42120"/>
    <w:rsid w:val="00E4271D"/>
    <w:rsid w:val="00E44A95"/>
    <w:rsid w:val="00E46EB3"/>
    <w:rsid w:val="00E47546"/>
    <w:rsid w:val="00E5685B"/>
    <w:rsid w:val="00E5704D"/>
    <w:rsid w:val="00E60D8E"/>
    <w:rsid w:val="00E635F6"/>
    <w:rsid w:val="00E65719"/>
    <w:rsid w:val="00E65951"/>
    <w:rsid w:val="00E662E0"/>
    <w:rsid w:val="00E70BC6"/>
    <w:rsid w:val="00E70D95"/>
    <w:rsid w:val="00E71A0F"/>
    <w:rsid w:val="00E723E5"/>
    <w:rsid w:val="00E72CCB"/>
    <w:rsid w:val="00E76A33"/>
    <w:rsid w:val="00E77B00"/>
    <w:rsid w:val="00E80CB5"/>
    <w:rsid w:val="00E81CDD"/>
    <w:rsid w:val="00E8494F"/>
    <w:rsid w:val="00E857E5"/>
    <w:rsid w:val="00E8624B"/>
    <w:rsid w:val="00E90AFD"/>
    <w:rsid w:val="00E90C0C"/>
    <w:rsid w:val="00E92991"/>
    <w:rsid w:val="00E94C2E"/>
    <w:rsid w:val="00E95354"/>
    <w:rsid w:val="00E95965"/>
    <w:rsid w:val="00E9748E"/>
    <w:rsid w:val="00EA3EF4"/>
    <w:rsid w:val="00EA575A"/>
    <w:rsid w:val="00EB0E93"/>
    <w:rsid w:val="00EB1B5D"/>
    <w:rsid w:val="00EB4AC1"/>
    <w:rsid w:val="00EB791A"/>
    <w:rsid w:val="00EB794A"/>
    <w:rsid w:val="00EB7E2B"/>
    <w:rsid w:val="00EC04FD"/>
    <w:rsid w:val="00EC35D1"/>
    <w:rsid w:val="00EC3669"/>
    <w:rsid w:val="00EC7F68"/>
    <w:rsid w:val="00ED02CE"/>
    <w:rsid w:val="00ED36F9"/>
    <w:rsid w:val="00EE343B"/>
    <w:rsid w:val="00EE3872"/>
    <w:rsid w:val="00EE5E26"/>
    <w:rsid w:val="00EE7249"/>
    <w:rsid w:val="00EF2458"/>
    <w:rsid w:val="00EF638F"/>
    <w:rsid w:val="00EF6D43"/>
    <w:rsid w:val="00EF6FC8"/>
    <w:rsid w:val="00F06DBA"/>
    <w:rsid w:val="00F1139B"/>
    <w:rsid w:val="00F14909"/>
    <w:rsid w:val="00F23C7F"/>
    <w:rsid w:val="00F24B97"/>
    <w:rsid w:val="00F24E66"/>
    <w:rsid w:val="00F2570F"/>
    <w:rsid w:val="00F2681B"/>
    <w:rsid w:val="00F26AAC"/>
    <w:rsid w:val="00F273B5"/>
    <w:rsid w:val="00F3284D"/>
    <w:rsid w:val="00F329FF"/>
    <w:rsid w:val="00F32FB6"/>
    <w:rsid w:val="00F33B4C"/>
    <w:rsid w:val="00F34179"/>
    <w:rsid w:val="00F364B7"/>
    <w:rsid w:val="00F376D1"/>
    <w:rsid w:val="00F42C83"/>
    <w:rsid w:val="00F44AAD"/>
    <w:rsid w:val="00F44C71"/>
    <w:rsid w:val="00F46246"/>
    <w:rsid w:val="00F51377"/>
    <w:rsid w:val="00F536E5"/>
    <w:rsid w:val="00F54D14"/>
    <w:rsid w:val="00F5730F"/>
    <w:rsid w:val="00F57F4A"/>
    <w:rsid w:val="00F642CB"/>
    <w:rsid w:val="00F652DA"/>
    <w:rsid w:val="00F65F65"/>
    <w:rsid w:val="00F76344"/>
    <w:rsid w:val="00F766B8"/>
    <w:rsid w:val="00F76743"/>
    <w:rsid w:val="00F8062A"/>
    <w:rsid w:val="00F80667"/>
    <w:rsid w:val="00F817E7"/>
    <w:rsid w:val="00F81E8C"/>
    <w:rsid w:val="00F85613"/>
    <w:rsid w:val="00F862F4"/>
    <w:rsid w:val="00F871BA"/>
    <w:rsid w:val="00F915D6"/>
    <w:rsid w:val="00F91BAE"/>
    <w:rsid w:val="00F92630"/>
    <w:rsid w:val="00F94015"/>
    <w:rsid w:val="00F947C8"/>
    <w:rsid w:val="00FA0581"/>
    <w:rsid w:val="00FA0DEB"/>
    <w:rsid w:val="00FA1055"/>
    <w:rsid w:val="00FA125E"/>
    <w:rsid w:val="00FA3045"/>
    <w:rsid w:val="00FA4279"/>
    <w:rsid w:val="00FA5FCE"/>
    <w:rsid w:val="00FC4683"/>
    <w:rsid w:val="00FC5557"/>
    <w:rsid w:val="00FC6D19"/>
    <w:rsid w:val="00FC76F5"/>
    <w:rsid w:val="00FD0C9B"/>
    <w:rsid w:val="00FD2AA1"/>
    <w:rsid w:val="00FD544C"/>
    <w:rsid w:val="00FD7F66"/>
    <w:rsid w:val="00FE00D5"/>
    <w:rsid w:val="00FE33CF"/>
    <w:rsid w:val="00FE66F8"/>
    <w:rsid w:val="00FF1108"/>
    <w:rsid w:val="00FF1941"/>
    <w:rsid w:val="00FF5DD2"/>
    <w:rsid w:val="00FF7720"/>
  </w:rsids>
  <m:mathPr>
    <m:mathFont m:val="Cambria Math"/>
    <m:brkBin m:val="before"/>
    <m:brkBinSub m:val="--"/>
    <m:smallFrac m:val="0"/>
    <m:dispDef/>
    <m:lMargin m:val="0"/>
    <m:rMargin m:val="0"/>
    <m:defJc m:val="left"/>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4130"/>
  <w15:chartTrackingRefBased/>
  <w15:docId w15:val="{3EE7FD2D-3BEE-4745-9059-1F45B435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43"/>
    <w:pPr>
      <w:spacing w:after="200" w:line="276" w:lineRule="auto"/>
    </w:pPr>
    <w:rPr>
      <w:rFonts w:ascii="Times New Roman" w:hAnsi="Times New Roman"/>
      <w:sz w:val="24"/>
    </w:rPr>
  </w:style>
  <w:style w:type="paragraph" w:styleId="Heading2">
    <w:name w:val="heading 2"/>
    <w:basedOn w:val="Normal"/>
    <w:next w:val="Normal"/>
    <w:link w:val="Heading2Char"/>
    <w:uiPriority w:val="9"/>
    <w:unhideWhenUsed/>
    <w:qFormat/>
    <w:rsid w:val="00F76743"/>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743"/>
    <w:rPr>
      <w:rFonts w:ascii="Times New Roman" w:eastAsiaTheme="majorEastAsia" w:hAnsi="Times New Roman" w:cstheme="majorBidi"/>
      <w:b/>
      <w:color w:val="000000" w:themeColor="text1"/>
      <w:sz w:val="24"/>
      <w:szCs w:val="26"/>
    </w:rPr>
  </w:style>
  <w:style w:type="paragraph" w:styleId="ListParagraph">
    <w:name w:val="List Paragraph"/>
    <w:aliases w:val="Recommendation,L,List Paragraph1,List Paragraph11,List Paragraph2,Bullet point"/>
    <w:basedOn w:val="Normal"/>
    <w:link w:val="ListParagraphChar"/>
    <w:uiPriority w:val="34"/>
    <w:qFormat/>
    <w:rsid w:val="00F76743"/>
    <w:pPr>
      <w:ind w:left="720"/>
      <w:contextualSpacing/>
    </w:pPr>
  </w:style>
  <w:style w:type="character" w:customStyle="1" w:styleId="ListParagraphChar">
    <w:name w:val="List Paragraph Char"/>
    <w:aliases w:val="Recommendation Char,L Char,List Paragraph1 Char,List Paragraph11 Char,List Paragraph2 Char,Bullet point Char"/>
    <w:basedOn w:val="DefaultParagraphFont"/>
    <w:link w:val="ListParagraph"/>
    <w:uiPriority w:val="34"/>
    <w:rsid w:val="00F76743"/>
    <w:rPr>
      <w:rFonts w:ascii="Times New Roman" w:hAnsi="Times New Roman"/>
      <w:sz w:val="24"/>
    </w:rPr>
  </w:style>
  <w:style w:type="character" w:styleId="CommentReference">
    <w:name w:val="annotation reference"/>
    <w:basedOn w:val="DefaultParagraphFont"/>
    <w:uiPriority w:val="99"/>
    <w:semiHidden/>
    <w:unhideWhenUsed/>
    <w:rsid w:val="00F76743"/>
    <w:rPr>
      <w:sz w:val="16"/>
      <w:szCs w:val="16"/>
    </w:rPr>
  </w:style>
  <w:style w:type="paragraph" w:styleId="CommentText">
    <w:name w:val="annotation text"/>
    <w:basedOn w:val="Normal"/>
    <w:link w:val="CommentTextChar"/>
    <w:uiPriority w:val="99"/>
    <w:unhideWhenUsed/>
    <w:rsid w:val="00F76743"/>
    <w:pPr>
      <w:spacing w:line="240" w:lineRule="auto"/>
    </w:pPr>
    <w:rPr>
      <w:sz w:val="20"/>
      <w:szCs w:val="20"/>
    </w:rPr>
  </w:style>
  <w:style w:type="character" w:customStyle="1" w:styleId="CommentTextChar">
    <w:name w:val="Comment Text Char"/>
    <w:basedOn w:val="DefaultParagraphFont"/>
    <w:link w:val="CommentText"/>
    <w:uiPriority w:val="99"/>
    <w:rsid w:val="00F7674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719"/>
    <w:rPr>
      <w:b/>
      <w:bCs/>
    </w:rPr>
  </w:style>
  <w:style w:type="character" w:customStyle="1" w:styleId="CommentSubjectChar">
    <w:name w:val="Comment Subject Char"/>
    <w:basedOn w:val="CommentTextChar"/>
    <w:link w:val="CommentSubject"/>
    <w:uiPriority w:val="99"/>
    <w:semiHidden/>
    <w:rsid w:val="00DA3719"/>
    <w:rPr>
      <w:rFonts w:ascii="Times New Roman" w:hAnsi="Times New Roman"/>
      <w:b/>
      <w:bCs/>
      <w:sz w:val="20"/>
      <w:szCs w:val="20"/>
    </w:rPr>
  </w:style>
  <w:style w:type="character" w:styleId="Hyperlink">
    <w:name w:val="Hyperlink"/>
    <w:basedOn w:val="DefaultParagraphFont"/>
    <w:uiPriority w:val="99"/>
    <w:unhideWhenUsed/>
    <w:rsid w:val="00DA3719"/>
    <w:rPr>
      <w:color w:val="0563C1" w:themeColor="hyperlink"/>
      <w:u w:val="single"/>
    </w:rPr>
  </w:style>
  <w:style w:type="paragraph" w:styleId="Header">
    <w:name w:val="header"/>
    <w:basedOn w:val="Normal"/>
    <w:link w:val="HeaderChar"/>
    <w:uiPriority w:val="99"/>
    <w:unhideWhenUsed/>
    <w:rsid w:val="0030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951"/>
    <w:rPr>
      <w:rFonts w:ascii="Times New Roman" w:hAnsi="Times New Roman"/>
      <w:sz w:val="24"/>
    </w:rPr>
  </w:style>
  <w:style w:type="paragraph" w:styleId="Footer">
    <w:name w:val="footer"/>
    <w:basedOn w:val="Normal"/>
    <w:link w:val="FooterChar"/>
    <w:uiPriority w:val="99"/>
    <w:unhideWhenUsed/>
    <w:rsid w:val="0030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951"/>
    <w:rPr>
      <w:rFonts w:ascii="Times New Roman" w:hAnsi="Times New Roman"/>
      <w:sz w:val="24"/>
    </w:rPr>
  </w:style>
  <w:style w:type="paragraph" w:styleId="Revision">
    <w:name w:val="Revision"/>
    <w:hidden/>
    <w:uiPriority w:val="99"/>
    <w:semiHidden/>
    <w:rsid w:val="00360B7E"/>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93724"/>
    <w:rPr>
      <w:color w:val="605E5C"/>
      <w:shd w:val="clear" w:color="auto" w:fill="E1DFDD"/>
    </w:rPr>
  </w:style>
  <w:style w:type="character" w:styleId="FollowedHyperlink">
    <w:name w:val="FollowedHyperlink"/>
    <w:basedOn w:val="DefaultParagraphFont"/>
    <w:uiPriority w:val="99"/>
    <w:semiHidden/>
    <w:unhideWhenUsed/>
    <w:rsid w:val="00076492"/>
    <w:rPr>
      <w:color w:val="954F72" w:themeColor="followedHyperlink"/>
      <w:u w:val="single"/>
    </w:rPr>
  </w:style>
  <w:style w:type="paragraph" w:styleId="FootnoteText">
    <w:name w:val="footnote text"/>
    <w:basedOn w:val="Normal"/>
    <w:link w:val="FootnoteTextChar"/>
    <w:uiPriority w:val="99"/>
    <w:semiHidden/>
    <w:unhideWhenUsed/>
    <w:rsid w:val="00DF51A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DF51A6"/>
    <w:rPr>
      <w:sz w:val="20"/>
      <w:szCs w:val="20"/>
    </w:rPr>
  </w:style>
  <w:style w:type="character" w:styleId="FootnoteReference">
    <w:name w:val="footnote reference"/>
    <w:basedOn w:val="DefaultParagraphFont"/>
    <w:uiPriority w:val="99"/>
    <w:semiHidden/>
    <w:unhideWhenUsed/>
    <w:rsid w:val="00DF51A6"/>
    <w:rPr>
      <w:vertAlign w:val="superscript"/>
    </w:rPr>
  </w:style>
  <w:style w:type="character" w:styleId="Mention">
    <w:name w:val="Mention"/>
    <w:basedOn w:val="DefaultParagraphFont"/>
    <w:uiPriority w:val="99"/>
    <w:unhideWhenUsed/>
    <w:rsid w:val="00AA1F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Props1.xml><?xml version="1.0" encoding="utf-8"?>
<ds:datastoreItem xmlns:ds="http://schemas.openxmlformats.org/officeDocument/2006/customXml" ds:itemID="{4707AD2E-5D98-41CB-AA7D-31763DDB9972}">
  <ds:schemaRefs>
    <ds:schemaRef ds:uri="http://schemas.openxmlformats.org/officeDocument/2006/bibliography"/>
  </ds:schemaRefs>
</ds:datastoreItem>
</file>

<file path=customXml/itemProps2.xml><?xml version="1.0" encoding="utf-8"?>
<ds:datastoreItem xmlns:ds="http://schemas.openxmlformats.org/officeDocument/2006/customXml" ds:itemID="{7F16100C-1981-46FF-B58E-F5EF78B5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B1F7E-14FA-47DD-8FA0-CA01A99E6D48}">
  <ds:schemaRefs>
    <ds:schemaRef ds:uri="http://schemas.microsoft.com/sharepoint/v3/contenttype/forms"/>
  </ds:schemaRefs>
</ds:datastoreItem>
</file>

<file path=customXml/itemProps4.xml><?xml version="1.0" encoding="utf-8"?>
<ds:datastoreItem xmlns:ds="http://schemas.openxmlformats.org/officeDocument/2006/customXml" ds:itemID="{84A611A0-3F7D-4BEC-99F2-E333BE6F0514}">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21934866-407e-4eb7-84a5-689e8997aac6"/>
    <ds:schemaRef ds:uri="http://schemas.microsoft.com/office/infopath/2007/PartnerControls"/>
    <ds:schemaRef ds:uri="http://schemas.openxmlformats.org/package/2006/metadata/core-properties"/>
    <ds:schemaRef ds:uri="1d95c80d-1bfc-4284-8ead-90dee9a0b47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5018</Words>
  <Characters>25898</Characters>
  <Application>Microsoft Office Word</Application>
  <DocSecurity>0</DocSecurity>
  <Lines>664</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REYNOLDS,Jessie</cp:lastModifiedBy>
  <cp:revision>5</cp:revision>
  <dcterms:created xsi:type="dcterms:W3CDTF">2024-12-02T00:06:00Z</dcterms:created>
  <dcterms:modified xsi:type="dcterms:W3CDTF">2024-12-16T21:07:00Z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2022-11-08T23:23:46Z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3f57c6ff-fe85-4c1e-a5e8-ebe1e01f4dc1</vt:lpwstr>
  </property>
  <property fmtid="{D5CDD505-2E9C-101B-9397-08002B2CF9AE}" pid="8" name="MSIP_Label_79d889eb-932f-4752-8739-64d25806ef64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